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z w:val="44"/>
        </w:rPr>
      </w:pPr>
      <w:r>
        <w:rPr>
          <w:rFonts w:hint="eastAsia" w:ascii="宋体" w:hAnsi="宋体" w:cs="宋体"/>
          <w:b/>
          <w:sz w:val="44"/>
        </w:rPr>
        <w:t>马兰峪镇人民政府2022年部门预算信息公开目录</w:t>
      </w:r>
    </w:p>
    <w:p>
      <w:pPr>
        <w:jc w:val="center"/>
        <w:rPr>
          <w:rFonts w:ascii="宋体" w:hAnsi="宋体" w:cs="宋体"/>
          <w:b/>
          <w:sz w:val="30"/>
        </w:rPr>
      </w:pPr>
    </w:p>
    <w:p>
      <w:pPr>
        <w:jc w:val="left"/>
        <w:rPr>
          <w:rFonts w:ascii="宋体" w:hAnsi="宋体" w:cs="宋体"/>
          <w:b/>
          <w:sz w:val="28"/>
        </w:rPr>
      </w:pPr>
      <w:r>
        <w:rPr>
          <w:rFonts w:hint="eastAsia" w:ascii="宋体" w:hAnsi="宋体" w:cs="宋体"/>
          <w:b/>
          <w:sz w:val="28"/>
        </w:rPr>
        <w:t>部门预算公开表</w:t>
      </w:r>
    </w:p>
    <w:p>
      <w:pPr>
        <w:pStyle w:val="11"/>
        <w:tabs>
          <w:tab w:val="right" w:leader="dot" w:pos="14789"/>
        </w:tabs>
        <w:jc w:val="center"/>
        <w:rPr>
          <w:rFonts w:ascii="宋体" w:hAnsi="宋体" w:cs="宋体"/>
          <w:sz w:val="28"/>
        </w:rPr>
      </w:pPr>
      <w:r>
        <w:rPr>
          <w:rFonts w:hint="eastAsia" w:ascii="宋体" w:hAnsi="宋体" w:cs="宋体"/>
          <w:sz w:val="28"/>
        </w:rPr>
        <w:fldChar w:fldCharType="begin"/>
      </w:r>
      <w:r>
        <w:rPr>
          <w:rFonts w:hint="eastAsia" w:ascii="宋体" w:hAnsi="宋体" w:cs="宋体"/>
          <w:sz w:val="28"/>
        </w:rPr>
        <w:instrText xml:space="preserve"> TOC \o "2-2" \h \z \u \t "-1"</w:instrText>
      </w:r>
      <w:r>
        <w:rPr>
          <w:rFonts w:hint="eastAsia" w:ascii="宋体" w:hAnsi="宋体" w:cs="宋体"/>
          <w:sz w:val="28"/>
        </w:rPr>
        <w:fldChar w:fldCharType="separate"/>
      </w:r>
      <w:r>
        <w:fldChar w:fldCharType="begin"/>
      </w:r>
      <w:r>
        <w:instrText xml:space="preserve"> HYPERLINK \l "_Toc68791536" </w:instrText>
      </w:r>
      <w:r>
        <w:fldChar w:fldCharType="separate"/>
      </w:r>
      <w:r>
        <w:rPr>
          <w:rStyle w:val="15"/>
          <w:rFonts w:hint="eastAsia" w:ascii="宋体" w:hAnsi="宋体" w:cs="宋体"/>
          <w:color w:val="auto"/>
          <w:sz w:val="28"/>
          <w:u w:val="none"/>
        </w:rPr>
        <w:t>部门预算收支总表</w:t>
      </w:r>
      <w:r>
        <w:rPr>
          <w:rFonts w:hint="eastAsia" w:ascii="宋体" w:hAnsi="宋体" w:cs="宋体"/>
          <w:sz w:val="28"/>
        </w:rPr>
        <w:tab/>
      </w:r>
      <w:r>
        <w:rPr>
          <w:rFonts w:hint="eastAsia" w:ascii="宋体" w:hAnsi="宋体" w:cs="宋体"/>
          <w:sz w:val="28"/>
        </w:rPr>
        <w:t>1</w:t>
      </w:r>
      <w:r>
        <w:rPr>
          <w:rFonts w:hint="eastAsia" w:ascii="宋体" w:hAnsi="宋体" w:cs="宋体"/>
          <w:sz w:val="28"/>
        </w:rPr>
        <w:fldChar w:fldCharType="end"/>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"_Toc68791537" </w:instrText>
      </w:r>
      <w:r>
        <w:fldChar w:fldCharType="separate"/>
      </w:r>
      <w:r>
        <w:rPr>
          <w:rStyle w:val="15"/>
          <w:rFonts w:hint="eastAsia" w:ascii="宋体" w:hAnsi="宋体" w:cs="宋体"/>
          <w:color w:val="auto"/>
          <w:sz w:val="28"/>
          <w:u w:val="none"/>
        </w:rPr>
        <w:t>部门预算收入总表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w:t>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"_Toc68791538" </w:instrText>
      </w:r>
      <w:r>
        <w:fldChar w:fldCharType="separate"/>
      </w:r>
      <w:r>
        <w:rPr>
          <w:rStyle w:val="15"/>
          <w:rFonts w:hint="eastAsia" w:ascii="宋体" w:hAnsi="宋体" w:cs="宋体"/>
          <w:color w:val="auto"/>
          <w:sz w:val="28"/>
          <w:u w:val="none"/>
        </w:rPr>
        <w:t>部门预算支出总表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5</w:t>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"_Toc68791539" </w:instrText>
      </w:r>
      <w:r>
        <w:fldChar w:fldCharType="separate"/>
      </w:r>
      <w:r>
        <w:rPr>
          <w:rStyle w:val="15"/>
          <w:rFonts w:hint="eastAsia" w:ascii="宋体" w:hAnsi="宋体" w:cs="宋体"/>
          <w:color w:val="auto"/>
          <w:sz w:val="28"/>
          <w:u w:val="none"/>
        </w:rPr>
        <w:t>部门预算财政拨款收支总表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7</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"_Toc68791540" </w:instrText>
      </w:r>
      <w:r>
        <w:fldChar w:fldCharType="separate"/>
      </w:r>
      <w:r>
        <w:rPr>
          <w:rStyle w:val="15"/>
          <w:rFonts w:hint="eastAsia" w:ascii="宋体" w:hAnsi="宋体" w:cs="宋体"/>
          <w:color w:val="auto"/>
          <w:sz w:val="28"/>
          <w:u w:val="none"/>
        </w:rPr>
        <w:t>部门预算一般公共预算财政拨款支出表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10</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"_Toc68791541" </w:instrText>
      </w:r>
      <w:r>
        <w:fldChar w:fldCharType="separate"/>
      </w:r>
      <w:r>
        <w:rPr>
          <w:rStyle w:val="15"/>
          <w:rFonts w:hint="eastAsia" w:ascii="宋体" w:hAnsi="宋体" w:cs="宋体"/>
          <w:color w:val="auto"/>
          <w:sz w:val="28"/>
          <w:u w:val="none"/>
        </w:rPr>
        <w:t>部门预算一般公共预算财政拨款基本支出表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12</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"_Toc68791542" </w:instrText>
      </w:r>
      <w:r>
        <w:fldChar w:fldCharType="separate"/>
      </w:r>
      <w:r>
        <w:rPr>
          <w:rStyle w:val="15"/>
          <w:rFonts w:hint="eastAsia" w:ascii="宋体" w:hAnsi="宋体" w:cs="宋体"/>
          <w:color w:val="auto"/>
          <w:sz w:val="28"/>
          <w:u w:val="none"/>
        </w:rPr>
        <w:t>部门预算政府基金预算财政拨款支出表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15</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"_Toc68791543" </w:instrText>
      </w:r>
      <w:r>
        <w:fldChar w:fldCharType="separate"/>
      </w:r>
      <w:r>
        <w:rPr>
          <w:rStyle w:val="15"/>
          <w:rFonts w:hint="eastAsia" w:ascii="宋体" w:hAnsi="宋体" w:cs="宋体"/>
          <w:color w:val="auto"/>
          <w:sz w:val="28"/>
          <w:u w:val="none"/>
        </w:rPr>
        <w:t>部门预算国有资本经营预算财政拨款支出表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16</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"_Toc68791544" </w:instrText>
      </w:r>
      <w:r>
        <w:fldChar w:fldCharType="separate"/>
      </w:r>
      <w:r>
        <w:rPr>
          <w:rStyle w:val="15"/>
          <w:rFonts w:hint="eastAsia" w:ascii="宋体" w:hAnsi="宋体" w:cs="宋体"/>
          <w:color w:val="auto"/>
          <w:sz w:val="28"/>
          <w:u w:val="none"/>
        </w:rPr>
        <w:t>部门预算财政拨款“三公”经费支出表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17</w:t>
      </w:r>
    </w:p>
    <w:p>
      <w:pPr>
        <w:ind w:left="420" w:leftChars="200"/>
        <w:jc w:val="center"/>
        <w:rPr>
          <w:rFonts w:ascii="宋体" w:hAnsi="宋体" w:cs="宋体"/>
        </w:rPr>
      </w:pPr>
      <w:r>
        <w:rPr>
          <w:rFonts w:hint="eastAsia" w:ascii="宋体" w:hAnsi="宋体" w:cs="宋体"/>
          <w:sz w:val="28"/>
        </w:rPr>
        <w:fldChar w:fldCharType="end"/>
      </w:r>
    </w:p>
    <w:p>
      <w:pPr>
        <w:jc w:val="left"/>
        <w:rPr>
          <w:rFonts w:ascii="宋体" w:hAnsi="宋体" w:cs="宋体"/>
          <w:b/>
          <w:sz w:val="28"/>
        </w:rPr>
      </w:pPr>
      <w:r>
        <w:rPr>
          <w:rFonts w:hint="eastAsia" w:ascii="宋体" w:hAnsi="宋体" w:cs="宋体"/>
          <w:b/>
          <w:sz w:val="28"/>
        </w:rPr>
        <w:t>部门预算信息公开情况说明</w:t>
      </w:r>
    </w:p>
    <w:p>
      <w:pPr>
        <w:pStyle w:val="5"/>
        <w:tabs>
          <w:tab w:val="right" w:leader="dot" w:pos="14789"/>
        </w:tabs>
        <w:ind w:left="420" w:leftChars="200"/>
        <w:jc w:val="center"/>
        <w:rPr>
          <w:rFonts w:hint="default" w:ascii="宋体" w:hAnsi="宋体" w:eastAsia="宋体" w:cs="宋体"/>
          <w:sz w:val="28"/>
          <w:lang w:val="en-US" w:eastAsia="zh-CN"/>
        </w:rPr>
      </w:pPr>
      <w:r>
        <w:rPr>
          <w:rFonts w:hint="eastAsia" w:ascii="宋体" w:hAnsi="宋体" w:cs="宋体"/>
          <w:sz w:val="28"/>
        </w:rPr>
        <w:fldChar w:fldCharType="begin"/>
      </w:r>
      <w:r>
        <w:rPr>
          <w:rFonts w:hint="eastAsia" w:ascii="宋体" w:hAnsi="宋体" w:cs="宋体"/>
          <w:sz w:val="28"/>
        </w:rPr>
        <w:instrText xml:space="preserve"> TOC \o "3-3" \h \z \u \t "-1"</w:instrText>
      </w:r>
      <w:r>
        <w:rPr>
          <w:rFonts w:hint="eastAsia" w:ascii="宋体" w:hAnsi="宋体" w:cs="宋体"/>
          <w:sz w:val="28"/>
        </w:rPr>
        <w:fldChar w:fldCharType="separate"/>
      </w:r>
      <w:r>
        <w:fldChar w:fldCharType="begin"/>
      </w:r>
      <w:r>
        <w:instrText xml:space="preserve"> HYPERLINK \l "_Toc68791545" </w:instrText>
      </w:r>
      <w:r>
        <w:fldChar w:fldCharType="separate"/>
      </w:r>
      <w:r>
        <w:rPr>
          <w:rStyle w:val="15"/>
          <w:rFonts w:hint="eastAsia" w:ascii="宋体" w:hAnsi="宋体" w:cs="宋体"/>
          <w:color w:val="auto"/>
          <w:sz w:val="28"/>
          <w:u w:val="none"/>
        </w:rPr>
        <w:t>一、部门职责及机构设置情况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18</w:t>
      </w:r>
    </w:p>
    <w:p>
      <w:pPr>
        <w:pStyle w:val="5"/>
        <w:tabs>
          <w:tab w:val="right" w:leader="dot" w:pos="14789"/>
        </w:tabs>
        <w:ind w:left="420" w:leftChars="200"/>
        <w:jc w:val="center"/>
        <w:rPr>
          <w:rStyle w:val="15"/>
          <w:rFonts w:hint="default" w:ascii="宋体" w:hAnsi="宋体" w:eastAsia="宋体" w:cs="宋体"/>
          <w:color w:val="auto"/>
          <w:sz w:val="28"/>
          <w:u w:val="none"/>
          <w:lang w:val="en-US" w:eastAsia="zh-CN"/>
        </w:rPr>
        <w:sectPr>
          <w:headerReference r:id="rId3"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15"/>
          <w:rFonts w:hint="eastAsia" w:ascii="宋体" w:hAnsi="宋体" w:cs="宋体"/>
          <w:color w:val="auto"/>
          <w:sz w:val="28"/>
          <w:u w:val="none"/>
        </w:rPr>
        <w:t>二、部门预算安排的总体情况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26</w:t>
      </w:r>
    </w:p>
    <w:p>
      <w:pPr>
        <w:pStyle w:val="5"/>
        <w:tabs>
          <w:tab w:val="right" w:leader="dot" w:pos="14789"/>
        </w:tabs>
        <w:ind w:left="420" w:leftChars="200"/>
        <w:jc w:val="left"/>
        <w:rPr>
          <w:rFonts w:hint="default" w:ascii="宋体" w:hAnsi="宋体" w:eastAsia="宋体" w:cs="宋体"/>
          <w:sz w:val="28"/>
          <w:lang w:val="en-US" w:eastAsia="zh-CN"/>
        </w:rPr>
      </w:pPr>
      <w:r>
        <w:fldChar w:fldCharType="begin"/>
      </w:r>
      <w:r>
        <w:instrText xml:space="preserve"> HYPERLINK \l "_Toc68791547" </w:instrText>
      </w:r>
      <w:r>
        <w:fldChar w:fldCharType="separate"/>
      </w:r>
      <w:r>
        <w:rPr>
          <w:rStyle w:val="15"/>
          <w:rFonts w:hint="eastAsia" w:ascii="宋体" w:hAnsi="宋体" w:cs="宋体"/>
          <w:color w:val="auto"/>
          <w:sz w:val="28"/>
          <w:u w:val="none"/>
        </w:rPr>
        <w:t>三、机关运行经费安排情况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27</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"_Toc68791548" </w:instrText>
      </w:r>
      <w:r>
        <w:fldChar w:fldCharType="separate"/>
      </w:r>
      <w:r>
        <w:rPr>
          <w:rStyle w:val="15"/>
          <w:rFonts w:hint="eastAsia" w:ascii="宋体" w:hAnsi="宋体" w:cs="宋体"/>
          <w:color w:val="auto"/>
          <w:sz w:val="28"/>
          <w:u w:val="none"/>
        </w:rPr>
        <w:t>四、财政拨款“三公”经费预算情况及增减变化原因</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27</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"_Toc68791549" </w:instrText>
      </w:r>
      <w:r>
        <w:fldChar w:fldCharType="separate"/>
      </w:r>
      <w:r>
        <w:rPr>
          <w:rStyle w:val="15"/>
          <w:rFonts w:hint="eastAsia" w:ascii="宋体" w:hAnsi="宋体" w:cs="宋体"/>
          <w:color w:val="auto"/>
          <w:sz w:val="28"/>
          <w:u w:val="none"/>
        </w:rPr>
        <w:t>五、预算绩效信息</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28</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"_Toc68791550" </w:instrText>
      </w:r>
      <w:r>
        <w:fldChar w:fldCharType="separate"/>
      </w:r>
      <w:r>
        <w:rPr>
          <w:rStyle w:val="15"/>
          <w:rFonts w:hint="eastAsia" w:ascii="宋体" w:hAnsi="宋体" w:cs="宋体"/>
          <w:color w:val="auto"/>
          <w:sz w:val="28"/>
          <w:u w:val="none"/>
        </w:rPr>
        <w:t>六、政府采购预算情况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32</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"_Toc68791551" </w:instrText>
      </w:r>
      <w:r>
        <w:fldChar w:fldCharType="separate"/>
      </w:r>
      <w:r>
        <w:rPr>
          <w:rStyle w:val="15"/>
          <w:rFonts w:hint="eastAsia" w:ascii="宋体" w:hAnsi="宋体" w:cs="宋体"/>
          <w:color w:val="auto"/>
          <w:sz w:val="28"/>
          <w:u w:val="none"/>
        </w:rPr>
        <w:t>七、国有资产信息</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32</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"_Toc68791552" </w:instrText>
      </w:r>
      <w:r>
        <w:fldChar w:fldCharType="separate"/>
      </w:r>
      <w:r>
        <w:rPr>
          <w:rStyle w:val="15"/>
          <w:rFonts w:hint="eastAsia" w:ascii="宋体" w:hAnsi="宋体" w:cs="宋体"/>
          <w:color w:val="auto"/>
          <w:sz w:val="28"/>
          <w:u w:val="none"/>
        </w:rPr>
        <w:t>八、名词解释</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33</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"_Toc68791553" </w:instrText>
      </w:r>
      <w:r>
        <w:fldChar w:fldCharType="separate"/>
      </w:r>
      <w:r>
        <w:rPr>
          <w:rStyle w:val="15"/>
          <w:rFonts w:hint="eastAsia" w:ascii="宋体" w:hAnsi="宋体" w:cs="宋体"/>
          <w:color w:val="auto"/>
          <w:sz w:val="28"/>
          <w:u w:val="none"/>
        </w:rPr>
        <w:t>九、其他需要说明的事项</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34</w:t>
      </w:r>
    </w:p>
    <w:p>
      <w:pPr>
        <w:ind w:left="420" w:leftChars="200"/>
        <w:jc w:val="center"/>
        <w:rPr>
          <w:rFonts w:ascii="宋体" w:hAnsi="宋体" w:cs="宋体"/>
        </w:rPr>
      </w:pPr>
      <w:r>
        <w:rPr>
          <w:rFonts w:hint="eastAsia" w:ascii="宋体" w:hAnsi="宋体" w:cs="宋体"/>
          <w:sz w:val="28"/>
        </w:rPr>
        <w:fldChar w:fldCharType="end"/>
      </w:r>
    </w:p>
    <w:p>
      <w:pPr>
        <w:pStyle w:val="10"/>
        <w:tabs>
          <w:tab w:val="right" w:leader="dot" w:pos="14789"/>
        </w:tabs>
        <w:ind w:left="420" w:leftChars="200"/>
        <w:jc w:val="center"/>
        <w:rPr>
          <w:rFonts w:ascii="宋体" w:hAnsi="宋体" w:cs="宋体"/>
          <w:sz w:val="28"/>
        </w:rPr>
      </w:pPr>
    </w:p>
    <w:p>
      <w:pPr>
        <w:pStyle w:val="2"/>
        <w:ind w:firstLine="803"/>
        <w:rPr>
          <w:rFonts w:ascii="宋体" w:hAnsi="宋体"/>
          <w:b/>
          <w:color w:val="000000"/>
          <w:sz w:val="40"/>
          <w:szCs w:val="40"/>
        </w:rPr>
      </w:pPr>
    </w:p>
    <w:p>
      <w:pPr>
        <w:pStyle w:val="3"/>
        <w:rPr>
          <w:rFonts w:ascii="宋体" w:hAnsi="宋体"/>
          <w:b/>
          <w:color w:val="000000"/>
          <w:kern w:val="0"/>
          <w:sz w:val="40"/>
          <w:szCs w:val="40"/>
        </w:rPr>
      </w:pPr>
    </w:p>
    <w:p>
      <w:pPr>
        <w:pStyle w:val="3"/>
        <w:ind w:firstLine="0"/>
        <w:rPr>
          <w:rFonts w:ascii="宋体" w:hAnsi="宋体" w:cs="Arial"/>
          <w:b/>
          <w:color w:val="000000"/>
          <w:kern w:val="0"/>
          <w:sz w:val="40"/>
          <w:szCs w:val="40"/>
        </w:rPr>
      </w:pPr>
    </w:p>
    <w:p>
      <w:pPr>
        <w:pStyle w:val="3"/>
        <w:tabs>
          <w:tab w:val="left" w:pos="8808"/>
        </w:tabs>
        <w:rPr>
          <w:rFonts w:ascii="宋体" w:hAnsi="宋体" w:cs="Arial"/>
          <w:b/>
          <w:color w:val="000000"/>
          <w:kern w:val="0"/>
          <w:sz w:val="40"/>
          <w:szCs w:val="40"/>
        </w:rPr>
      </w:pPr>
      <w:r>
        <w:rPr>
          <w:rFonts w:hint="eastAsia" w:ascii="宋体" w:hAnsi="宋体" w:cs="Arial"/>
          <w:b/>
          <w:color w:val="000000"/>
          <w:kern w:val="0"/>
          <w:sz w:val="40"/>
          <w:szCs w:val="40"/>
        </w:rPr>
        <w:tab/>
      </w:r>
    </w:p>
    <w:p>
      <w:pPr>
        <w:pStyle w:val="3"/>
        <w:rPr>
          <w:rFonts w:ascii="宋体" w:hAnsi="宋体" w:cs="Arial"/>
          <w:b/>
          <w:color w:val="000000"/>
          <w:kern w:val="0"/>
          <w:sz w:val="40"/>
          <w:szCs w:val="40"/>
        </w:rPr>
      </w:pPr>
    </w:p>
    <w:p>
      <w:pPr>
        <w:widowControl/>
        <w:jc w:val="center"/>
        <w:textAlignment w:val="center"/>
        <w:rPr>
          <w:rFonts w:ascii="宋体" w:hAnsi="宋体" w:cs="宋体"/>
          <w:b/>
          <w:color w:val="000000"/>
          <w:kern w:val="0"/>
          <w:sz w:val="40"/>
          <w:szCs w:val="40"/>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12"/>
        <w:tblpPr w:leftFromText="180" w:rightFromText="180" w:vertAnchor="text" w:horzAnchor="page" w:tblpXSpec="center" w:tblpY="110"/>
        <w:tblOverlap w:val="never"/>
        <w:tblW w:w="14740" w:type="dxa"/>
        <w:jc w:val="center"/>
        <w:tblLayout w:type="fixed"/>
        <w:tblCellMar>
          <w:top w:w="0" w:type="dxa"/>
          <w:left w:w="0" w:type="dxa"/>
          <w:bottom w:w="0" w:type="dxa"/>
          <w:right w:w="0" w:type="dxa"/>
        </w:tblCellMar>
      </w:tblPr>
      <w:tblGrid>
        <w:gridCol w:w="807"/>
        <w:gridCol w:w="4778"/>
        <w:gridCol w:w="2185"/>
        <w:gridCol w:w="4887"/>
        <w:gridCol w:w="2083"/>
      </w:tblGrid>
      <w:tr>
        <w:tblPrEx>
          <w:tblCellMar>
            <w:top w:w="0" w:type="dxa"/>
            <w:left w:w="0" w:type="dxa"/>
            <w:bottom w:w="0" w:type="dxa"/>
            <w:right w:w="0" w:type="dxa"/>
          </w:tblCellMar>
        </w:tblPrEx>
        <w:trPr>
          <w:trHeight w:val="20" w:hRule="atLeast"/>
          <w:jc w:val="center"/>
        </w:trPr>
        <w:tc>
          <w:tcPr>
            <w:tcW w:w="13224" w:type="dxa"/>
            <w:gridSpan w:val="5"/>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1-1</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部门预算收支总表</w:t>
            </w:r>
          </w:p>
        </w:tc>
      </w:tr>
      <w:tr>
        <w:tblPrEx>
          <w:tblCellMar>
            <w:top w:w="0" w:type="dxa"/>
            <w:left w:w="0" w:type="dxa"/>
            <w:bottom w:w="0" w:type="dxa"/>
            <w:right w:w="0" w:type="dxa"/>
          </w:tblCellMar>
        </w:tblPrEx>
        <w:trPr>
          <w:trHeight w:val="20" w:hRule="atLeast"/>
          <w:jc w:val="center"/>
        </w:trPr>
        <w:tc>
          <w:tcPr>
            <w:tcW w:w="5011" w:type="dxa"/>
            <w:gridSpan w:val="2"/>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637遵化市马兰峪镇人民政府</w:t>
            </w:r>
          </w:p>
        </w:tc>
        <w:tc>
          <w:tcPr>
            <w:tcW w:w="1960" w:type="dxa"/>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kern w:val="0"/>
                <w:sz w:val="24"/>
                <w:szCs w:val="24"/>
              </w:rPr>
              <w:t>预算年度：</w:t>
            </w:r>
            <w:r>
              <w:rPr>
                <w:rFonts w:hint="eastAsia" w:ascii="方正仿宋简体" w:hAnsi="方正仿宋简体" w:eastAsia="方正仿宋简体" w:cs="方正仿宋简体"/>
                <w:b w:val="0"/>
                <w:bCs/>
                <w:color w:val="000000"/>
                <w:kern w:val="0"/>
                <w:sz w:val="24"/>
                <w:szCs w:val="24"/>
                <w:lang w:val="en-US" w:eastAsia="zh-CN"/>
              </w:rPr>
              <w:t>2022</w:t>
            </w:r>
          </w:p>
        </w:tc>
        <w:tc>
          <w:tcPr>
            <w:tcW w:w="6253" w:type="dxa"/>
            <w:gridSpan w:val="2"/>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510" w:hRule="exact"/>
          <w:jc w:val="center"/>
        </w:trPr>
        <w:tc>
          <w:tcPr>
            <w:tcW w:w="72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序号</w:t>
            </w:r>
          </w:p>
        </w:tc>
        <w:tc>
          <w:tcPr>
            <w:tcW w:w="62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收入</w:t>
            </w:r>
          </w:p>
        </w:tc>
        <w:tc>
          <w:tcPr>
            <w:tcW w:w="62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支出</w:t>
            </w:r>
          </w:p>
        </w:tc>
      </w:tr>
      <w:tr>
        <w:tblPrEx>
          <w:tblCellMar>
            <w:top w:w="0" w:type="dxa"/>
            <w:left w:w="0" w:type="dxa"/>
            <w:bottom w:w="0" w:type="dxa"/>
            <w:right w:w="0" w:type="dxa"/>
          </w:tblCellMar>
        </w:tblPrEx>
        <w:trPr>
          <w:trHeight w:val="510" w:hRule="exact"/>
          <w:jc w:val="center"/>
        </w:trPr>
        <w:tc>
          <w:tcPr>
            <w:tcW w:w="72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color w:val="000000"/>
                <w:sz w:val="24"/>
                <w:szCs w:val="24"/>
              </w:rPr>
            </w:pP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w:t>
            </w:r>
            <w:r>
              <w:rPr>
                <w:rStyle w:val="16"/>
                <w:rFonts w:hint="eastAsia" w:ascii="方正仿宋简体" w:hAnsi="方正仿宋简体" w:eastAsia="方正仿宋简体" w:cs="方正仿宋简体"/>
                <w:b w:val="0"/>
                <w:bCs/>
                <w:sz w:val="24"/>
                <w:szCs w:val="24"/>
              </w:rPr>
              <w:t xml:space="preserve">  目</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预算数</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w:t>
            </w:r>
            <w:r>
              <w:rPr>
                <w:rStyle w:val="16"/>
                <w:rFonts w:hint="eastAsia" w:ascii="方正仿宋简体" w:hAnsi="方正仿宋简体" w:eastAsia="方正仿宋简体" w:cs="方正仿宋简体"/>
                <w:b w:val="0"/>
                <w:bCs/>
                <w:sz w:val="24"/>
                <w:szCs w:val="24"/>
              </w:rPr>
              <w:t xml:space="preserve">  目</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预算数</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一、一般公共服务支出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二、外交支出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三、国防支出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四、财政专户管理资金收入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四、公共安全支出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五、事业收入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五、教育支出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六、事业单位经营收入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六、科学技术支出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七、上级补助收入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七、文化体育与传媒支出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八、附属单位上缴收入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八、社会保障和就业支出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九、其他收入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九、卫生健康支出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十、节能环保支出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十一、城乡社区支出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十二、农林水支出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十三、交通运输支出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十四、资源勘探工业信息等支出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十五、商业服务业等支出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十六、金融支出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十七、援助其他地区支出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十八、自然资源海洋气象等支出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十九、住房保障支出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二十、粮油物资储备支出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二十一、国有资本经营预算支出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二十三、债务还本支出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二十四、债务付息支出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二十五、债务发行费用支出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二十六、其他支出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sz w:val="24"/>
                <w:szCs w:val="24"/>
                <w:lang w:val="en-US" w:eastAsia="zh-CN"/>
              </w:rPr>
              <w:t>27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本年收入合计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本年支出合计</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rPr>
              <w:t>28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上年结转结余</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val="0"/>
                <w:bCs w:val="0"/>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年终结转结余</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rPr>
              <w:t>29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收入总计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支出总计</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r>
    </w:tbl>
    <w:p>
      <w:pPr>
        <w:pStyle w:val="3"/>
        <w:ind w:left="0" w:leftChars="0" w:firstLine="0" w:firstLineChars="0"/>
        <w:rPr>
          <w:rFonts w:ascii="宋体" w:hAnsi="宋体" w:cs="Arial"/>
          <w:b/>
          <w:color w:val="000000"/>
          <w:kern w:val="0"/>
          <w:sz w:val="40"/>
          <w:szCs w:val="40"/>
        </w:rPr>
      </w:pPr>
    </w:p>
    <w:tbl>
      <w:tblPr>
        <w:tblStyle w:val="12"/>
        <w:tblW w:w="14740" w:type="dxa"/>
        <w:tblInd w:w="0" w:type="dxa"/>
        <w:tblLayout w:type="fixed"/>
        <w:tblCellMar>
          <w:top w:w="0" w:type="dxa"/>
          <w:left w:w="0" w:type="dxa"/>
          <w:bottom w:w="0" w:type="dxa"/>
          <w:right w:w="0" w:type="dxa"/>
        </w:tblCellMar>
      </w:tblPr>
      <w:tblGrid>
        <w:gridCol w:w="495"/>
        <w:gridCol w:w="1153"/>
        <w:gridCol w:w="4210"/>
        <w:gridCol w:w="864"/>
        <w:gridCol w:w="1008"/>
        <w:gridCol w:w="1212"/>
        <w:gridCol w:w="333"/>
        <w:gridCol w:w="416"/>
        <w:gridCol w:w="607"/>
        <w:gridCol w:w="598"/>
        <w:gridCol w:w="911"/>
        <w:gridCol w:w="1241"/>
        <w:gridCol w:w="858"/>
        <w:gridCol w:w="834"/>
      </w:tblGrid>
      <w:tr>
        <w:tblPrEx>
          <w:tblCellMar>
            <w:top w:w="0" w:type="dxa"/>
            <w:left w:w="0" w:type="dxa"/>
            <w:bottom w:w="0" w:type="dxa"/>
            <w:right w:w="0" w:type="dxa"/>
          </w:tblCellMar>
        </w:tblPrEx>
        <w:trPr>
          <w:trHeight w:val="540" w:hRule="atLeast"/>
        </w:trPr>
        <w:tc>
          <w:tcPr>
            <w:tcW w:w="4426" w:type="pct"/>
            <w:gridSpan w:val="12"/>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2</w:t>
            </w:r>
          </w:p>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b/>
                <w:bCs/>
                <w:color w:val="000000"/>
                <w:kern w:val="0"/>
                <w:sz w:val="32"/>
                <w:szCs w:val="32"/>
              </w:rPr>
              <w:br w:type="page"/>
            </w:r>
            <w:r>
              <w:rPr>
                <w:rFonts w:hint="eastAsia" w:ascii="方正仿宋简体" w:hAnsi="方正仿宋简体" w:eastAsia="方正仿宋简体" w:cs="方正仿宋简体"/>
                <w:b/>
                <w:bCs/>
                <w:color w:val="000000"/>
                <w:kern w:val="0"/>
                <w:sz w:val="32"/>
                <w:szCs w:val="32"/>
              </w:rPr>
              <w:t>部门预算收入总表</w:t>
            </w:r>
          </w:p>
        </w:tc>
        <w:tc>
          <w:tcPr>
            <w:tcW w:w="291" w:type="pct"/>
            <w:tcBorders>
              <w:top w:val="nil"/>
              <w:left w:val="nil"/>
              <w:bottom w:val="nil"/>
              <w:right w:val="nil"/>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c>
          <w:tcPr>
            <w:tcW w:w="282" w:type="pct"/>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40" w:hRule="atLeast"/>
        </w:trPr>
        <w:tc>
          <w:tcPr>
            <w:tcW w:w="1987"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637遵化市马兰峪镇人民政府</w:t>
            </w:r>
          </w:p>
        </w:tc>
        <w:tc>
          <w:tcPr>
            <w:tcW w:w="1159" w:type="pct"/>
            <w:gridSpan w:val="4"/>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1852" w:type="pct"/>
            <w:gridSpan w:val="7"/>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435" w:hRule="atLeast"/>
        </w:trPr>
        <w:tc>
          <w:tcPr>
            <w:tcW w:w="16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序号</w:t>
            </w:r>
          </w:p>
        </w:tc>
        <w:tc>
          <w:tcPr>
            <w:tcW w:w="18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功能分类科目</w:t>
            </w:r>
          </w:p>
        </w:tc>
        <w:tc>
          <w:tcPr>
            <w:tcW w:w="29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2436"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本年收入</w:t>
            </w:r>
          </w:p>
        </w:tc>
        <w:tc>
          <w:tcPr>
            <w:tcW w:w="28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上年结转</w:t>
            </w:r>
          </w:p>
        </w:tc>
      </w:tr>
      <w:tr>
        <w:tblPrEx>
          <w:tblCellMar>
            <w:top w:w="0" w:type="dxa"/>
            <w:left w:w="0" w:type="dxa"/>
            <w:bottom w:w="0" w:type="dxa"/>
            <w:right w:w="0" w:type="dxa"/>
          </w:tblCellMar>
        </w:tblPrEx>
        <w:trPr>
          <w:trHeight w:val="765" w:hRule="atLeast"/>
        </w:trPr>
        <w:tc>
          <w:tcPr>
            <w:tcW w:w="16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科目编码</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科目名称</w:t>
            </w:r>
          </w:p>
        </w:tc>
        <w:tc>
          <w:tcPr>
            <w:tcW w:w="29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小计</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财政拨款</w:t>
            </w:r>
            <w:r>
              <w:rPr>
                <w:rStyle w:val="17"/>
                <w:rFonts w:hint="eastAsia" w:ascii="方正仿宋简体" w:hAnsi="方正仿宋简体" w:eastAsia="方正仿宋简体" w:cs="方正仿宋简体"/>
                <w:b w:val="0"/>
                <w:bCs/>
                <w:sz w:val="24"/>
                <w:szCs w:val="24"/>
              </w:rPr>
              <w:t xml:space="preserve"> 收入</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财政专户</w:t>
            </w:r>
            <w:r>
              <w:rPr>
                <w:rStyle w:val="17"/>
                <w:rFonts w:hint="eastAsia" w:ascii="方正仿宋简体" w:hAnsi="方正仿宋简体" w:eastAsia="方正仿宋简体" w:cs="方正仿宋简体"/>
                <w:b w:val="0"/>
                <w:bCs/>
                <w:sz w:val="24"/>
                <w:szCs w:val="24"/>
              </w:rPr>
              <w:t xml:space="preserve"> 收入</w:t>
            </w: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事业收入</w:t>
            </w: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经营收入</w:t>
            </w: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上级补助收入</w:t>
            </w: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附属单位上缴收入</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其他收入</w:t>
            </w:r>
          </w:p>
        </w:tc>
        <w:tc>
          <w:tcPr>
            <w:tcW w:w="28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color w:val="000000"/>
                <w:sz w:val="24"/>
                <w:szCs w:val="24"/>
              </w:rPr>
            </w:pPr>
          </w:p>
        </w:tc>
      </w:tr>
      <w:tr>
        <w:tblPrEx>
          <w:tblCellMar>
            <w:top w:w="0" w:type="dxa"/>
            <w:left w:w="0" w:type="dxa"/>
            <w:bottom w:w="0" w:type="dxa"/>
            <w:right w:w="0" w:type="dxa"/>
          </w:tblCellMar>
        </w:tblPrEx>
        <w:trPr>
          <w:trHeight w:val="360" w:hRule="atLeas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w:t>
            </w: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7</w:t>
            </w: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w:t>
            </w: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9</w:t>
            </w: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10</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11</w:t>
            </w: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12</w:t>
            </w: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合计</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widowControl/>
        <w:jc w:val="left"/>
        <w:rPr>
          <w:rFonts w:ascii="宋体" w:hAnsi="宋体" w:cs="Arial"/>
          <w:b/>
          <w:color w:val="000000"/>
          <w:kern w:val="0"/>
          <w:sz w:val="40"/>
          <w:szCs w:val="40"/>
        </w:rPr>
      </w:pPr>
      <w:r>
        <w:rPr>
          <w:rFonts w:ascii="宋体" w:hAnsi="宋体" w:cs="Arial"/>
          <w:b/>
          <w:color w:val="000000"/>
          <w:kern w:val="0"/>
          <w:sz w:val="40"/>
          <w:szCs w:val="40"/>
        </w:rPr>
        <w:br w:type="page"/>
      </w:r>
    </w:p>
    <w:tbl>
      <w:tblPr>
        <w:tblStyle w:val="12"/>
        <w:tblW w:w="14740" w:type="dxa"/>
        <w:tblInd w:w="0" w:type="dxa"/>
        <w:tblLayout w:type="autofit"/>
        <w:tblCellMar>
          <w:top w:w="0" w:type="dxa"/>
          <w:left w:w="0" w:type="dxa"/>
          <w:bottom w:w="0" w:type="dxa"/>
          <w:right w:w="0" w:type="dxa"/>
        </w:tblCellMar>
      </w:tblPr>
      <w:tblGrid>
        <w:gridCol w:w="510"/>
        <w:gridCol w:w="1220"/>
        <w:gridCol w:w="4799"/>
        <w:gridCol w:w="1311"/>
        <w:gridCol w:w="486"/>
        <w:gridCol w:w="771"/>
        <w:gridCol w:w="990"/>
        <w:gridCol w:w="991"/>
        <w:gridCol w:w="1471"/>
        <w:gridCol w:w="2191"/>
      </w:tblGrid>
      <w:tr>
        <w:tblPrEx>
          <w:tblCellMar>
            <w:top w:w="0" w:type="dxa"/>
            <w:left w:w="0" w:type="dxa"/>
            <w:bottom w:w="0" w:type="dxa"/>
            <w:right w:w="0" w:type="dxa"/>
          </w:tblCellMar>
        </w:tblPrEx>
        <w:trPr>
          <w:trHeight w:val="500" w:hRule="atLeast"/>
        </w:trPr>
        <w:tc>
          <w:tcPr>
            <w:tcW w:w="5000" w:type="pct"/>
            <w:gridSpan w:val="10"/>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3</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部门预算支出总表</w:t>
            </w:r>
          </w:p>
        </w:tc>
      </w:tr>
      <w:tr>
        <w:tblPrEx>
          <w:tblCellMar>
            <w:top w:w="0" w:type="dxa"/>
            <w:left w:w="0" w:type="dxa"/>
            <w:bottom w:w="0" w:type="dxa"/>
            <w:right w:w="0" w:type="dxa"/>
          </w:tblCellMar>
        </w:tblPrEx>
        <w:trPr>
          <w:trHeight w:val="280" w:hRule="atLeast"/>
        </w:trPr>
        <w:tc>
          <w:tcPr>
            <w:tcW w:w="2419"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637遵化市马兰峪镇人民政府</w:t>
            </w:r>
          </w:p>
        </w:tc>
        <w:tc>
          <w:tcPr>
            <w:tcW w:w="718" w:type="pct"/>
            <w:gridSpan w:val="2"/>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1862" w:type="pct"/>
            <w:gridSpan w:val="5"/>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tblPrEx>
          <w:tblCellMar>
            <w:top w:w="0" w:type="dxa"/>
            <w:left w:w="0" w:type="dxa"/>
            <w:bottom w:w="0" w:type="dxa"/>
            <w:right w:w="0" w:type="dxa"/>
          </w:tblCellMar>
        </w:tblPrEx>
        <w:trPr>
          <w:trHeight w:val="405" w:hRule="atLeast"/>
        </w:trPr>
        <w:tc>
          <w:tcPr>
            <w:tcW w:w="19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2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51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563"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29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c>
          <w:tcPr>
            <w:tcW w:w="33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经营支出</w:t>
            </w:r>
          </w:p>
        </w:tc>
        <w:tc>
          <w:tcPr>
            <w:tcW w:w="41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both"/>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rPr>
              <w:t>上缴</w:t>
            </w:r>
            <w:r>
              <w:rPr>
                <w:rFonts w:hint="eastAsia" w:ascii="方正仿宋简体" w:hAnsi="方正仿宋简体" w:eastAsia="方正仿宋简体" w:cs="方正仿宋简体"/>
                <w:b w:val="0"/>
                <w:bCs w:val="0"/>
                <w:color w:val="000000"/>
                <w:kern w:val="0"/>
                <w:sz w:val="24"/>
                <w:szCs w:val="24"/>
              </w:rPr>
              <w:t>上级支出</w:t>
            </w:r>
          </w:p>
        </w:tc>
        <w:tc>
          <w:tcPr>
            <w:tcW w:w="46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对附属单位补助支出</w:t>
            </w:r>
          </w:p>
        </w:tc>
      </w:tr>
      <w:tr>
        <w:tblPrEx>
          <w:tblCellMar>
            <w:top w:w="0" w:type="dxa"/>
            <w:left w:w="0" w:type="dxa"/>
            <w:bottom w:w="0" w:type="dxa"/>
            <w:right w:w="0" w:type="dxa"/>
          </w:tblCellMar>
        </w:tblPrEx>
        <w:trPr>
          <w:trHeight w:val="420" w:hRule="atLeast"/>
        </w:trPr>
        <w:tc>
          <w:tcPr>
            <w:tcW w:w="19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51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56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29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33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41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46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w:t>
            </w: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7</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w:t>
            </w: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842.2</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717.2</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59.28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59.28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W w:w="14740" w:type="dxa"/>
        <w:jc w:val="center"/>
        <w:tblLayout w:type="fixed"/>
        <w:tblCellMar>
          <w:top w:w="0" w:type="dxa"/>
          <w:left w:w="0" w:type="dxa"/>
          <w:bottom w:w="0" w:type="dxa"/>
          <w:right w:w="0" w:type="dxa"/>
        </w:tblCellMar>
      </w:tblPr>
      <w:tblGrid>
        <w:gridCol w:w="574"/>
        <w:gridCol w:w="3010"/>
        <w:gridCol w:w="929"/>
        <w:gridCol w:w="3762"/>
        <w:gridCol w:w="846"/>
        <w:gridCol w:w="1728"/>
        <w:gridCol w:w="1919"/>
        <w:gridCol w:w="1972"/>
      </w:tblGrid>
      <w:tr>
        <w:tblPrEx>
          <w:tblCellMar>
            <w:top w:w="0" w:type="dxa"/>
            <w:left w:w="0" w:type="dxa"/>
            <w:bottom w:w="0" w:type="dxa"/>
            <w:right w:w="0" w:type="dxa"/>
          </w:tblCellMar>
        </w:tblPrEx>
        <w:trPr>
          <w:trHeight w:val="660" w:hRule="atLeast"/>
          <w:jc w:val="center"/>
        </w:trPr>
        <w:tc>
          <w:tcPr>
            <w:tcW w:w="5000" w:type="pct"/>
            <w:gridSpan w:val="8"/>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4</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部门预算财政拨款收支总表</w:t>
            </w:r>
          </w:p>
        </w:tc>
      </w:tr>
      <w:tr>
        <w:tblPrEx>
          <w:tblCellMar>
            <w:top w:w="0" w:type="dxa"/>
            <w:left w:w="0" w:type="dxa"/>
            <w:bottom w:w="0" w:type="dxa"/>
            <w:right w:w="0" w:type="dxa"/>
          </w:tblCellMar>
        </w:tblPrEx>
        <w:trPr>
          <w:trHeight w:val="519" w:hRule="atLeast"/>
          <w:jc w:val="center"/>
        </w:trPr>
        <w:tc>
          <w:tcPr>
            <w:tcW w:w="1531"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637遵化市马兰峪镇人民政府</w:t>
            </w:r>
          </w:p>
        </w:tc>
        <w:tc>
          <w:tcPr>
            <w:tcW w:w="1276" w:type="pct"/>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2192" w:type="pct"/>
            <w:gridSpan w:val="4"/>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tblPrEx>
          <w:tblCellMar>
            <w:top w:w="0" w:type="dxa"/>
            <w:left w:w="0" w:type="dxa"/>
            <w:bottom w:w="0" w:type="dxa"/>
            <w:right w:w="0" w:type="dxa"/>
          </w:tblCellMar>
        </w:tblPrEx>
        <w:trPr>
          <w:trHeight w:val="380"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133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收入</w:t>
            </w:r>
          </w:p>
        </w:tc>
        <w:tc>
          <w:tcPr>
            <w:tcW w:w="3468"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w:t>
            </w:r>
          </w:p>
        </w:tc>
      </w:tr>
      <w:tr>
        <w:tblPrEx>
          <w:tblCellMar>
            <w:top w:w="0" w:type="dxa"/>
            <w:left w:w="0" w:type="dxa"/>
            <w:bottom w:w="0" w:type="dxa"/>
            <w:right w:w="0" w:type="dxa"/>
          </w:tblCellMar>
        </w:tblPrEx>
        <w:trPr>
          <w:trHeight w:val="1118"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  目</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  目</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一般公共预算财政拨款</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政府性基金预算财政拨款</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国有资本经营预算财政拨款</w:t>
            </w: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7</w:t>
            </w: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一、一般公共服务支出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二、外交支出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三、国防支出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四、公共安全支出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五、教育支出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六、科学技术支出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七、文化体育与传媒支出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八、社会保障和就业支出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九、卫生健康支出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67.54</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67.54</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十、节能环保支出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十一、城乡社区支出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十二、农林水支出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125</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125</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十三、交通运输支出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十四、资源勘探工业信息等支出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十五、商业服务业等支出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十六、金融支出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十七、援助其他地区支出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十八、自然资源海洋气象等支出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十九、住房保障支出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二十、粮油物资储备支出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二十一、国有资本经营预算支出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二十三、债务还本支出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二十四、债务付息支出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二十五、债务发行费用支出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二十六、其他支出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本年收入合计</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本年支出合计</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年初财政拨款结转和结余</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年末财政拨款结转和结余</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收入总计</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支出总计</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r>
        <w:br w:type="page"/>
      </w:r>
    </w:p>
    <w:tbl>
      <w:tblPr>
        <w:tblStyle w:val="12"/>
        <w:tblW w:w="5000" w:type="pct"/>
        <w:tblInd w:w="0" w:type="dxa"/>
        <w:tblLayout w:type="autofit"/>
        <w:tblCellMar>
          <w:top w:w="0" w:type="dxa"/>
          <w:left w:w="0" w:type="dxa"/>
          <w:bottom w:w="0" w:type="dxa"/>
          <w:right w:w="0" w:type="dxa"/>
        </w:tblCellMar>
      </w:tblPr>
      <w:tblGrid>
        <w:gridCol w:w="720"/>
        <w:gridCol w:w="1560"/>
        <w:gridCol w:w="4888"/>
        <w:gridCol w:w="2215"/>
        <w:gridCol w:w="2212"/>
        <w:gridCol w:w="2212"/>
      </w:tblGrid>
      <w:tr>
        <w:tblPrEx>
          <w:tblCellMar>
            <w:top w:w="0" w:type="dxa"/>
            <w:left w:w="0" w:type="dxa"/>
            <w:bottom w:w="0" w:type="dxa"/>
            <w:right w:w="0" w:type="dxa"/>
          </w:tblCellMar>
        </w:tblPrEx>
        <w:trPr>
          <w:trHeight w:val="881" w:hRule="atLeast"/>
        </w:trPr>
        <w:tc>
          <w:tcPr>
            <w:tcW w:w="5000" w:type="pct"/>
            <w:gridSpan w:val="6"/>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lang w:val="en-US" w:eastAsia="zh-CN"/>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5</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部门预算一般公共预算财政拨款支出表</w:t>
            </w:r>
          </w:p>
        </w:tc>
      </w:tr>
      <w:tr>
        <w:tblPrEx>
          <w:tblCellMar>
            <w:top w:w="0" w:type="dxa"/>
            <w:left w:w="0" w:type="dxa"/>
            <w:bottom w:w="0" w:type="dxa"/>
            <w:right w:w="0" w:type="dxa"/>
          </w:tblCellMar>
        </w:tblPrEx>
        <w:trPr>
          <w:trHeight w:val="285" w:hRule="atLeast"/>
        </w:trPr>
        <w:tc>
          <w:tcPr>
            <w:tcW w:w="3397" w:type="pct"/>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01"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w:t>
            </w:r>
            <w:r>
              <w:rPr>
                <w:rStyle w:val="18"/>
                <w:rFonts w:hint="eastAsia" w:ascii="方正仿宋简体" w:hAnsi="方正仿宋简体" w:eastAsia="方正仿宋简体" w:cs="方正仿宋简体"/>
                <w:b w:val="0"/>
                <w:bCs w:val="0"/>
                <w:sz w:val="24"/>
                <w:szCs w:val="24"/>
              </w:rPr>
              <w:t>2022</w:t>
            </w:r>
          </w:p>
        </w:tc>
        <w:tc>
          <w:tcPr>
            <w:tcW w:w="801" w:type="pct"/>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495" w:hRule="atLeast"/>
        </w:trPr>
        <w:tc>
          <w:tcPr>
            <w:tcW w:w="26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33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trHeight w:val="360" w:hRule="atLeast"/>
        </w:trPr>
        <w:tc>
          <w:tcPr>
            <w:tcW w:w="2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简体" w:hAnsi="方正仿宋简体" w:eastAsia="方正仿宋简体" w:cs="方正仿宋简体"/>
                <w:color w:val="000000"/>
                <w:sz w:val="24"/>
                <w:szCs w:val="24"/>
              </w:rPr>
            </w:pP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717.2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W w:w="5000" w:type="pct"/>
        <w:tblInd w:w="0" w:type="dxa"/>
        <w:tblLayout w:type="autofit"/>
        <w:tblCellMar>
          <w:top w:w="0" w:type="dxa"/>
          <w:left w:w="0" w:type="dxa"/>
          <w:bottom w:w="0" w:type="dxa"/>
          <w:right w:w="0" w:type="dxa"/>
        </w:tblCellMar>
      </w:tblPr>
      <w:tblGrid>
        <w:gridCol w:w="776"/>
        <w:gridCol w:w="1502"/>
        <w:gridCol w:w="5153"/>
        <w:gridCol w:w="1193"/>
        <w:gridCol w:w="2582"/>
        <w:gridCol w:w="2601"/>
      </w:tblGrid>
      <w:tr>
        <w:tblPrEx>
          <w:tblCellMar>
            <w:top w:w="0" w:type="dxa"/>
            <w:left w:w="0" w:type="dxa"/>
            <w:bottom w:w="0" w:type="dxa"/>
            <w:right w:w="0" w:type="dxa"/>
          </w:tblCellMar>
        </w:tblPrEx>
        <w:trPr>
          <w:trHeight w:val="858" w:hRule="atLeast"/>
        </w:trPr>
        <w:tc>
          <w:tcPr>
            <w:tcW w:w="5000" w:type="pct"/>
            <w:gridSpan w:val="6"/>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6</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部门预算一般公共预算财政拨款基本支出表</w:t>
            </w:r>
          </w:p>
        </w:tc>
      </w:tr>
      <w:tr>
        <w:tblPrEx>
          <w:tblCellMar>
            <w:top w:w="0" w:type="dxa"/>
            <w:left w:w="0" w:type="dxa"/>
            <w:bottom w:w="0" w:type="dxa"/>
            <w:right w:w="0" w:type="dxa"/>
          </w:tblCellMar>
        </w:tblPrEx>
        <w:trPr>
          <w:trHeight w:val="380" w:hRule="atLeast"/>
        </w:trPr>
        <w:tc>
          <w:tcPr>
            <w:tcW w:w="3122" w:type="pct"/>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935"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w:t>
            </w:r>
            <w:r>
              <w:rPr>
                <w:rStyle w:val="19"/>
                <w:rFonts w:hint="eastAsia" w:ascii="方正仿宋简体" w:hAnsi="方正仿宋简体" w:eastAsia="方正仿宋简体" w:cs="方正仿宋简体"/>
                <w:b w:val="0"/>
                <w:bCs w:val="0"/>
                <w:sz w:val="24"/>
                <w:szCs w:val="24"/>
              </w:rPr>
              <w:t>2022</w:t>
            </w:r>
          </w:p>
        </w:tc>
        <w:tc>
          <w:tcPr>
            <w:tcW w:w="941" w:type="pct"/>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402" w:hRule="atLeast"/>
        </w:trPr>
        <w:tc>
          <w:tcPr>
            <w:tcW w:w="28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41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支出部门经济分类科目</w:t>
            </w:r>
          </w:p>
        </w:tc>
        <w:tc>
          <w:tcPr>
            <w:tcW w:w="230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一般公共预算基本支出</w:t>
            </w:r>
          </w:p>
        </w:tc>
      </w:tr>
      <w:tr>
        <w:tblPrEx>
          <w:tblCellMar>
            <w:top w:w="0" w:type="dxa"/>
            <w:left w:w="0" w:type="dxa"/>
            <w:bottom w:w="0" w:type="dxa"/>
            <w:right w:w="0" w:type="dxa"/>
          </w:tblCellMar>
        </w:tblPrEx>
        <w:trPr>
          <w:trHeight w:val="555" w:hRule="atLeast"/>
        </w:trPr>
        <w:tc>
          <w:tcPr>
            <w:tcW w:w="28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人员经费</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公用经费</w:t>
            </w:r>
          </w:p>
        </w:tc>
      </w:tr>
      <w:tr>
        <w:tblPrEx>
          <w:tblCellMar>
            <w:top w:w="0" w:type="dxa"/>
            <w:left w:w="0" w:type="dxa"/>
            <w:bottom w:w="0" w:type="dxa"/>
            <w:right w:w="0" w:type="dxa"/>
          </w:tblCellMar>
        </w:tblPrEx>
        <w:trPr>
          <w:trHeight w:val="524"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bottom"/>
              <w:rPr>
                <w:rFonts w:hint="eastAsia" w:ascii="方正仿宋简体" w:hAnsi="方正仿宋简体" w:eastAsia="方正仿宋简体" w:cs="方正仿宋简体"/>
                <w:color w:val="000000"/>
                <w:kern w:val="0"/>
                <w:sz w:val="24"/>
                <w:szCs w:val="24"/>
              </w:rPr>
            </w:pP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717.2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632.64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工资福利支出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607.07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607.07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基本工资</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173.45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173.45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津贴补贴</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181.24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181.24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奖金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7.37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7.37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绩效工资</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59.49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59.49</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职业年金缴费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30110</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职工基本医疗保险缴费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33</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公务员医疗补助缴费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其他社会保障缴费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11.55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11.55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商品和服务支出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办公费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30206</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电费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邮电费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取暖费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差旅费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1.88</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1.88</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维修(护)费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0.92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0.92</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30215</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会议费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30216</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培训费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公务接待费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30228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工会经费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3.91</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3.91</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30229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福利费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4.59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4.59</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30231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公务用车运行维护费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30239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其他交通费用</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22.86</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22.86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30299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其他商品和服务支出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5.93</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对个人和家庭的补助</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25.57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25.57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退休费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11.73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11.73</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30304</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抚恤金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医疗费补助</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10.04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10.04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奖励金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0.1</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0.1</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pPr w:leftFromText="180" w:rightFromText="180" w:vertAnchor="text" w:horzAnchor="page" w:tblpX="1333" w:tblpY="300"/>
        <w:tblOverlap w:val="never"/>
        <w:tblW w:w="5000" w:type="pct"/>
        <w:tblInd w:w="0" w:type="dxa"/>
        <w:tblLayout w:type="autofit"/>
        <w:tblCellMar>
          <w:top w:w="0" w:type="dxa"/>
          <w:left w:w="0" w:type="dxa"/>
          <w:bottom w:w="0" w:type="dxa"/>
          <w:right w:w="0" w:type="dxa"/>
        </w:tblCellMar>
      </w:tblPr>
      <w:tblGrid>
        <w:gridCol w:w="746"/>
        <w:gridCol w:w="218"/>
        <w:gridCol w:w="1201"/>
        <w:gridCol w:w="218"/>
        <w:gridCol w:w="4101"/>
        <w:gridCol w:w="72"/>
        <w:gridCol w:w="2331"/>
        <w:gridCol w:w="88"/>
        <w:gridCol w:w="2314"/>
        <w:gridCol w:w="99"/>
        <w:gridCol w:w="2300"/>
        <w:gridCol w:w="119"/>
      </w:tblGrid>
      <w:tr>
        <w:tblPrEx>
          <w:tblCellMar>
            <w:top w:w="0" w:type="dxa"/>
            <w:left w:w="0" w:type="dxa"/>
            <w:bottom w:w="0" w:type="dxa"/>
            <w:right w:w="0" w:type="dxa"/>
          </w:tblCellMar>
        </w:tblPrEx>
        <w:trPr>
          <w:gridAfter w:val="1"/>
          <w:wAfter w:w="42" w:type="pct"/>
          <w:trHeight w:val="915" w:hRule="atLeast"/>
        </w:trPr>
        <w:tc>
          <w:tcPr>
            <w:tcW w:w="4957" w:type="pct"/>
            <w:gridSpan w:val="11"/>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7</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部门预算政府基金预算财政拨款支出表</w:t>
            </w:r>
          </w:p>
        </w:tc>
      </w:tr>
      <w:tr>
        <w:tblPrEx>
          <w:tblCellMar>
            <w:top w:w="0" w:type="dxa"/>
            <w:left w:w="0" w:type="dxa"/>
            <w:bottom w:w="0" w:type="dxa"/>
            <w:right w:w="0" w:type="dxa"/>
          </w:tblCellMar>
        </w:tblPrEx>
        <w:trPr>
          <w:gridAfter w:val="1"/>
          <w:wAfter w:w="42" w:type="pct"/>
          <w:trHeight w:val="435" w:hRule="atLeast"/>
        </w:trPr>
        <w:tc>
          <w:tcPr>
            <w:tcW w:w="3218" w:type="pct"/>
            <w:gridSpan w:val="7"/>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69" w:type="pct"/>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869" w:type="pct"/>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gridAfter w:val="1"/>
          <w:wAfter w:w="42" w:type="pct"/>
          <w:trHeight w:val="43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078"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gridAfter w:val="1"/>
          <w:wAfter w:w="42" w:type="pct"/>
          <w:trHeight w:val="82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gridAfter w:val="1"/>
          <w:wAfter w:w="42" w:type="pct"/>
          <w:trHeight w:val="543"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565"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31"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5"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19" w:hRule="exact"/>
        </w:trPr>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7"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1"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9"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270" w:hRule="atLeast"/>
        </w:trPr>
        <w:tc>
          <w:tcPr>
            <w:tcW w:w="4087" w:type="pct"/>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注：无政府基金预算财政拨款预算，空表列示。</w:t>
            </w:r>
          </w:p>
        </w:tc>
        <w:tc>
          <w:tcPr>
            <w:tcW w:w="869" w:type="pct"/>
            <w:gridSpan w:val="2"/>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780" w:hRule="atLeast"/>
        </w:trPr>
        <w:tc>
          <w:tcPr>
            <w:tcW w:w="5000" w:type="pct"/>
            <w:gridSpan w:val="12"/>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lang w:val="en-US" w:eastAsia="zh-CN"/>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8</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rPr>
              <w:t>部门预算国有资本经营预算财政拨款支出表</w:t>
            </w:r>
          </w:p>
        </w:tc>
      </w:tr>
      <w:tr>
        <w:tblPrEx>
          <w:tblCellMar>
            <w:top w:w="0" w:type="dxa"/>
            <w:left w:w="0" w:type="dxa"/>
            <w:bottom w:w="0" w:type="dxa"/>
            <w:right w:w="0" w:type="dxa"/>
          </w:tblCellMar>
        </w:tblPrEx>
        <w:trPr>
          <w:trHeight w:val="495" w:hRule="atLeast"/>
        </w:trPr>
        <w:tc>
          <w:tcPr>
            <w:tcW w:w="3250" w:type="pct"/>
            <w:gridSpan w:val="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74" w:type="pct"/>
            <w:gridSpan w:val="2"/>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875" w:type="pct"/>
            <w:gridSpan w:val="2"/>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540" w:hRule="atLeast"/>
        </w:trPr>
        <w:tc>
          <w:tcPr>
            <w:tcW w:w="349"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02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74"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74"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75"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trHeight w:val="480" w:hRule="atLeast"/>
        </w:trPr>
        <w:tc>
          <w:tcPr>
            <w:tcW w:w="349"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74"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75"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375" w:hRule="atLeast"/>
        </w:trPr>
        <w:tc>
          <w:tcPr>
            <w:tcW w:w="4124" w:type="pct"/>
            <w:gridSpan w:val="10"/>
            <w:tcBorders>
              <w:top w:val="single" w:color="000000" w:sz="4" w:space="0"/>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注：无国有资本经营预算财政拨款预算，空表列示。</w:t>
            </w:r>
          </w:p>
        </w:tc>
        <w:tc>
          <w:tcPr>
            <w:tcW w:w="875" w:type="pct"/>
            <w:gridSpan w:val="2"/>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bl>
    <w:p>
      <w:pPr>
        <w:pStyle w:val="3"/>
        <w:rPr>
          <w:rFonts w:ascii="宋体" w:hAnsi="宋体" w:cs="Arial"/>
          <w:b/>
          <w:color w:val="000000"/>
          <w:kern w:val="0"/>
          <w:sz w:val="40"/>
          <w:szCs w:val="40"/>
        </w:rPr>
      </w:pPr>
    </w:p>
    <w:tbl>
      <w:tblPr>
        <w:tblStyle w:val="12"/>
        <w:tblpPr w:leftFromText="180" w:rightFromText="180" w:vertAnchor="text" w:horzAnchor="page" w:tblpX="1723" w:tblpY="189"/>
        <w:tblOverlap w:val="never"/>
        <w:tblW w:w="5000" w:type="pct"/>
        <w:tblInd w:w="0" w:type="dxa"/>
        <w:tblLayout w:type="autofit"/>
        <w:tblCellMar>
          <w:top w:w="0" w:type="dxa"/>
          <w:left w:w="0" w:type="dxa"/>
          <w:bottom w:w="0" w:type="dxa"/>
          <w:right w:w="0" w:type="dxa"/>
        </w:tblCellMar>
      </w:tblPr>
      <w:tblGrid>
        <w:gridCol w:w="775"/>
        <w:gridCol w:w="4442"/>
        <w:gridCol w:w="1046"/>
        <w:gridCol w:w="1299"/>
        <w:gridCol w:w="1131"/>
        <w:gridCol w:w="1395"/>
        <w:gridCol w:w="795"/>
        <w:gridCol w:w="2924"/>
      </w:tblGrid>
      <w:tr>
        <w:tblPrEx>
          <w:tblCellMar>
            <w:top w:w="0" w:type="dxa"/>
            <w:left w:w="0" w:type="dxa"/>
            <w:bottom w:w="0" w:type="dxa"/>
            <w:right w:w="0" w:type="dxa"/>
          </w:tblCellMar>
        </w:tblPrEx>
        <w:trPr>
          <w:trHeight w:val="1290" w:hRule="atLeast"/>
        </w:trPr>
        <w:tc>
          <w:tcPr>
            <w:tcW w:w="5000" w:type="pct"/>
            <w:gridSpan w:val="8"/>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9</w:t>
            </w:r>
          </w:p>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b/>
                <w:bCs/>
                <w:color w:val="000000"/>
                <w:kern w:val="0"/>
                <w:sz w:val="32"/>
                <w:szCs w:val="32"/>
              </w:rPr>
              <w:t>部门预算财政拨款“三公”经费支出表</w:t>
            </w:r>
          </w:p>
        </w:tc>
      </w:tr>
      <w:tr>
        <w:tblPrEx>
          <w:tblCellMar>
            <w:top w:w="0" w:type="dxa"/>
            <w:left w:w="0" w:type="dxa"/>
            <w:bottom w:w="0" w:type="dxa"/>
            <w:right w:w="0" w:type="dxa"/>
          </w:tblCellMar>
        </w:tblPrEx>
        <w:trPr>
          <w:trHeight w:val="435" w:hRule="atLeast"/>
        </w:trPr>
        <w:tc>
          <w:tcPr>
            <w:tcW w:w="2739" w:type="pct"/>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637名称：遵化市马兰峪镇人民政府</w:t>
            </w:r>
          </w:p>
        </w:tc>
        <w:tc>
          <w:tcPr>
            <w:tcW w:w="914" w:type="pct"/>
            <w:gridSpan w:val="2"/>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1346" w:type="pct"/>
            <w:gridSpan w:val="2"/>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390" w:hRule="atLeast"/>
        </w:trPr>
        <w:tc>
          <w:tcPr>
            <w:tcW w:w="28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序号</w:t>
            </w:r>
          </w:p>
        </w:tc>
        <w:tc>
          <w:tcPr>
            <w:tcW w:w="160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项目</w:t>
            </w:r>
          </w:p>
        </w:tc>
        <w:tc>
          <w:tcPr>
            <w:tcW w:w="3108"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资金来源</w:t>
            </w:r>
          </w:p>
        </w:tc>
      </w:tr>
      <w:tr>
        <w:tblPrEx>
          <w:tblCellMar>
            <w:top w:w="0" w:type="dxa"/>
            <w:left w:w="0" w:type="dxa"/>
            <w:bottom w:w="0" w:type="dxa"/>
            <w:right w:w="0" w:type="dxa"/>
          </w:tblCellMar>
        </w:tblPrEx>
        <w:trPr>
          <w:trHeight w:val="1043" w:hRule="atLeast"/>
        </w:trPr>
        <w:tc>
          <w:tcPr>
            <w:tcW w:w="28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一般公共预算财政拨款</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政府性基金财政拨款</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国有资本经营预算财政拨款</w:t>
            </w:r>
          </w:p>
        </w:tc>
      </w:tr>
      <w:tr>
        <w:tblPrEx>
          <w:tblCellMar>
            <w:top w:w="0" w:type="dxa"/>
            <w:left w:w="0" w:type="dxa"/>
            <w:bottom w:w="0" w:type="dxa"/>
            <w:right w:w="0" w:type="dxa"/>
          </w:tblCellMar>
        </w:tblPrEx>
        <w:trPr>
          <w:trHeight w:val="629"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栏次</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1</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3</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4</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5</w:t>
            </w:r>
          </w:p>
        </w:tc>
      </w:tr>
      <w:tr>
        <w:tblPrEx>
          <w:tblCellMar>
            <w:top w:w="0" w:type="dxa"/>
            <w:left w:w="0" w:type="dxa"/>
            <w:bottom w:w="0" w:type="dxa"/>
            <w:right w:w="0" w:type="dxa"/>
          </w:tblCellMar>
        </w:tblPrEx>
        <w:trPr>
          <w:trHeight w:val="457"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15.7</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15.7</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b/>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61"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一、因公出国（境）费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69"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二、公务用车购置及运维费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63"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其中：公务用车购置费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486"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公务用车运行维护费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485"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三、公务接待费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bl>
    <w:p>
      <w:pPr>
        <w:widowControl/>
        <w:tabs>
          <w:tab w:val="left" w:pos="5552"/>
          <w:tab w:val="left" w:pos="7323"/>
          <w:tab w:val="left" w:pos="12218"/>
          <w:tab w:val="left" w:pos="14365"/>
          <w:tab w:val="left" w:pos="17759"/>
          <w:tab w:val="left" w:pos="19300"/>
          <w:tab w:val="left" w:pos="20220"/>
        </w:tabs>
        <w:jc w:val="both"/>
        <w:rPr>
          <w:rFonts w:ascii="宋体" w:hAnsi="宋体" w:cs="Arial"/>
          <w:b/>
          <w:color w:val="000000"/>
          <w:kern w:val="0"/>
          <w:sz w:val="40"/>
          <w:szCs w:val="40"/>
        </w:rPr>
      </w:pPr>
    </w:p>
    <w:p>
      <w:pPr>
        <w:pStyle w:val="2"/>
      </w:pPr>
    </w:p>
    <w:p>
      <w:pPr>
        <w:widowControl/>
        <w:tabs>
          <w:tab w:val="left" w:pos="5552"/>
          <w:tab w:val="left" w:pos="7323"/>
          <w:tab w:val="left" w:pos="12218"/>
          <w:tab w:val="left" w:pos="14365"/>
          <w:tab w:val="left" w:pos="17759"/>
          <w:tab w:val="left" w:pos="19300"/>
          <w:tab w:val="left" w:pos="20220"/>
        </w:tabs>
        <w:ind w:firstLine="642"/>
        <w:jc w:val="center"/>
        <w:rPr>
          <w:rFonts w:ascii="方正小标宋简体" w:hAnsi="宋体" w:eastAsia="方正小标宋简体" w:cs="Arial"/>
          <w:color w:val="000000"/>
          <w:kern w:val="0"/>
          <w:sz w:val="44"/>
          <w:szCs w:val="44"/>
        </w:rPr>
      </w:pPr>
      <w:r>
        <w:rPr>
          <w:rFonts w:hint="eastAsia" w:ascii="方正小标宋简体" w:hAnsi="宋体" w:eastAsia="方正小标宋简体" w:cs="Arial"/>
          <w:color w:val="000000"/>
          <w:kern w:val="0"/>
          <w:sz w:val="44"/>
          <w:szCs w:val="44"/>
        </w:rPr>
        <w:t>遵化市马兰峪镇人民政府2022年度预算信息公开的说明</w:t>
      </w:r>
    </w:p>
    <w:p>
      <w:pPr>
        <w:widowControl/>
        <w:tabs>
          <w:tab w:val="left" w:pos="5552"/>
          <w:tab w:val="left" w:pos="7323"/>
          <w:tab w:val="left" w:pos="12218"/>
          <w:tab w:val="left" w:pos="14365"/>
          <w:tab w:val="left" w:pos="17759"/>
          <w:tab w:val="left" w:pos="19300"/>
          <w:tab w:val="left" w:pos="20220"/>
        </w:tabs>
        <w:ind w:left="92" w:leftChars="44"/>
        <w:jc w:val="center"/>
        <w:rPr>
          <w:rFonts w:ascii="宋体" w:hAnsi="宋体" w:cs="Arial"/>
          <w:b/>
          <w:color w:val="000000"/>
          <w:kern w:val="0"/>
          <w:sz w:val="40"/>
          <w:szCs w:val="40"/>
        </w:rPr>
      </w:pPr>
    </w:p>
    <w:p>
      <w:pPr>
        <w:tabs>
          <w:tab w:val="left" w:pos="540"/>
        </w:tabs>
        <w:spacing w:line="57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sz w:val="32"/>
          <w:szCs w:val="32"/>
        </w:rPr>
        <w:t>按照《</w:t>
      </w:r>
      <w:r>
        <w:rPr>
          <w:rFonts w:hint="eastAsia" w:ascii="方正仿宋简体" w:hAnsi="宋体" w:eastAsia="方正仿宋简体" w:cs="宋体"/>
          <w:sz w:val="32"/>
          <w:szCs w:val="32"/>
          <w:lang w:eastAsia="zh-CN"/>
        </w:rPr>
        <w:t>中华人民共和国</w:t>
      </w:r>
      <w:bookmarkStart w:id="3" w:name="_GoBack"/>
      <w:bookmarkEnd w:id="3"/>
      <w:r>
        <w:rPr>
          <w:rFonts w:hint="eastAsia" w:ascii="方正仿宋简体" w:hAnsi="宋体" w:eastAsia="方正仿宋简体" w:cs="宋体"/>
          <w:sz w:val="32"/>
          <w:szCs w:val="32"/>
        </w:rPr>
        <w:t>预算法》、《地方预决算公开操作规程》和《河北省省级预算公开办法》规定，现将遵化市马兰峪镇人民政府2022年部门预算公开如下：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480" w:lineRule="auto"/>
        <w:ind w:firstLine="249" w:firstLineChars="78"/>
        <w:jc w:val="left"/>
        <w:rPr>
          <w:rFonts w:ascii="方正黑体简体" w:hAnsi="宋体" w:eastAsia="方正黑体简体" w:cs="宋体"/>
          <w:bCs/>
          <w:sz w:val="32"/>
          <w:szCs w:val="32"/>
        </w:rPr>
      </w:pPr>
      <w:r>
        <w:rPr>
          <w:rFonts w:hint="eastAsia" w:ascii="方正黑体简体" w:hAnsi="宋体" w:eastAsia="方正黑体简体" w:cs="宋体"/>
          <w:bCs/>
          <w:sz w:val="32"/>
          <w:szCs w:val="32"/>
        </w:rPr>
        <w:t>部门职责及机构设置情况</w:t>
      </w:r>
    </w:p>
    <w:p>
      <w:pPr>
        <w:widowControl/>
        <w:tabs>
          <w:tab w:val="left" w:pos="5552"/>
          <w:tab w:val="left" w:pos="7323"/>
          <w:tab w:val="left" w:pos="12218"/>
          <w:tab w:val="left" w:pos="14365"/>
          <w:tab w:val="left" w:pos="17759"/>
          <w:tab w:val="left" w:pos="19300"/>
          <w:tab w:val="left" w:pos="20220"/>
        </w:tabs>
        <w:spacing w:line="570" w:lineRule="exact"/>
        <w:ind w:firstLine="643" w:firstLineChars="200"/>
        <w:jc w:val="left"/>
        <w:rPr>
          <w:rFonts w:ascii="方正仿宋简体" w:hAnsi="宋体" w:eastAsia="方正仿宋简体" w:cs="宋体"/>
          <w:b/>
          <w:bCs/>
          <w:sz w:val="32"/>
          <w:szCs w:val="32"/>
        </w:rPr>
      </w:pPr>
      <w:r>
        <w:rPr>
          <w:rFonts w:hint="eastAsia" w:ascii="方正仿宋简体" w:hAnsi="宋体" w:eastAsia="方正仿宋简体" w:cs="宋体"/>
          <w:b/>
          <w:bCs/>
          <w:sz w:val="32"/>
          <w:szCs w:val="32"/>
        </w:rPr>
        <w:t>部门职责:</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（二）讨论和决定本镇经济建设、政治建设、文化建设、社会建设、生态文明建设和党的建设以及乡村振兴中的重大问题。</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（三）组织召开本级人民代表大会，充分行使重大事项决定权、监督权和任免权，做好人大代表工作，联系选民、反映群众意见和要求。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（七）按照干部管理权限，负责对干部的教育、培训、选拔、考核和监督工作。协助管理上级有关部门驻镇单位的干部。做好人才服务工作。</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（十）承办上级党委、人大、政府交办的其他事项。</w:t>
      </w:r>
    </w:p>
    <w:p>
      <w:pPr>
        <w:spacing w:line="570" w:lineRule="exact"/>
        <w:ind w:firstLine="643" w:firstLineChars="200"/>
        <w:rPr>
          <w:rFonts w:hint="eastAsia"/>
        </w:rPr>
      </w:pPr>
      <w:r>
        <w:rPr>
          <w:rFonts w:hint="eastAsia" w:ascii="宋体" w:hAnsi="宋体" w:cs="宋体"/>
          <w:b/>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遵化市马兰峪镇人民政府编制51名（行政编制25名、全额事业编制26名）。实有行政人数23名，全额事业人数20名。</w:t>
      </w:r>
    </w:p>
    <w:p>
      <w:pPr>
        <w:jc w:val="center"/>
        <w:outlineLvl w:val="0"/>
        <w:rPr>
          <w:rFonts w:ascii="方正仿宋简体" w:hAnsi="宋体" w:eastAsia="方正仿宋简体" w:cs="宋体"/>
          <w:b w:val="0"/>
          <w:bCs/>
          <w:sz w:val="32"/>
          <w:szCs w:val="32"/>
        </w:rPr>
      </w:pPr>
      <w:r>
        <w:rPr>
          <w:rFonts w:hint="eastAsia" w:ascii="方正仿宋简体" w:hAnsi="宋体" w:eastAsia="方正仿宋简体" w:cs="宋体"/>
          <w:b w:val="0"/>
          <w:bCs/>
          <w:sz w:val="32"/>
          <w:szCs w:val="32"/>
        </w:rPr>
        <w:t>部门机构设置情况</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5"/>
        <w:gridCol w:w="1837"/>
        <w:gridCol w:w="1808"/>
        <w:gridCol w:w="3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24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837"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808"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85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245"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1837"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1808"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3850" w:type="dxa"/>
            <w:vMerge w:val="continue"/>
            <w:noWrap/>
            <w:vAlign w:val="center"/>
          </w:tcPr>
          <w:p>
            <w:pPr>
              <w:spacing w:line="300" w:lineRule="exact"/>
              <w:jc w:val="center"/>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245"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遵化市马兰峪镇人民政府</w:t>
            </w:r>
          </w:p>
        </w:tc>
        <w:tc>
          <w:tcPr>
            <w:tcW w:w="1837"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808"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85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二、部门预算安排的总体情况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按照预算管理有关规定，目前我市部门预算的编制实行综合预算制度，即全部收入和支出都反映在预算中。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（一）</w:t>
      </w:r>
      <w:r>
        <w:rPr>
          <w:rFonts w:hint="eastAsia" w:ascii="方正仿宋简体" w:hAnsi="方正仿宋简体" w:eastAsia="方正仿宋简体" w:cs="方正仿宋简体"/>
          <w:b w:val="0"/>
          <w:bCs w:val="0"/>
          <w:sz w:val="32"/>
          <w:szCs w:val="32"/>
        </w:rPr>
        <w:t>收入说明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反映本部门当年全部收入。2022年预算收入842.2万元，其中：一般公共预算收入842.2万元，基金预算收入0万元，财政专户核拨收入0万元，其他来源收入0万元。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收支预算总表支出栏、基本支出表、项目支出表按经济分类和支出功能分类科目编制，反映遵化市马兰峪镇人民政府2022年度部门预算中支出预算的总体情况。2022年支出预算842.2万元，其中基本支出717.2万元，包括人员经费632.64万元和日常公用经费84.56万元；项目支出125万元</w:t>
      </w:r>
      <w:r>
        <w:rPr>
          <w:rFonts w:hint="eastAsia" w:ascii="方正仿宋简体" w:hAnsi="宋体" w:eastAsia="方正仿宋简体" w:cs="宋体"/>
          <w:sz w:val="32"/>
          <w:szCs w:val="32"/>
          <w:lang w:eastAsia="zh-CN"/>
        </w:rPr>
        <w:t>，</w:t>
      </w:r>
      <w:r>
        <w:rPr>
          <w:rFonts w:hint="eastAsia" w:ascii="方正仿宋简体" w:hAnsi="黑体" w:eastAsia="方正仿宋简体" w:cs="黑体"/>
          <w:sz w:val="32"/>
          <w:szCs w:val="32"/>
          <w:lang w:val="en-US" w:eastAsia="zh-CN"/>
        </w:rPr>
        <w:t>主要是乡镇服务群众经费</w:t>
      </w:r>
      <w:r>
        <w:rPr>
          <w:rFonts w:hint="eastAsia" w:ascii="方正仿宋简体" w:hAnsi="宋体" w:eastAsia="方正仿宋简体" w:cs="宋体"/>
          <w:sz w:val="32"/>
          <w:szCs w:val="32"/>
        </w:rPr>
        <w:t>。</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比上年增减情况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2022年预算收支安排842.2万元，较20</w:t>
      </w:r>
      <w:r>
        <w:rPr>
          <w:rFonts w:ascii="方正仿宋简体" w:hAnsi="宋体" w:eastAsia="方正仿宋简体" w:cs="宋体"/>
          <w:sz w:val="32"/>
          <w:szCs w:val="32"/>
        </w:rPr>
        <w:t>2</w:t>
      </w:r>
      <w:r>
        <w:rPr>
          <w:rFonts w:hint="eastAsia" w:ascii="方正仿宋简体" w:hAnsi="宋体" w:eastAsia="方正仿宋简体" w:cs="宋体"/>
          <w:sz w:val="32"/>
          <w:szCs w:val="32"/>
        </w:rPr>
        <w:t>1年预算665.32万元增加176.88万元，其中：基本支出增加78.88万元，主要为增加人员经费支出76.85万元（增加的主要原因为人员增加及补贴正常提标）；日常公用经费增加2.03万元（增加的主要原因为人员增加）。项目支出125万元，比上年度增加98万元（增加的主要原因为加大民生工程投入力度）。</w:t>
      </w:r>
    </w:p>
    <w:p>
      <w:pPr>
        <w:keepNext w:val="0"/>
        <w:keepLines w:val="0"/>
        <w:pageBreakBefore w:val="0"/>
        <w:widowControl w:val="0"/>
        <w:kinsoku/>
        <w:wordWrap/>
        <w:overflowPunct/>
        <w:topLinePunct w:val="0"/>
        <w:autoSpaceDE/>
        <w:autoSpaceDN/>
        <w:bidi w:val="0"/>
        <w:adjustRightInd/>
        <w:spacing w:line="570" w:lineRule="exact"/>
        <w:ind w:firstLine="800" w:firstLineChars="25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三、机关运行经费安排情况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2022年，我镇机关运行经费共计安排84.56万元，主要用于：2022年机关办公费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电费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培训费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公务用车运行维护费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退休干部公用经费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公务接待费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公务交通补贴</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其他商品和服务支出</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工会经费</w:t>
      </w:r>
      <w:r>
        <w:rPr>
          <w:rFonts w:hint="eastAsia" w:ascii="方正仿宋简体" w:hAnsi="宋体" w:eastAsia="方正仿宋简体" w:cs="宋体"/>
          <w:sz w:val="32"/>
          <w:szCs w:val="32"/>
          <w:lang w:val="en-US" w:eastAsia="zh-CN"/>
        </w:rPr>
        <w:t>和</w:t>
      </w:r>
      <w:r>
        <w:rPr>
          <w:rFonts w:hint="eastAsia" w:ascii="方正仿宋简体" w:hAnsi="宋体" w:eastAsia="方正仿宋简体" w:cs="宋体"/>
          <w:sz w:val="32"/>
          <w:szCs w:val="32"/>
        </w:rPr>
        <w:t>福利费</w:t>
      </w:r>
      <w:r>
        <w:rPr>
          <w:rFonts w:hint="eastAsia" w:ascii="方正仿宋简体" w:hAnsi="宋体" w:eastAsia="方正仿宋简体" w:cs="宋体"/>
          <w:sz w:val="32"/>
          <w:szCs w:val="32"/>
          <w:lang w:val="en-US" w:eastAsia="zh-CN"/>
        </w:rPr>
        <w:t>等支出</w:t>
      </w:r>
      <w:r>
        <w:rPr>
          <w:rFonts w:hint="eastAsia" w:ascii="方正仿宋简体" w:hAnsi="宋体" w:eastAsia="方正仿宋简体" w:cs="宋体"/>
          <w:sz w:val="32"/>
          <w:szCs w:val="32"/>
        </w:rPr>
        <w:t>。</w:t>
      </w:r>
    </w:p>
    <w:p>
      <w:pPr>
        <w:keepNext w:val="0"/>
        <w:keepLines w:val="0"/>
        <w:pageBreakBefore w:val="0"/>
        <w:widowControl w:val="0"/>
        <w:kinsoku/>
        <w:wordWrap/>
        <w:overflowPunct/>
        <w:topLinePunct w:val="0"/>
        <w:autoSpaceDE/>
        <w:autoSpaceDN/>
        <w:bidi w:val="0"/>
        <w:adjustRightInd/>
        <w:spacing w:line="570" w:lineRule="exact"/>
        <w:ind w:firstLine="800" w:firstLineChars="25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宋体"/>
          <w:sz w:val="32"/>
          <w:szCs w:val="32"/>
        </w:rPr>
      </w:pPr>
      <w:r>
        <w:rPr>
          <w:rFonts w:hint="eastAsia" w:ascii="方正仿宋简体" w:hAnsi="宋体" w:eastAsia="方正仿宋简体" w:cs="宋体"/>
          <w:sz w:val="32"/>
          <w:szCs w:val="32"/>
        </w:rPr>
        <w:t>2022年我镇“三公”经费预算安排</w:t>
      </w:r>
      <w:r>
        <w:rPr>
          <w:rFonts w:hint="eastAsia" w:ascii="方正仿宋简体" w:hAnsi="宋体" w:eastAsia="方正仿宋简体" w:cs="宋体"/>
          <w:sz w:val="32"/>
          <w:szCs w:val="32"/>
          <w:lang w:val="en-US" w:eastAsia="zh-CN"/>
        </w:rPr>
        <w:t>15.7</w:t>
      </w:r>
      <w:r>
        <w:rPr>
          <w:rFonts w:hint="eastAsia" w:ascii="方正仿宋简体" w:hAnsi="宋体" w:eastAsia="方正仿宋简体" w:cs="宋体"/>
          <w:sz w:val="32"/>
          <w:szCs w:val="32"/>
        </w:rPr>
        <w:t>万元，比2021年19.89万元减少</w:t>
      </w:r>
      <w:r>
        <w:rPr>
          <w:rFonts w:hint="eastAsia" w:ascii="方正仿宋简体" w:hAnsi="宋体" w:eastAsia="方正仿宋简体" w:cs="宋体"/>
          <w:sz w:val="32"/>
          <w:szCs w:val="32"/>
          <w:lang w:val="en-US" w:eastAsia="zh-CN"/>
        </w:rPr>
        <w:t>4.19</w:t>
      </w:r>
      <w:r>
        <w:rPr>
          <w:rFonts w:hint="eastAsia" w:ascii="方正仿宋简体" w:hAnsi="宋体" w:eastAsia="方正仿宋简体" w:cs="宋体"/>
          <w:sz w:val="32"/>
          <w:szCs w:val="32"/>
        </w:rPr>
        <w:t xml:space="preserve">万元，减少原因为按照上级要求，我镇无偿调出公务用车1辆。具体安排情况为： </w:t>
      </w:r>
    </w:p>
    <w:p>
      <w:pPr>
        <w:keepNext w:val="0"/>
        <w:keepLines w:val="0"/>
        <w:pageBreakBefore w:val="0"/>
        <w:widowControl w:val="0"/>
        <w:kinsoku/>
        <w:wordWrap/>
        <w:overflowPunct/>
        <w:topLinePunct w:val="0"/>
        <w:autoSpaceDE/>
        <w:autoSpaceDN/>
        <w:bidi w:val="0"/>
        <w:adjustRightInd/>
        <w:spacing w:line="570" w:lineRule="exact"/>
        <w:ind w:firstLine="320" w:firstLineChars="1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 xml:space="preserve"> （一）公务用车购置及运行费。2022年共计安排15.20万元，比2021年19.30万元减少4.10万元，减少原因为按照上级要求，我镇无偿调出公务用车1辆。其中：1、公务用车购置安排0万元，与2021年持平，无增减变化；2、公车运行维护经费安排15.20万元，比2021年19.30万元减少4.1万元。减少原因为按照上级要求，我镇无偿调出公务用车1辆。</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（二）公务接待费。2022年共计安排0.50万元，</w:t>
      </w:r>
      <w:r>
        <w:rPr>
          <w:rFonts w:hint="eastAsia" w:ascii="方正仿宋简体" w:hAnsi="宋体" w:eastAsia="方正仿宋简体" w:cs="宋体"/>
          <w:sz w:val="32"/>
          <w:szCs w:val="32"/>
          <w:lang w:val="en-US" w:eastAsia="zh-CN"/>
        </w:rPr>
        <w:t>比</w:t>
      </w:r>
      <w:r>
        <w:rPr>
          <w:rFonts w:hint="eastAsia" w:ascii="方正仿宋简体" w:hAnsi="宋体" w:eastAsia="方正仿宋简体" w:cs="宋体"/>
          <w:sz w:val="32"/>
          <w:szCs w:val="32"/>
        </w:rPr>
        <w:t>2021年0.59</w:t>
      </w:r>
      <w:r>
        <w:rPr>
          <w:rFonts w:hint="eastAsia" w:ascii="方正仿宋简体" w:hAnsi="宋体" w:eastAsia="方正仿宋简体" w:cs="宋体"/>
          <w:sz w:val="32"/>
          <w:szCs w:val="32"/>
          <w:lang w:val="en-US" w:eastAsia="zh-CN"/>
        </w:rPr>
        <w:t>万</w:t>
      </w:r>
      <w:r>
        <w:rPr>
          <w:rFonts w:hint="eastAsia" w:ascii="方正仿宋简体" w:hAnsi="宋体" w:eastAsia="方正仿宋简体" w:cs="宋体"/>
          <w:sz w:val="32"/>
          <w:szCs w:val="32"/>
        </w:rPr>
        <w:t>元减少0.09万元，主要是压缩开支，厉行节约。</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宋体"/>
          <w:sz w:val="32"/>
          <w:szCs w:val="32"/>
        </w:rPr>
      </w:pPr>
      <w:r>
        <w:rPr>
          <w:rFonts w:hint="eastAsia" w:ascii="方正仿宋简体" w:hAnsi="宋体" w:eastAsia="方正仿宋简体" w:cs="宋体"/>
          <w:sz w:val="32"/>
          <w:szCs w:val="32"/>
        </w:rPr>
        <w:t>（三）因公出国（境）费。2022年共计安排0万元，与2021年持平，无增减变化</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lang w:val="en-US" w:eastAsia="zh-CN"/>
        </w:rPr>
        <w:t>主要没有因公出国安排，所以未安排因公出国费。</w:t>
      </w:r>
    </w:p>
    <w:p>
      <w:pPr>
        <w:pStyle w:val="2"/>
        <w:keepNext w:val="0"/>
        <w:keepLines w:val="0"/>
        <w:pageBreakBefore w:val="0"/>
        <w:widowControl w:val="0"/>
        <w:kinsoku/>
        <w:wordWrap/>
        <w:overflowPunct/>
        <w:topLinePunct w:val="0"/>
        <w:autoSpaceDE/>
        <w:autoSpaceDN/>
        <w:bidi w:val="0"/>
        <w:adjustRightInd/>
        <w:spacing w:line="570" w:lineRule="exact"/>
        <w:ind w:left="0" w:leftChars="0" w:firstLine="640" w:firstLineChars="200"/>
        <w:textAlignment w:val="auto"/>
        <w:rPr>
          <w:rFonts w:ascii="宋体" w:hAnsi="宋体" w:cs="宋体"/>
          <w:b/>
          <w:sz w:val="32"/>
          <w:szCs w:val="32"/>
        </w:rPr>
      </w:pPr>
      <w:r>
        <w:rPr>
          <w:rFonts w:hint="eastAsia" w:ascii="方正黑体简体" w:hAnsi="宋体" w:eastAsia="方正黑体简体" w:cs="宋体"/>
          <w:bCs/>
          <w:sz w:val="32"/>
          <w:szCs w:val="32"/>
        </w:rPr>
        <w:t>五、绩效预算信息情况</w:t>
      </w:r>
      <w:r>
        <w:rPr>
          <w:rFonts w:hint="eastAsia" w:ascii="宋体" w:hAnsi="宋体" w:cs="宋体"/>
          <w:b/>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bookmarkStart w:id="0" w:name="_Toc_2_2_0000000001"/>
      <w:r>
        <w:rPr>
          <w:rFonts w:hint="eastAsia" w:ascii="方正楷体简体" w:hAnsi="方正楷体简体" w:eastAsia="方正楷体简体" w:cs="方正楷体简体"/>
          <w:sz w:val="32"/>
          <w:szCs w:val="32"/>
        </w:rPr>
        <w:t>第一部分 部门整体绩效目标</w:t>
      </w:r>
    </w:p>
    <w:bookmarkEnd w:id="0"/>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负责政务信息的收集、整理、反馈工作；组织对市政府重要工作、重大决策的调查研究，及时向市政府领导提出建议，当好参谋。负责镇政府各种会议及活动的准备和服务工作以及议定事项的落实。负责镇政府机关的档案、印章、信件管理和机要保密工作。围绕镇政府中心工作和上级政府经济社会发展的重要问题，开展调查研究，为领导决策提供有针对性、实用性、可操作性和超前性的对策和建议，并对决策执行情况进行跟踪调查和反馈。协调镇政府各部门之间的关系。负责对上级重要文件、市政府会议精神传达、决定事项及市政府领导批示的执行落实情况。负责镇政府机关值班和处理群众来信、来访的接待及应急管理工作，处理突发事件、重大灾情和重大事故，并负责向上级报告。负责行政审批上报服务工作。负责全镇农业和农村工作的综合、协调、指导。负责全镇小城镇建设、工业发展、环保、交通、拆迁等工作的综合、协调、督导。负责全镇财税、流通、市场建设、金融等工作的综合、协调、督导。负责档案行政管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1" w:name="_Toc_2_2_0000000002"/>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bookmarkEnd w:id="1"/>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完成乡镇服务群众专项经费（马兰峪镇）项目，主要用于乡镇服务群众工作。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绩效目标：保障我镇主干道等区域配齐环卫设施，推进户分类、组收集、村运转、乡镇处理垃圾集中收集，改善25个村生态环境。</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绩效指标：生活垃圾无害化处理及受益群众满意度的提升率≥90%。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1</w:t>
      </w:r>
      <w:r>
        <w:rPr>
          <w:rFonts w:hint="eastAsia" w:ascii="方正仿宋简体" w:hAnsi="宋体" w:eastAsia="方正仿宋简体" w:cs="宋体"/>
          <w:sz w:val="32"/>
          <w:szCs w:val="32"/>
        </w:rPr>
        <w:t>）完善制度建设。制定完善预算绩效管理制度、资金管理办法、工作保障制度等，为全年预算绩效目标的实现奠定制度基础。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2</w:t>
      </w:r>
      <w:r>
        <w:rPr>
          <w:rFonts w:hint="eastAsia" w:ascii="方正仿宋简体" w:hAnsi="宋体" w:eastAsia="方正仿宋简体" w:cs="宋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3</w:t>
      </w:r>
      <w:r>
        <w:rPr>
          <w:rFonts w:hint="eastAsia" w:ascii="方正仿宋简体" w:hAnsi="宋体" w:eastAsia="方正仿宋简体" w:cs="宋体"/>
          <w:sz w:val="32"/>
          <w:szCs w:val="32"/>
        </w:rPr>
        <w:t>）加强绩效运行监控。按要求开展绩效运行监控，发现问题及时采取措施，确保绩效目标如期保质实现。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4</w:t>
      </w:r>
      <w:r>
        <w:rPr>
          <w:rFonts w:hint="eastAsia" w:ascii="方正仿宋简体" w:hAnsi="宋体" w:eastAsia="方正仿宋简体" w:cs="宋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5</w:t>
      </w:r>
      <w:r>
        <w:rPr>
          <w:rFonts w:hint="eastAsia" w:ascii="方正仿宋简体" w:hAnsi="宋体" w:eastAsia="方正仿宋简体" w:cs="宋体"/>
          <w:sz w:val="32"/>
          <w:szCs w:val="32"/>
        </w:rPr>
        <w:t>）规范财务资产管理。完善财务管理制度，严格审批程序，加强固定资产登记、使用和报废处置管理，做到支出合理，物尽其用。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6</w:t>
      </w:r>
      <w:r>
        <w:rPr>
          <w:rFonts w:hint="eastAsia" w:ascii="方正仿宋简体" w:hAnsi="宋体" w:eastAsia="方正仿宋简体" w:cs="宋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7</w:t>
      </w:r>
      <w:r>
        <w:rPr>
          <w:rFonts w:hint="eastAsia" w:ascii="方正仿宋简体" w:hAnsi="宋体" w:eastAsia="方正仿宋简体" w:cs="宋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bookmarkStart w:id="2" w:name="_Toc_4_4_0000000004"/>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pPr>
        <w:spacing w:line="57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以下为本单位</w:t>
      </w:r>
      <w:r>
        <w:rPr>
          <w:rFonts w:hint="eastAsia" w:ascii="方正仿宋简体" w:hAnsi="方正仿宋简体" w:eastAsia="方正仿宋简体" w:cs="方正仿宋简体"/>
          <w:sz w:val="32"/>
          <w:szCs w:val="32"/>
        </w:rPr>
        <w:t>服务群众专项经费绩效目标表</w:t>
      </w:r>
      <w:bookmarkEnd w:id="2"/>
      <w:r>
        <w:rPr>
          <w:rFonts w:hint="eastAsia" w:ascii="方正仿宋简体" w:hAnsi="方正仿宋简体" w:eastAsia="方正仿宋简体" w:cs="方正仿宋简体"/>
          <w:sz w:val="32"/>
          <w:szCs w:val="32"/>
          <w:lang w:eastAsia="zh-CN"/>
        </w:rPr>
        <w:t>：</w:t>
      </w:r>
    </w:p>
    <w:tbl>
      <w:tblPr>
        <w:tblStyle w:val="12"/>
        <w:tblpPr w:leftFromText="180" w:rightFromText="180" w:vertAnchor="text" w:horzAnchor="page" w:tblpXSpec="center" w:tblpY="-185"/>
        <w:tblOverlap w:val="never"/>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26"/>
        <w:gridCol w:w="2087"/>
        <w:gridCol w:w="2627"/>
        <w:gridCol w:w="2098"/>
        <w:gridCol w:w="1139"/>
        <w:gridCol w:w="1315"/>
        <w:gridCol w:w="20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4250" w:type="pct"/>
            <w:gridSpan w:val="6"/>
            <w:tcBorders>
              <w:top w:val="single" w:color="FFFFFF" w:sz="6" w:space="0"/>
              <w:left w:val="single" w:color="FFFFFF" w:sz="6" w:space="0"/>
              <w:right w:val="single" w:color="FFFFFF" w:sz="6" w:space="0"/>
            </w:tcBorders>
            <w:noWrap/>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637001遵化市马兰峪镇人民政府本级</w:t>
            </w:r>
          </w:p>
        </w:tc>
        <w:tc>
          <w:tcPr>
            <w:tcW w:w="749" w:type="pct"/>
            <w:tcBorders>
              <w:top w:val="single" w:color="FFFFFF" w:sz="6" w:space="0"/>
              <w:left w:val="single" w:color="FFFFFF" w:sz="6" w:space="0"/>
              <w:right w:val="single" w:color="FFFFFF" w:sz="6" w:space="0"/>
            </w:tcBorders>
            <w:noWrap/>
            <w:vAlign w:val="center"/>
          </w:tcPr>
          <w:p>
            <w:pPr>
              <w:pStyle w:val="2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1685" w:type="pct"/>
            <w:gridSpan w:val="2"/>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13028122P002416100018</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1625" w:type="pct"/>
            <w:gridSpan w:val="3"/>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939" w:type="pct"/>
            <w:vMerge w:val="restar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746"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938"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125.00</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407"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125.00</w:t>
            </w:r>
          </w:p>
        </w:tc>
        <w:tc>
          <w:tcPr>
            <w:tcW w:w="46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749"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939" w:type="pct"/>
            <w:vMerge w:val="continue"/>
            <w:noWrap/>
          </w:tcPr>
          <w:p>
            <w:pPr>
              <w:rPr>
                <w:rFonts w:hint="eastAsia" w:ascii="方正仿宋简体" w:hAnsi="方正仿宋简体" w:eastAsia="方正仿宋简体" w:cs="方正仿宋简体"/>
                <w:b w:val="0"/>
                <w:bCs/>
                <w:sz w:val="24"/>
                <w:szCs w:val="24"/>
              </w:rPr>
            </w:pPr>
          </w:p>
        </w:tc>
        <w:tc>
          <w:tcPr>
            <w:tcW w:w="4060" w:type="pct"/>
            <w:gridSpan w:val="6"/>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此项资金用于我镇各村集体环境质量达标，防治病毒蔓延，保障农村环境提升等。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exact"/>
          <w:jc w:val="center"/>
        </w:trPr>
        <w:tc>
          <w:tcPr>
            <w:tcW w:w="939" w:type="pct"/>
            <w:vMerge w:val="restar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1685"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407"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w:t>
            </w:r>
            <w:r>
              <w:rPr>
                <w:rFonts w:hint="eastAsia" w:ascii="方正仿宋简体" w:hAnsi="方正仿宋简体" w:eastAsia="方正仿宋简体" w:cs="方正仿宋简体"/>
                <w:b w:val="0"/>
                <w:bCs/>
                <w:sz w:val="24"/>
                <w:szCs w:val="24"/>
              </w:rPr>
              <w:t>月底</w:t>
            </w:r>
          </w:p>
        </w:tc>
        <w:tc>
          <w:tcPr>
            <w:tcW w:w="1218"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exact"/>
          <w:jc w:val="center"/>
        </w:trPr>
        <w:tc>
          <w:tcPr>
            <w:tcW w:w="939" w:type="pct"/>
            <w:vMerge w:val="continue"/>
            <w:noWrap/>
          </w:tcPr>
          <w:p>
            <w:pPr>
              <w:rPr>
                <w:rFonts w:hint="eastAsia" w:ascii="方正仿宋简体" w:hAnsi="方正仿宋简体" w:eastAsia="方正仿宋简体" w:cs="方正仿宋简体"/>
                <w:b w:val="0"/>
                <w:bCs/>
                <w:sz w:val="24"/>
                <w:szCs w:val="24"/>
              </w:rPr>
            </w:pPr>
          </w:p>
        </w:tc>
        <w:tc>
          <w:tcPr>
            <w:tcW w:w="1685" w:type="pct"/>
            <w:gridSpan w:val="2"/>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750" w:type="pct"/>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407" w:type="pct"/>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1218" w:type="pct"/>
            <w:gridSpan w:val="2"/>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4060" w:type="pct"/>
            <w:gridSpan w:val="6"/>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1.环境质量达标，防治病毒蔓延。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exact"/>
          <w:tblHeader/>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746"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93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1157"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46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74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restar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村人居环境整治个数</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辖区25个村</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25个村</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提高环境卫生状况</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环境卫生质量得到提升</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设施正常使用率</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垃圾桶正常使用</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restar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经济影响力</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带动经济发展</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生活垃圾处理</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垃圾收集及运输</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人居环境整体水平</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人居生活环境得到改善</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观众满意度</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观众满意度</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bl>
    <w:p>
      <w:pPr>
        <w:spacing w:line="14" w:lineRule="exact"/>
        <w:ind w:firstLine="420" w:firstLineChars="200"/>
        <w:jc w:val="center"/>
        <w:rPr>
          <w:rFonts w:hint="eastAsia" w:ascii="方正仿宋简体" w:hAnsi="方正仿宋简体" w:eastAsia="方正仿宋简体" w:cs="方正仿宋简体"/>
        </w:rPr>
        <w:sectPr>
          <w:footerReference r:id="rId6" w:type="default"/>
          <w:pgSz w:w="16839" w:h="11907" w:orient="landscape"/>
          <w:pgMar w:top="1304" w:right="1474" w:bottom="1304" w:left="1588" w:header="624" w:footer="624" w:gutter="0"/>
          <w:pgNumType w:start="1"/>
          <w:cols w:space="720" w:num="1"/>
          <w:docGrid w:type="lines" w:linePitch="312" w:charSpace="0"/>
        </w:sectPr>
      </w:pP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六、政府采购预算情况</w:t>
      </w:r>
    </w:p>
    <w:p>
      <w:pPr>
        <w:spacing w:line="570" w:lineRule="exact"/>
        <w:ind w:firstLine="960" w:firstLineChars="300"/>
        <w:rPr>
          <w:rFonts w:hint="eastAsia" w:ascii="方正仿宋简体" w:hAnsi="宋体" w:eastAsia="方正仿宋简体" w:cs="宋体"/>
          <w:sz w:val="32"/>
          <w:szCs w:val="32"/>
        </w:rPr>
      </w:pPr>
      <w:r>
        <w:rPr>
          <w:rFonts w:hint="eastAsia" w:ascii="方正仿宋简体" w:hAnsi="宋体" w:eastAsia="方正仿宋简体" w:cs="宋体"/>
          <w:sz w:val="32"/>
          <w:szCs w:val="32"/>
          <w:lang w:val="en-US" w:eastAsia="zh-CN"/>
        </w:rPr>
        <w:t>2022年，马兰峪镇人民</w:t>
      </w:r>
      <w:r>
        <w:rPr>
          <w:rFonts w:hint="eastAsia" w:ascii="方正仿宋简体" w:hAnsi="宋体" w:eastAsia="方正仿宋简体" w:cs="宋体"/>
          <w:sz w:val="32"/>
          <w:szCs w:val="32"/>
        </w:rPr>
        <w:t>政府采购预算安排</w:t>
      </w:r>
      <w:r>
        <w:rPr>
          <w:rFonts w:hint="eastAsia" w:ascii="方正仿宋简体" w:hAnsi="宋体" w:eastAsia="方正仿宋简体" w:cs="宋体"/>
          <w:sz w:val="32"/>
          <w:szCs w:val="32"/>
          <w:lang w:val="en-US" w:eastAsia="zh-CN"/>
        </w:rPr>
        <w:t>0</w:t>
      </w:r>
      <w:r>
        <w:rPr>
          <w:rFonts w:hint="eastAsia" w:ascii="方正仿宋简体" w:hAnsi="宋体" w:eastAsia="方正仿宋简体" w:cs="宋体"/>
          <w:sz w:val="32"/>
          <w:szCs w:val="32"/>
        </w:rPr>
        <w:t>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6"/>
        <w:gridCol w:w="1322"/>
        <w:gridCol w:w="1225"/>
        <w:gridCol w:w="1508"/>
        <w:gridCol w:w="943"/>
        <w:gridCol w:w="660"/>
        <w:gridCol w:w="665"/>
        <w:gridCol w:w="660"/>
        <w:gridCol w:w="1508"/>
        <w:gridCol w:w="1225"/>
        <w:gridCol w:w="1791"/>
        <w:gridCol w:w="1225"/>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tblHeader/>
          <w:jc w:val="center"/>
        </w:trPr>
        <w:tc>
          <w:tcPr>
            <w:tcW w:w="6799"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637001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马兰峪镇人民政府</w:t>
            </w:r>
            <w:r>
              <w:rPr>
                <w:rFonts w:hint="eastAsia" w:ascii="方正仿宋简体" w:hAnsi="方正仿宋简体" w:eastAsia="方正仿宋简体" w:cs="方正仿宋简体"/>
                <w:sz w:val="28"/>
                <w:szCs w:val="28"/>
              </w:rPr>
              <w:t>部门</w:t>
            </w:r>
          </w:p>
        </w:tc>
        <w:tc>
          <w:tcPr>
            <w:tcW w:w="7358"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tblHeader/>
          <w:jc w:val="center"/>
        </w:trPr>
        <w:tc>
          <w:tcPr>
            <w:tcW w:w="17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政府采购项目来源</w:t>
            </w:r>
          </w:p>
        </w:tc>
        <w:tc>
          <w:tcPr>
            <w:tcW w:w="12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采购物品名称</w:t>
            </w:r>
          </w:p>
        </w:tc>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政府采购目录序号</w:t>
            </w:r>
          </w:p>
        </w:tc>
        <w:tc>
          <w:tcPr>
            <w:tcW w:w="9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lang w:eastAsia="zh-CN"/>
              </w:rPr>
            </w:pPr>
            <w:r>
              <w:rPr>
                <w:rFonts w:hint="eastAsia" w:ascii="方正仿宋简体" w:hAnsi="方正仿宋简体" w:eastAsia="方正仿宋简体" w:cs="方正仿宋简体"/>
                <w:b w:val="0"/>
                <w:bCs/>
                <w:sz w:val="28"/>
                <w:szCs w:val="28"/>
                <w:lang w:eastAsia="zh-CN"/>
              </w:rPr>
              <w:t>计量单位</w:t>
            </w: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数量</w:t>
            </w:r>
          </w:p>
        </w:tc>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单价</w:t>
            </w:r>
          </w:p>
        </w:tc>
        <w:tc>
          <w:tcPr>
            <w:tcW w:w="73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36" w:hRule="atLeast"/>
          <w:tblHeader/>
          <w:jc w:val="center"/>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项目名称</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预算资金</w:t>
            </w:r>
          </w:p>
        </w:tc>
        <w:tc>
          <w:tcPr>
            <w:tcW w:w="12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9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仿宋简体" w:hAnsi="方正仿宋简体" w:eastAsia="方正仿宋简体" w:cs="方正仿宋简体"/>
                <w:b w:val="0"/>
                <w:bCs/>
                <w:sz w:val="28"/>
                <w:szCs w:val="28"/>
                <w:lang w:val="en-US" w:eastAsia="zh-CN"/>
              </w:rPr>
            </w:pPr>
            <w:r>
              <w:rPr>
                <w:rFonts w:hint="eastAsia" w:ascii="方正仿宋简体" w:hAnsi="方正仿宋简体" w:eastAsia="方正仿宋简体" w:cs="方正仿宋简体"/>
                <w:b w:val="0"/>
                <w:bCs/>
                <w:sz w:val="28"/>
                <w:szCs w:val="28"/>
                <w:lang w:val="en-US" w:eastAsia="zh-CN"/>
              </w:rPr>
              <w:t>一般公共预算拨款</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基金预算拨款</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国有资本经营预算拨款</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财政专户核拨</w:t>
            </w:r>
          </w:p>
        </w:tc>
        <w:tc>
          <w:tcPr>
            <w:tcW w:w="9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7" w:hRule="atLeast"/>
          <w:jc w:val="center"/>
        </w:trPr>
        <w:tc>
          <w:tcPr>
            <w:tcW w:w="476" w:type="dxa"/>
            <w:noWrap w:val="0"/>
            <w:vAlign w:val="center"/>
          </w:tcPr>
          <w:p>
            <w:pPr>
              <w:spacing w:line="560" w:lineRule="exact"/>
              <w:jc w:val="center"/>
              <w:rPr>
                <w:rFonts w:hint="eastAsia" w:ascii="方正仿宋简体" w:hAnsi="方正仿宋简体" w:eastAsia="方正仿宋简体" w:cs="方正仿宋简体"/>
                <w:b w:val="0"/>
                <w:bCs/>
                <w:sz w:val="24"/>
                <w:szCs w:val="24"/>
                <w:highlight w:val="red"/>
                <w:lang w:eastAsia="zh-CN"/>
              </w:rPr>
            </w:pPr>
          </w:p>
        </w:tc>
        <w:tc>
          <w:tcPr>
            <w:tcW w:w="1322"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225" w:type="dxa"/>
            <w:noWrap w:val="0"/>
            <w:vAlign w:val="center"/>
          </w:tcPr>
          <w:p>
            <w:pPr>
              <w:spacing w:line="560" w:lineRule="exact"/>
              <w:jc w:val="left"/>
              <w:rPr>
                <w:rFonts w:hint="eastAsia" w:ascii="方正仿宋简体" w:hAnsi="方正仿宋简体" w:eastAsia="方正仿宋简体" w:cs="方正仿宋简体"/>
                <w:b w:val="0"/>
                <w:bCs/>
                <w:sz w:val="24"/>
                <w:szCs w:val="24"/>
                <w:highlight w:val="red"/>
              </w:rPr>
            </w:pPr>
          </w:p>
        </w:tc>
        <w:tc>
          <w:tcPr>
            <w:tcW w:w="1508" w:type="dxa"/>
            <w:noWrap w:val="0"/>
            <w:vAlign w:val="center"/>
          </w:tcPr>
          <w:p>
            <w:pPr>
              <w:spacing w:line="560" w:lineRule="exact"/>
              <w:jc w:val="left"/>
              <w:rPr>
                <w:rFonts w:hint="eastAsia" w:ascii="方正仿宋简体" w:hAnsi="方正仿宋简体" w:eastAsia="方正仿宋简体" w:cs="方正仿宋简体"/>
                <w:b w:val="0"/>
                <w:bCs/>
                <w:sz w:val="24"/>
                <w:szCs w:val="24"/>
                <w:highlight w:val="red"/>
              </w:rPr>
            </w:pPr>
          </w:p>
        </w:tc>
        <w:tc>
          <w:tcPr>
            <w:tcW w:w="943" w:type="dxa"/>
            <w:noWrap w:val="0"/>
            <w:vAlign w:val="center"/>
          </w:tcPr>
          <w:p>
            <w:pPr>
              <w:spacing w:line="560" w:lineRule="exact"/>
              <w:jc w:val="center"/>
              <w:rPr>
                <w:rFonts w:hint="eastAsia" w:ascii="方正仿宋简体" w:hAnsi="方正仿宋简体" w:eastAsia="方正仿宋简体" w:cs="方正仿宋简体"/>
                <w:b w:val="0"/>
                <w:bCs/>
                <w:sz w:val="24"/>
                <w:szCs w:val="24"/>
                <w:highlight w:val="red"/>
              </w:rPr>
            </w:pPr>
          </w:p>
        </w:tc>
        <w:tc>
          <w:tcPr>
            <w:tcW w:w="660"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66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660"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508"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22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1791"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122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949"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r>
    </w:tbl>
    <w:p>
      <w:pPr>
        <w:spacing w:line="560" w:lineRule="exact"/>
        <w:ind w:firstLine="280" w:firstLineChars="1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注：无政府采购预算</w:t>
      </w:r>
      <w:r>
        <w:rPr>
          <w:rFonts w:hint="eastAsia" w:ascii="方正仿宋简体" w:hAnsi="方正仿宋简体" w:eastAsia="方正仿宋简体" w:cs="方正仿宋简体"/>
          <w:sz w:val="28"/>
          <w:szCs w:val="28"/>
          <w:lang w:eastAsia="zh-CN"/>
        </w:rPr>
        <w:t>财政拨款预算，</w:t>
      </w:r>
      <w:r>
        <w:rPr>
          <w:rFonts w:hint="eastAsia" w:ascii="方正仿宋简体" w:hAnsi="方正仿宋简体" w:eastAsia="方正仿宋简体" w:cs="方正仿宋简体"/>
          <w:sz w:val="28"/>
          <w:szCs w:val="28"/>
        </w:rPr>
        <w:t>空表列示。</w:t>
      </w:r>
    </w:p>
    <w:p>
      <w:pPr>
        <w:pStyle w:val="2"/>
      </w:pPr>
    </w:p>
    <w:p>
      <w:pPr>
        <w:ind w:firstLine="800" w:firstLineChars="250"/>
        <w:rPr>
          <w:rFonts w:ascii="方正黑体简体" w:hAnsi="黑体" w:eastAsia="方正黑体简体" w:cs="黑体"/>
          <w:b/>
          <w:sz w:val="32"/>
          <w:szCs w:val="32"/>
        </w:rPr>
      </w:pPr>
      <w:r>
        <w:rPr>
          <w:rFonts w:hint="eastAsia" w:ascii="方正黑体简体" w:hAnsi="宋体" w:eastAsia="方正黑体简体" w:cs="宋体"/>
          <w:bCs/>
          <w:sz w:val="32"/>
          <w:szCs w:val="32"/>
        </w:rPr>
        <w:t>七、国有资产信息情况</w:t>
      </w:r>
      <w:r>
        <w:rPr>
          <w:rFonts w:hint="eastAsia" w:ascii="方正黑体简体" w:hAnsi="黑体" w:eastAsia="方正黑体简体" w:cs="黑体"/>
          <w:b/>
          <w:sz w:val="32"/>
          <w:szCs w:val="32"/>
        </w:rPr>
        <w:tab/>
      </w:r>
    </w:p>
    <w:p>
      <w:pPr>
        <w:spacing w:line="570" w:lineRule="exact"/>
        <w:ind w:firstLine="640" w:firstLineChars="200"/>
        <w:rPr>
          <w:rFonts w:ascii="方正仿宋简体" w:hAnsi="黑体" w:eastAsia="方正仿宋简体" w:cs="黑体"/>
          <w:sz w:val="32"/>
          <w:szCs w:val="32"/>
        </w:rPr>
      </w:pPr>
      <w:r>
        <w:rPr>
          <w:rFonts w:hint="eastAsia" w:ascii="方正仿宋简体" w:hAnsi="宋体" w:eastAsia="方正仿宋简体" w:cs="宋体"/>
          <w:sz w:val="32"/>
          <w:szCs w:val="32"/>
        </w:rPr>
        <w:t>我镇上年末固定资产金额为207.36万元（详见下表）。本年度无国有资产购置安排。</w:t>
      </w:r>
    </w:p>
    <w:tbl>
      <w:tblPr>
        <w:tblStyle w:val="12"/>
        <w:tblpPr w:leftFromText="180" w:rightFromText="180" w:vertAnchor="text" w:horzAnchor="page" w:tblpX="1861" w:tblpY="205"/>
        <w:tblOverlap w:val="never"/>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ind w:left="218" w:leftChars="104" w:firstLine="230" w:firstLineChars="72"/>
              <w:jc w:val="center"/>
              <w:rPr>
                <w:rFonts w:ascii="方正仿宋简体" w:hAnsi="黑体" w:eastAsia="方正仿宋简体" w:cs="黑体"/>
                <w:b/>
                <w:bCs/>
                <w:kern w:val="0"/>
                <w:sz w:val="32"/>
                <w:szCs w:val="32"/>
              </w:rPr>
            </w:pPr>
            <w:r>
              <w:rPr>
                <w:rFonts w:hint="eastAsia" w:ascii="方正仿宋简体" w:hAnsi="黑体" w:eastAsia="方正仿宋简体" w:cs="黑体"/>
                <w:b w:val="0"/>
                <w:bCs w:val="0"/>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编制部门：遵化市马兰峪镇人民政府</w:t>
            </w:r>
          </w:p>
        </w:tc>
        <w:tc>
          <w:tcPr>
            <w:tcW w:w="5103" w:type="dxa"/>
            <w:tcBorders>
              <w:top w:val="nil"/>
              <w:left w:val="nil"/>
              <w:bottom w:val="nil"/>
              <w:right w:val="nil"/>
            </w:tcBorders>
            <w:noWrap/>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207.36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3700</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63.38</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3700</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2</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36.46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　</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w:t>
            </w:r>
          </w:p>
        </w:tc>
      </w:tr>
      <w:tr>
        <w:tblPrEx>
          <w:tblCellMar>
            <w:top w:w="0" w:type="dxa"/>
            <w:left w:w="108" w:type="dxa"/>
            <w:bottom w:w="0" w:type="dxa"/>
            <w:right w:w="108" w:type="dxa"/>
          </w:tblCellMar>
        </w:tblPrEx>
        <w:trPr>
          <w:trHeight w:val="524"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single" w:color="auto" w:sz="4" w:space="0"/>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132</w:t>
            </w:r>
          </w:p>
        </w:tc>
        <w:tc>
          <w:tcPr>
            <w:tcW w:w="5103" w:type="dxa"/>
            <w:tcBorders>
              <w:top w:val="single" w:color="auto" w:sz="4" w:space="0"/>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107.52</w:t>
            </w:r>
          </w:p>
        </w:tc>
      </w:tr>
    </w:tbl>
    <w:p>
      <w:pPr>
        <w:ind w:firstLine="640"/>
        <w:rPr>
          <w:rFonts w:ascii="黑体" w:hAnsi="黑体" w:eastAsia="黑体" w:cs="黑体"/>
          <w:sz w:val="28"/>
          <w:szCs w:val="28"/>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pStyle w:val="3"/>
        <w:ind w:left="0" w:leftChars="0" w:firstLine="0" w:firstLineChars="0"/>
        <w:rPr>
          <w:rFonts w:hint="eastAsia"/>
        </w:rPr>
      </w:pP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八、专业名词解释</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（一）</w:t>
      </w:r>
      <w:r>
        <w:rPr>
          <w:rFonts w:hint="eastAsia" w:ascii="方正仿宋简体" w:hAnsi="宋体" w:eastAsia="方正仿宋简体" w:cs="宋体"/>
          <w:sz w:val="32"/>
          <w:szCs w:val="32"/>
        </w:rPr>
        <w:t>一般公共预算拨款收入：指财政当年拨付的资金。</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（二）</w:t>
      </w:r>
      <w:r>
        <w:rPr>
          <w:rFonts w:hint="eastAsia" w:ascii="方正仿宋简体" w:hAnsi="宋体" w:eastAsia="方正仿宋简体" w:cs="宋体"/>
          <w:sz w:val="32"/>
          <w:szCs w:val="32"/>
        </w:rPr>
        <w:t>事业收入：指事业单位开展专业业务活动及辅助活动所取得的收入。</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（三）</w:t>
      </w:r>
      <w:r>
        <w:rPr>
          <w:rFonts w:hint="eastAsia" w:ascii="方正仿宋简体" w:hAnsi="宋体" w:eastAsia="方正仿宋简体" w:cs="宋体"/>
          <w:sz w:val="32"/>
          <w:szCs w:val="32"/>
        </w:rPr>
        <w:t>其他收入：指除上述“财政拨款收入”、“事业收入”等以外的收入。主要是按规定动用的租房收入、存款利息收入等。</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（四）</w:t>
      </w:r>
      <w:r>
        <w:rPr>
          <w:rFonts w:hint="eastAsia" w:ascii="方正仿宋简体" w:hAnsi="宋体" w:eastAsia="方正仿宋简体" w:cs="宋体"/>
          <w:sz w:val="32"/>
          <w:szCs w:val="32"/>
        </w:rPr>
        <w:t>基本支出：指为保障机构正常运转、完成日常工作任务而发生的人员支出和公用支出。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（五）</w:t>
      </w:r>
      <w:r>
        <w:rPr>
          <w:rFonts w:hint="eastAsia" w:ascii="方正仿宋简体" w:hAnsi="宋体" w:eastAsia="方正仿宋简体" w:cs="宋体"/>
          <w:sz w:val="32"/>
          <w:szCs w:val="32"/>
        </w:rPr>
        <w:t>项目支出：指在基本支出之外为完成特定行政任务和事业发展目标所发生的支出。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（六）</w:t>
      </w:r>
      <w:r>
        <w:rPr>
          <w:rFonts w:hint="eastAsia" w:ascii="方正仿宋简体" w:hAnsi="宋体" w:eastAsia="方正仿宋简体" w:cs="宋体"/>
          <w:sz w:val="32"/>
          <w:szCs w:val="32"/>
        </w:rPr>
        <w:t>上缴上级支出：指所属单位上缴上级的支出。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（七）</w:t>
      </w:r>
      <w:r>
        <w:rPr>
          <w:rFonts w:hint="eastAsia" w:ascii="方正仿宋简体" w:hAnsi="宋体" w:eastAsia="方正仿宋简体" w:cs="宋体"/>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rPr>
          <w:rFonts w:ascii="方正仿宋简体" w:hAnsi="黑体" w:eastAsia="方正仿宋简体" w:cs="黑体"/>
          <w:sz w:val="32"/>
          <w:szCs w:val="32"/>
        </w:rPr>
      </w:pPr>
      <w:r>
        <w:rPr>
          <w:rFonts w:hint="eastAsia" w:ascii="方正仿宋简体" w:hAnsi="宋体" w:eastAsia="方正仿宋简体" w:cs="宋体"/>
          <w:sz w:val="32"/>
          <w:szCs w:val="32"/>
          <w:lang w:eastAsia="zh-CN"/>
        </w:rPr>
        <w:t>（八）</w:t>
      </w:r>
      <w:r>
        <w:rPr>
          <w:rFonts w:hint="eastAsia" w:ascii="方正仿宋简体" w:hAnsi="宋体" w:eastAsia="方正仿宋简体" w:cs="宋体"/>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 xml:space="preserve">  九、其他需要说明的事项</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（一）</w:t>
      </w:r>
      <w:r>
        <w:rPr>
          <w:rFonts w:hint="eastAsia" w:ascii="方正仿宋简体" w:hAnsi="宋体" w:eastAsia="方正仿宋简体" w:cs="宋体"/>
          <w:sz w:val="32"/>
          <w:szCs w:val="32"/>
        </w:rPr>
        <w:t>遵化市马兰峪镇政府2022年部门预算中未安排政府性基金预算，故政府性基金预算支出表为空。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（二）</w:t>
      </w:r>
      <w:r>
        <w:rPr>
          <w:rFonts w:hint="eastAsia" w:ascii="方正仿宋简体" w:hAnsi="宋体" w:eastAsia="方正仿宋简体" w:cs="宋体"/>
          <w:sz w:val="32"/>
          <w:szCs w:val="32"/>
        </w:rPr>
        <w:t>遵化市马兰峪政府2022年部门预算中未安排国有资本经营预算，故国有资本经营预算支出表为空。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（三）</w:t>
      </w:r>
      <w:r>
        <w:rPr>
          <w:rFonts w:hint="eastAsia" w:ascii="方正仿宋简体" w:hAnsi="宋体" w:eastAsia="方正仿宋简体" w:cs="宋体"/>
          <w:sz w:val="32"/>
          <w:szCs w:val="32"/>
        </w:rPr>
        <w:t>遵化市马兰峪政府2022年部门预算中未安排固定资产预算，故固定资产占用情况表为空表。</w:t>
      </w:r>
    </w:p>
    <w:p>
      <w:pPr>
        <w:spacing w:line="570" w:lineRule="exact"/>
        <w:ind w:firstLine="640" w:firstLineChars="200"/>
      </w:pPr>
      <w:r>
        <w:rPr>
          <w:rFonts w:hint="eastAsia" w:ascii="方正仿宋简体" w:hAnsi="宋体" w:eastAsia="方正仿宋简体" w:cs="宋体"/>
          <w:sz w:val="32"/>
          <w:szCs w:val="32"/>
          <w:lang w:eastAsia="zh-CN"/>
        </w:rPr>
        <w:t>（四）</w:t>
      </w:r>
      <w:r>
        <w:rPr>
          <w:rFonts w:hint="eastAsia" w:ascii="方正仿宋简体" w:hAnsi="宋体" w:eastAsia="方正仿宋简体" w:cs="宋体"/>
          <w:sz w:val="32"/>
          <w:szCs w:val="32"/>
        </w:rPr>
        <w:t>由于预算公开表格中金额数值应当保留两位小数，公开数据为四舍五入计算结果，个别数据合计项与分项之和存在小数点后差额，特此说明。</w:t>
      </w:r>
    </w:p>
    <w:sectPr>
      <w:head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7399"/>
        <w:tab w:val="clear" w:pos="4153"/>
        <w:tab w:val="clear" w:pos="8306"/>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firstLineChars="2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firstLineChars="2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D4BDF"/>
    <w:multiLevelType w:val="singleLevel"/>
    <w:tmpl w:val="89ED4BDF"/>
    <w:lvl w:ilvl="0" w:tentative="0">
      <w:start w:val="8"/>
      <w:numFmt w:val="chineseCounting"/>
      <w:suff w:val="nothing"/>
      <w:lvlText w:val="（%1）"/>
      <w:lvlJc w:val="left"/>
      <w:rPr>
        <w:rFonts w:hint="eastAsia"/>
      </w:rPr>
    </w:lvl>
  </w:abstractNum>
  <w:abstractNum w:abstractNumId="1">
    <w:nsid w:val="00000007"/>
    <w:multiLevelType w:val="singleLevel"/>
    <w:tmpl w:val="00000007"/>
    <w:lvl w:ilvl="0" w:tentative="0">
      <w:start w:val="1"/>
      <w:numFmt w:val="chineseCounting"/>
      <w:suff w:val="space"/>
      <w:lvlText w:val="%1、"/>
      <w:lvlJc w:val="left"/>
      <w:pPr>
        <w:ind w:left="420" w:firstLine="0"/>
      </w:pPr>
    </w:lvl>
  </w:abstractNum>
  <w:abstractNum w:abstractNumId="2">
    <w:nsid w:val="6B9DA865"/>
    <w:multiLevelType w:val="singleLevel"/>
    <w:tmpl w:val="6B9DA865"/>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009D4D98"/>
    <w:rsid w:val="000B26F5"/>
    <w:rsid w:val="000D6A02"/>
    <w:rsid w:val="00185547"/>
    <w:rsid w:val="001A3995"/>
    <w:rsid w:val="00301D31"/>
    <w:rsid w:val="00337BCC"/>
    <w:rsid w:val="00382CFE"/>
    <w:rsid w:val="004F199E"/>
    <w:rsid w:val="006329BB"/>
    <w:rsid w:val="006925F0"/>
    <w:rsid w:val="00882954"/>
    <w:rsid w:val="008A6435"/>
    <w:rsid w:val="0095391B"/>
    <w:rsid w:val="009D4D98"/>
    <w:rsid w:val="00AF264B"/>
    <w:rsid w:val="00B91AFD"/>
    <w:rsid w:val="00E41243"/>
    <w:rsid w:val="00E92817"/>
    <w:rsid w:val="00EE2E69"/>
    <w:rsid w:val="01B641E4"/>
    <w:rsid w:val="027F645F"/>
    <w:rsid w:val="0291336A"/>
    <w:rsid w:val="037A6BAB"/>
    <w:rsid w:val="041F1798"/>
    <w:rsid w:val="04436C74"/>
    <w:rsid w:val="050B75BE"/>
    <w:rsid w:val="05713DAA"/>
    <w:rsid w:val="061D7AA1"/>
    <w:rsid w:val="0829392F"/>
    <w:rsid w:val="0986643B"/>
    <w:rsid w:val="09D66CEF"/>
    <w:rsid w:val="0A0816AA"/>
    <w:rsid w:val="0ACC3D5E"/>
    <w:rsid w:val="0C6447C1"/>
    <w:rsid w:val="0CB15182"/>
    <w:rsid w:val="0DD310A7"/>
    <w:rsid w:val="0FC358CF"/>
    <w:rsid w:val="12D92633"/>
    <w:rsid w:val="13532C61"/>
    <w:rsid w:val="1382635F"/>
    <w:rsid w:val="13B33820"/>
    <w:rsid w:val="14CE7815"/>
    <w:rsid w:val="15027B2D"/>
    <w:rsid w:val="16240C7D"/>
    <w:rsid w:val="16A13733"/>
    <w:rsid w:val="18067EE2"/>
    <w:rsid w:val="18E27916"/>
    <w:rsid w:val="19BE6C44"/>
    <w:rsid w:val="1B5A7ECD"/>
    <w:rsid w:val="21F06B76"/>
    <w:rsid w:val="24E5569E"/>
    <w:rsid w:val="25F33774"/>
    <w:rsid w:val="269A7A44"/>
    <w:rsid w:val="27492FD5"/>
    <w:rsid w:val="286C558F"/>
    <w:rsid w:val="2BAD2AC1"/>
    <w:rsid w:val="2FEA4E51"/>
    <w:rsid w:val="309976B3"/>
    <w:rsid w:val="34757C18"/>
    <w:rsid w:val="34DD1293"/>
    <w:rsid w:val="36E72F94"/>
    <w:rsid w:val="3A8345DD"/>
    <w:rsid w:val="3AB54680"/>
    <w:rsid w:val="3BE8391D"/>
    <w:rsid w:val="450569E9"/>
    <w:rsid w:val="451C2179"/>
    <w:rsid w:val="45E375CE"/>
    <w:rsid w:val="4748635E"/>
    <w:rsid w:val="47C240A1"/>
    <w:rsid w:val="47FA489D"/>
    <w:rsid w:val="4A147FD5"/>
    <w:rsid w:val="4DB21698"/>
    <w:rsid w:val="508F2D43"/>
    <w:rsid w:val="51D11470"/>
    <w:rsid w:val="5203093B"/>
    <w:rsid w:val="53484D36"/>
    <w:rsid w:val="569476BE"/>
    <w:rsid w:val="571F52AF"/>
    <w:rsid w:val="576E66F6"/>
    <w:rsid w:val="57852F1D"/>
    <w:rsid w:val="57EF1FE3"/>
    <w:rsid w:val="596166E9"/>
    <w:rsid w:val="5A6B5367"/>
    <w:rsid w:val="5BDE7D75"/>
    <w:rsid w:val="5F24787B"/>
    <w:rsid w:val="621A730F"/>
    <w:rsid w:val="658C4B11"/>
    <w:rsid w:val="66E32546"/>
    <w:rsid w:val="679E4254"/>
    <w:rsid w:val="680F57CB"/>
    <w:rsid w:val="681D00AA"/>
    <w:rsid w:val="684D6D14"/>
    <w:rsid w:val="68910B89"/>
    <w:rsid w:val="689E472C"/>
    <w:rsid w:val="68C221F6"/>
    <w:rsid w:val="6AB7174F"/>
    <w:rsid w:val="6ABC29B1"/>
    <w:rsid w:val="6C5004C7"/>
    <w:rsid w:val="6C7E454E"/>
    <w:rsid w:val="6CED1BDC"/>
    <w:rsid w:val="6D474496"/>
    <w:rsid w:val="6D4A6C76"/>
    <w:rsid w:val="6F491593"/>
    <w:rsid w:val="6FAC5A46"/>
    <w:rsid w:val="70244ABB"/>
    <w:rsid w:val="7399429F"/>
    <w:rsid w:val="739E3F63"/>
    <w:rsid w:val="741C14D5"/>
    <w:rsid w:val="747F7B95"/>
    <w:rsid w:val="768A358E"/>
    <w:rsid w:val="76CA5674"/>
    <w:rsid w:val="76EB72C7"/>
    <w:rsid w:val="771221A0"/>
    <w:rsid w:val="775C0830"/>
    <w:rsid w:val="79FC1049"/>
    <w:rsid w:val="7A91719D"/>
    <w:rsid w:val="7ACF2EE5"/>
    <w:rsid w:val="7BC569C3"/>
    <w:rsid w:val="7C4F0B69"/>
    <w:rsid w:val="7CBB6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cs="宋体"/>
      <w:sz w:val="28"/>
      <w:szCs w:val="20"/>
    </w:rPr>
  </w:style>
  <w:style w:type="paragraph" w:styleId="5">
    <w:name w:val="toc 3"/>
    <w:basedOn w:val="1"/>
    <w:next w:val="1"/>
    <w:unhideWhenUsed/>
    <w:qFormat/>
    <w:uiPriority w:val="39"/>
    <w:pPr>
      <w:ind w:left="840" w:leftChars="400"/>
    </w:pPr>
  </w:style>
  <w:style w:type="paragraph" w:styleId="6">
    <w:name w:val="Balloon Text"/>
    <w:basedOn w:val="1"/>
    <w:link w:val="30"/>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4"/>
    <w:basedOn w:val="1"/>
    <w:next w:val="1"/>
    <w:unhideWhenUsed/>
    <w:qFormat/>
    <w:uiPriority w:val="39"/>
    <w:pPr>
      <w:ind w:left="1260" w:leftChars="600"/>
    </w:pPr>
  </w:style>
  <w:style w:type="paragraph" w:styleId="11">
    <w:name w:val="toc 2"/>
    <w:basedOn w:val="1"/>
    <w:next w:val="1"/>
    <w:unhideWhenUsed/>
    <w:qFormat/>
    <w:uiPriority w:val="39"/>
    <w:pPr>
      <w:ind w:left="420" w:leftChars="200"/>
    </w:pPr>
  </w:style>
  <w:style w:type="character" w:styleId="14">
    <w:name w:val="page number"/>
    <w:basedOn w:val="13"/>
    <w:qFormat/>
    <w:uiPriority w:val="99"/>
    <w:rPr>
      <w:rFonts w:cs="Times New Roman"/>
    </w:rPr>
  </w:style>
  <w:style w:type="character" w:styleId="15">
    <w:name w:val="Hyperlink"/>
    <w:basedOn w:val="13"/>
    <w:unhideWhenUsed/>
    <w:qFormat/>
    <w:uiPriority w:val="99"/>
    <w:rPr>
      <w:color w:val="0000FF"/>
      <w:u w:val="single"/>
    </w:rPr>
  </w:style>
  <w:style w:type="character" w:customStyle="1" w:styleId="16">
    <w:name w:val="font11"/>
    <w:basedOn w:val="13"/>
    <w:qFormat/>
    <w:uiPriority w:val="0"/>
    <w:rPr>
      <w:rFonts w:hint="default" w:ascii="方正书宋_GBK" w:hAnsi="方正书宋_GBK" w:eastAsia="方正书宋_GBK" w:cs="方正书宋_GBK"/>
      <w:b/>
      <w:color w:val="000000"/>
      <w:sz w:val="21"/>
      <w:szCs w:val="21"/>
      <w:u w:val="none"/>
    </w:rPr>
  </w:style>
  <w:style w:type="character" w:customStyle="1" w:styleId="17">
    <w:name w:val="font31"/>
    <w:basedOn w:val="13"/>
    <w:qFormat/>
    <w:uiPriority w:val="0"/>
    <w:rPr>
      <w:rFonts w:hint="default" w:ascii="方正书宋_GBK" w:hAnsi="方正书宋_GBK" w:eastAsia="方正书宋_GBK" w:cs="方正书宋_GBK"/>
      <w:b/>
      <w:color w:val="000000"/>
      <w:sz w:val="21"/>
      <w:szCs w:val="21"/>
      <w:u w:val="none"/>
    </w:rPr>
  </w:style>
  <w:style w:type="character" w:customStyle="1" w:styleId="18">
    <w:name w:val="font81"/>
    <w:basedOn w:val="13"/>
    <w:qFormat/>
    <w:uiPriority w:val="0"/>
    <w:rPr>
      <w:rFonts w:hint="default" w:ascii="Times New Roman" w:hAnsi="Times New Roman" w:cs="Times New Roman"/>
      <w:b/>
      <w:color w:val="000000"/>
      <w:sz w:val="22"/>
      <w:szCs w:val="22"/>
      <w:u w:val="none"/>
    </w:rPr>
  </w:style>
  <w:style w:type="character" w:customStyle="1" w:styleId="19">
    <w:name w:val="font21"/>
    <w:basedOn w:val="13"/>
    <w:qFormat/>
    <w:uiPriority w:val="0"/>
    <w:rPr>
      <w:rFonts w:hint="default" w:ascii="Times New Roman" w:hAnsi="Times New Roman" w:cs="Times New Roman"/>
      <w:b/>
      <w:color w:val="000000"/>
      <w:sz w:val="22"/>
      <w:szCs w:val="22"/>
      <w:u w:val="none"/>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单元格样式5"/>
    <w:basedOn w:val="1"/>
    <w:qFormat/>
    <w:uiPriority w:val="0"/>
    <w:pPr>
      <w:jc w:val="left"/>
    </w:pPr>
    <w:rPr>
      <w:rFonts w:ascii="方正书宋_GBK" w:hAnsi="方正书宋_GBK" w:eastAsia="方正书宋_GBK" w:cs="方正书宋_GBK"/>
      <w:b/>
    </w:rPr>
  </w:style>
  <w:style w:type="paragraph" w:customStyle="1" w:styleId="24">
    <w:name w:val="单元格样式4"/>
    <w:basedOn w:val="1"/>
    <w:qFormat/>
    <w:uiPriority w:val="0"/>
    <w:pPr>
      <w:jc w:val="right"/>
    </w:pPr>
    <w:rPr>
      <w:rFonts w:ascii="方正书宋_GBK" w:hAnsi="方正书宋_GBK" w:eastAsia="方正书宋_GBK" w:cs="方正书宋_GBK"/>
    </w:rPr>
  </w:style>
  <w:style w:type="paragraph" w:customStyle="1" w:styleId="25">
    <w:name w:val="单元格样式1"/>
    <w:basedOn w:val="1"/>
    <w:qFormat/>
    <w:uiPriority w:val="0"/>
    <w:pPr>
      <w:jc w:val="center"/>
    </w:pPr>
    <w:rPr>
      <w:rFonts w:ascii="方正书宋_GBK" w:hAnsi="方正书宋_GBK" w:eastAsia="方正书宋_GBK" w:cs="方正书宋_GBK"/>
      <w:b/>
    </w:rPr>
  </w:style>
  <w:style w:type="paragraph" w:customStyle="1" w:styleId="26">
    <w:name w:val="单元格样式2"/>
    <w:basedOn w:val="1"/>
    <w:qFormat/>
    <w:uiPriority w:val="0"/>
    <w:pPr>
      <w:jc w:val="left"/>
    </w:pPr>
    <w:rPr>
      <w:rFonts w:ascii="方正书宋_GBK" w:hAnsi="方正书宋_GBK" w:eastAsia="方正书宋_GBK" w:cs="方正书宋_GBK"/>
    </w:rPr>
  </w:style>
  <w:style w:type="paragraph" w:customStyle="1" w:styleId="27">
    <w:name w:val="单元格样式3"/>
    <w:basedOn w:val="1"/>
    <w:qFormat/>
    <w:uiPriority w:val="0"/>
    <w:pPr>
      <w:jc w:val="center"/>
    </w:pPr>
    <w:rPr>
      <w:rFonts w:ascii="方正书宋_GBK" w:hAnsi="方正书宋_GBK" w:eastAsia="方正书宋_GBK" w:cs="方正书宋_GBK"/>
    </w:rPr>
  </w:style>
  <w:style w:type="character" w:customStyle="1" w:styleId="28">
    <w:name w:val="页脚 Char"/>
    <w:basedOn w:val="13"/>
    <w:link w:val="7"/>
    <w:qFormat/>
    <w:uiPriority w:val="99"/>
    <w:rPr>
      <w:kern w:val="2"/>
      <w:sz w:val="18"/>
      <w:szCs w:val="18"/>
    </w:rPr>
  </w:style>
  <w:style w:type="paragraph" w:customStyle="1" w:styleId="29">
    <w:name w:val="TOC Heading"/>
    <w:basedOn w:val="4"/>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0">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6627C-5099-4D02-8B2F-D4FE0C151EE1}">
  <ds:schemaRefs/>
</ds:datastoreItem>
</file>

<file path=docProps/app.xml><?xml version="1.0" encoding="utf-8"?>
<Properties xmlns="http://schemas.openxmlformats.org/officeDocument/2006/extended-properties" xmlns:vt="http://schemas.openxmlformats.org/officeDocument/2006/docPropsVTypes">
  <Template>Normal</Template>
  <Pages>37</Pages>
  <Words>11129</Words>
  <Characters>12697</Characters>
  <Lines>85</Lines>
  <Paragraphs>24</Paragraphs>
  <TotalTime>1</TotalTime>
  <ScaleCrop>false</ScaleCrop>
  <LinksUpToDate>false</LinksUpToDate>
  <CharactersWithSpaces>12759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2022-05-22T03:08:00Z</cp:lastPrinted>
  <dcterms:modified xsi:type="dcterms:W3CDTF">2024-03-19T03:05:05Z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B0380ADCF986448EB2ABEB38B83B607B_12</vt:lpwstr>
  </property>
</Properties>
</file>