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cs="宋体"/>
          <w:b/>
          <w:sz w:val="44"/>
        </w:rPr>
      </w:pPr>
      <w:r>
        <w:rPr>
          <w:rFonts w:hint="eastAsia" w:ascii="宋体" w:hAnsi="宋体" w:cs="宋体"/>
          <w:b/>
          <w:sz w:val="44"/>
        </w:rPr>
        <w:t>马兰峪镇人民政府2022年</w:t>
      </w:r>
      <w:r>
        <w:rPr>
          <w:rFonts w:hint="eastAsia" w:ascii="宋体" w:hAnsi="宋体" w:cs="宋体"/>
          <w:b/>
          <w:sz w:val="44"/>
          <w:lang w:eastAsia="zh-CN"/>
        </w:rPr>
        <w:t>单位</w:t>
      </w:r>
      <w:r>
        <w:rPr>
          <w:rFonts w:hint="eastAsia" w:ascii="宋体" w:hAnsi="宋体" w:cs="宋体"/>
          <w:b/>
          <w:sz w:val="44"/>
        </w:rPr>
        <w:t>预算信息公开目录</w:t>
      </w:r>
    </w:p>
    <w:p>
      <w:pPr>
        <w:jc w:val="center"/>
        <w:rPr>
          <w:rFonts w:ascii="宋体" w:hAnsi="宋体" w:cs="宋体"/>
          <w:b/>
          <w:sz w:val="30"/>
        </w:rPr>
      </w:pPr>
    </w:p>
    <w:p>
      <w:pPr>
        <w:jc w:val="left"/>
        <w:rPr>
          <w:rFonts w:ascii="宋体" w:hAnsi="宋体" w:cs="宋体"/>
          <w:b/>
          <w:sz w:val="28"/>
        </w:rPr>
      </w:pPr>
      <w:r>
        <w:rPr>
          <w:rFonts w:hint="eastAsia" w:ascii="宋体" w:hAnsi="宋体" w:cs="宋体"/>
          <w:b/>
          <w:sz w:val="28"/>
          <w:lang w:eastAsia="zh-CN"/>
        </w:rPr>
        <w:t>本级</w:t>
      </w:r>
      <w:r>
        <w:rPr>
          <w:rFonts w:hint="eastAsia" w:ascii="宋体" w:hAnsi="宋体" w:cs="宋体"/>
          <w:b/>
          <w:sz w:val="28"/>
        </w:rPr>
        <w:t>预算公开表</w:t>
      </w:r>
    </w:p>
    <w:p>
      <w:pPr>
        <w:pStyle w:val="11"/>
        <w:tabs>
          <w:tab w:val="right" w:leader="dot" w:pos="14789"/>
        </w:tabs>
        <w:jc w:val="center"/>
        <w:rPr>
          <w:rFonts w:ascii="宋体" w:hAnsi="宋体" w:cs="宋体"/>
          <w:sz w:val="28"/>
        </w:rPr>
      </w:pPr>
      <w:r>
        <w:rPr>
          <w:rFonts w:hint="eastAsia" w:ascii="宋体" w:hAnsi="宋体" w:cs="宋体"/>
          <w:sz w:val="28"/>
        </w:rPr>
        <w:fldChar w:fldCharType="begin"/>
      </w:r>
      <w:r>
        <w:rPr>
          <w:rFonts w:hint="eastAsia" w:ascii="宋体" w:hAnsi="宋体" w:cs="宋体"/>
          <w:sz w:val="28"/>
        </w:rPr>
        <w:instrText xml:space="preserve"> TOC \o "2-2" \h \z \u \t "-1"</w:instrText>
      </w:r>
      <w:r>
        <w:rPr>
          <w:rFonts w:hint="eastAsia" w:ascii="宋体" w:hAnsi="宋体" w:cs="宋体"/>
          <w:sz w:val="28"/>
        </w:rPr>
        <w:fldChar w:fldCharType="separate"/>
      </w:r>
      <w:r>
        <w:fldChar w:fldCharType="begin"/>
      </w:r>
      <w:r>
        <w:instrText xml:space="preserve"> HYPERLINK \l "_Toc68791536" </w:instrText>
      </w:r>
      <w:r>
        <w:fldChar w:fldCharType="separate"/>
      </w:r>
      <w:r>
        <w:rPr>
          <w:rStyle w:val="15"/>
          <w:rFonts w:hint="eastAsia" w:ascii="宋体" w:hAnsi="宋体" w:cs="宋体"/>
          <w:color w:val="auto"/>
          <w:sz w:val="28"/>
          <w:u w:val="none"/>
          <w:lang w:eastAsia="zh-CN"/>
        </w:rPr>
        <w:t>本级</w:t>
      </w:r>
      <w:r>
        <w:rPr>
          <w:rStyle w:val="15"/>
          <w:rFonts w:hint="eastAsia" w:ascii="宋体" w:hAnsi="宋体" w:cs="宋体"/>
          <w:color w:val="auto"/>
          <w:sz w:val="28"/>
          <w:u w:val="none"/>
        </w:rPr>
        <w:t>预算收支总表</w:t>
      </w:r>
      <w:r>
        <w:rPr>
          <w:rFonts w:hint="eastAsia" w:ascii="宋体" w:hAnsi="宋体" w:cs="宋体"/>
          <w:sz w:val="28"/>
        </w:rPr>
        <w:tab/>
      </w:r>
      <w:r>
        <w:rPr>
          <w:rFonts w:hint="eastAsia" w:ascii="宋体" w:hAnsi="宋体" w:cs="宋体"/>
          <w:sz w:val="28"/>
        </w:rPr>
        <w:t>1</w:t>
      </w:r>
      <w:r>
        <w:rPr>
          <w:rFonts w:hint="eastAsia" w:ascii="宋体" w:hAnsi="宋体" w:cs="宋体"/>
          <w:sz w:val="28"/>
        </w:rPr>
        <w:fldChar w:fldCharType="end"/>
      </w:r>
    </w:p>
    <w:p>
      <w:pPr>
        <w:pStyle w:val="11"/>
        <w:tabs>
          <w:tab w:val="right" w:leader="dot" w:pos="14789"/>
        </w:tabs>
        <w:jc w:val="center"/>
        <w:rPr>
          <w:rFonts w:hint="eastAsia" w:ascii="宋体" w:hAnsi="宋体" w:eastAsia="宋体" w:cs="宋体"/>
          <w:sz w:val="28"/>
          <w:lang w:val="en-US" w:eastAsia="zh-CN"/>
        </w:rPr>
      </w:pPr>
      <w:r>
        <w:fldChar w:fldCharType="begin"/>
      </w:r>
      <w:r>
        <w:instrText xml:space="preserve"> HYPERLINK \l "_Toc68791537" </w:instrText>
      </w:r>
      <w:r>
        <w:fldChar w:fldCharType="separate"/>
      </w:r>
      <w:r>
        <w:rPr>
          <w:rStyle w:val="15"/>
          <w:rFonts w:hint="eastAsia" w:ascii="宋体" w:hAnsi="宋体" w:cs="宋体"/>
          <w:color w:val="auto"/>
          <w:sz w:val="28"/>
          <w:u w:val="none"/>
          <w:lang w:eastAsia="zh-CN"/>
        </w:rPr>
        <w:t>本级</w:t>
      </w:r>
      <w:r>
        <w:rPr>
          <w:rStyle w:val="15"/>
          <w:rFonts w:hint="eastAsia" w:ascii="宋体" w:hAnsi="宋体" w:cs="宋体"/>
          <w:color w:val="auto"/>
          <w:sz w:val="28"/>
          <w:u w:val="none"/>
        </w:rPr>
        <w:t>预算收入总表</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3</w:t>
      </w:r>
    </w:p>
    <w:p>
      <w:pPr>
        <w:pStyle w:val="11"/>
        <w:tabs>
          <w:tab w:val="right" w:leader="dot" w:pos="14789"/>
        </w:tabs>
        <w:jc w:val="center"/>
        <w:rPr>
          <w:rFonts w:hint="eastAsia" w:ascii="宋体" w:hAnsi="宋体" w:eastAsia="宋体" w:cs="宋体"/>
          <w:sz w:val="28"/>
          <w:lang w:val="en-US" w:eastAsia="zh-CN"/>
        </w:rPr>
      </w:pPr>
      <w:r>
        <w:fldChar w:fldCharType="begin"/>
      </w:r>
      <w:r>
        <w:instrText xml:space="preserve"> HYPERLINK \l "_Toc68791538" </w:instrText>
      </w:r>
      <w:r>
        <w:fldChar w:fldCharType="separate"/>
      </w:r>
      <w:r>
        <w:rPr>
          <w:rStyle w:val="15"/>
          <w:rFonts w:hint="eastAsia" w:ascii="宋体" w:hAnsi="宋体" w:cs="宋体"/>
          <w:color w:val="auto"/>
          <w:sz w:val="28"/>
          <w:u w:val="none"/>
          <w:lang w:eastAsia="zh-CN"/>
        </w:rPr>
        <w:t>本级</w:t>
      </w:r>
      <w:r>
        <w:rPr>
          <w:rStyle w:val="15"/>
          <w:rFonts w:hint="eastAsia" w:ascii="宋体" w:hAnsi="宋体" w:cs="宋体"/>
          <w:color w:val="auto"/>
          <w:sz w:val="28"/>
          <w:u w:val="none"/>
        </w:rPr>
        <w:t>预算支出总表</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5</w:t>
      </w:r>
    </w:p>
    <w:p>
      <w:pPr>
        <w:pStyle w:val="11"/>
        <w:tabs>
          <w:tab w:val="right" w:leader="dot" w:pos="14789"/>
        </w:tabs>
        <w:jc w:val="center"/>
        <w:rPr>
          <w:rFonts w:hint="eastAsia" w:ascii="宋体" w:hAnsi="宋体" w:eastAsia="宋体" w:cs="宋体"/>
          <w:sz w:val="28"/>
          <w:lang w:val="en-US" w:eastAsia="zh-CN"/>
        </w:rPr>
      </w:pPr>
      <w:r>
        <w:fldChar w:fldCharType="begin"/>
      </w:r>
      <w:r>
        <w:instrText xml:space="preserve"> HYPERLINK \l "_Toc68791539" </w:instrText>
      </w:r>
      <w:r>
        <w:fldChar w:fldCharType="separate"/>
      </w:r>
      <w:r>
        <w:rPr>
          <w:rStyle w:val="15"/>
          <w:rFonts w:hint="eastAsia" w:ascii="宋体" w:hAnsi="宋体" w:cs="宋体"/>
          <w:color w:val="auto"/>
          <w:sz w:val="28"/>
          <w:u w:val="none"/>
          <w:lang w:eastAsia="zh-CN"/>
        </w:rPr>
        <w:t>本级</w:t>
      </w:r>
      <w:r>
        <w:rPr>
          <w:rStyle w:val="15"/>
          <w:rFonts w:hint="eastAsia" w:ascii="宋体" w:hAnsi="宋体" w:cs="宋体"/>
          <w:color w:val="auto"/>
          <w:sz w:val="28"/>
          <w:u w:val="none"/>
        </w:rPr>
        <w:t>预算财政拨款收支总表</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7</w:t>
      </w:r>
    </w:p>
    <w:p>
      <w:pPr>
        <w:pStyle w:val="11"/>
        <w:tabs>
          <w:tab w:val="right" w:leader="dot" w:pos="14789"/>
        </w:tabs>
        <w:jc w:val="center"/>
        <w:rPr>
          <w:rFonts w:hint="default" w:ascii="宋体" w:hAnsi="宋体" w:eastAsia="宋体" w:cs="宋体"/>
          <w:sz w:val="28"/>
          <w:lang w:val="en-US" w:eastAsia="zh-CN"/>
        </w:rPr>
      </w:pPr>
      <w:r>
        <w:fldChar w:fldCharType="begin"/>
      </w:r>
      <w:r>
        <w:instrText xml:space="preserve"> HYPERLINK \l "_Toc68791540" </w:instrText>
      </w:r>
      <w:r>
        <w:fldChar w:fldCharType="separate"/>
      </w:r>
      <w:r>
        <w:rPr>
          <w:rStyle w:val="15"/>
          <w:rFonts w:hint="eastAsia" w:ascii="宋体" w:hAnsi="宋体" w:cs="宋体"/>
          <w:color w:val="auto"/>
          <w:sz w:val="28"/>
          <w:u w:val="none"/>
          <w:lang w:eastAsia="zh-CN"/>
        </w:rPr>
        <w:t>本级</w:t>
      </w:r>
      <w:r>
        <w:rPr>
          <w:rStyle w:val="15"/>
          <w:rFonts w:hint="eastAsia" w:ascii="宋体" w:hAnsi="宋体" w:cs="宋体"/>
          <w:color w:val="auto"/>
          <w:sz w:val="28"/>
          <w:u w:val="none"/>
        </w:rPr>
        <w:t>预算一般公共预算财政拨款支出表</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10</w:t>
      </w:r>
    </w:p>
    <w:p>
      <w:pPr>
        <w:pStyle w:val="11"/>
        <w:tabs>
          <w:tab w:val="right" w:leader="dot" w:pos="14789"/>
        </w:tabs>
        <w:jc w:val="center"/>
        <w:rPr>
          <w:rFonts w:hint="default" w:ascii="宋体" w:hAnsi="宋体" w:eastAsia="宋体" w:cs="宋体"/>
          <w:sz w:val="28"/>
          <w:lang w:val="en-US" w:eastAsia="zh-CN"/>
        </w:rPr>
      </w:pPr>
      <w:r>
        <w:fldChar w:fldCharType="begin"/>
      </w:r>
      <w:r>
        <w:instrText xml:space="preserve"> HYPERLINK \l "_Toc68791541" </w:instrText>
      </w:r>
      <w:r>
        <w:fldChar w:fldCharType="separate"/>
      </w:r>
      <w:r>
        <w:rPr>
          <w:rStyle w:val="15"/>
          <w:rFonts w:hint="eastAsia" w:ascii="宋体" w:hAnsi="宋体" w:cs="宋体"/>
          <w:color w:val="auto"/>
          <w:sz w:val="28"/>
          <w:u w:val="none"/>
          <w:lang w:eastAsia="zh-CN"/>
        </w:rPr>
        <w:t>本级</w:t>
      </w:r>
      <w:r>
        <w:rPr>
          <w:rStyle w:val="15"/>
          <w:rFonts w:hint="eastAsia" w:ascii="宋体" w:hAnsi="宋体" w:cs="宋体"/>
          <w:color w:val="auto"/>
          <w:sz w:val="28"/>
          <w:u w:val="none"/>
        </w:rPr>
        <w:t>预算一般公共预算财政拨款基本支出表</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12</w:t>
      </w:r>
    </w:p>
    <w:p>
      <w:pPr>
        <w:pStyle w:val="11"/>
        <w:tabs>
          <w:tab w:val="right" w:leader="dot" w:pos="14789"/>
        </w:tabs>
        <w:jc w:val="center"/>
        <w:rPr>
          <w:rFonts w:hint="default" w:ascii="宋体" w:hAnsi="宋体" w:eastAsia="宋体" w:cs="宋体"/>
          <w:sz w:val="28"/>
          <w:lang w:val="en-US" w:eastAsia="zh-CN"/>
        </w:rPr>
      </w:pPr>
      <w:r>
        <w:fldChar w:fldCharType="begin"/>
      </w:r>
      <w:r>
        <w:instrText xml:space="preserve"> HYPERLINK \l "_Toc68791542" </w:instrText>
      </w:r>
      <w:r>
        <w:fldChar w:fldCharType="separate"/>
      </w:r>
      <w:r>
        <w:rPr>
          <w:rStyle w:val="15"/>
          <w:rFonts w:hint="eastAsia" w:ascii="宋体" w:hAnsi="宋体" w:cs="宋体"/>
          <w:color w:val="auto"/>
          <w:sz w:val="28"/>
          <w:u w:val="none"/>
          <w:lang w:eastAsia="zh-CN"/>
        </w:rPr>
        <w:t>本级</w:t>
      </w:r>
      <w:r>
        <w:rPr>
          <w:rStyle w:val="15"/>
          <w:rFonts w:hint="eastAsia" w:ascii="宋体" w:hAnsi="宋体" w:cs="宋体"/>
          <w:color w:val="auto"/>
          <w:sz w:val="28"/>
          <w:u w:val="none"/>
        </w:rPr>
        <w:t>预算政府基金预算财政拨款支出表</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15</w:t>
      </w:r>
    </w:p>
    <w:p>
      <w:pPr>
        <w:pStyle w:val="11"/>
        <w:tabs>
          <w:tab w:val="right" w:leader="dot" w:pos="14789"/>
        </w:tabs>
        <w:jc w:val="center"/>
        <w:rPr>
          <w:rFonts w:hint="default" w:ascii="宋体" w:hAnsi="宋体" w:eastAsia="宋体" w:cs="宋体"/>
          <w:sz w:val="28"/>
          <w:lang w:val="en-US" w:eastAsia="zh-CN"/>
        </w:rPr>
      </w:pPr>
      <w:r>
        <w:fldChar w:fldCharType="begin"/>
      </w:r>
      <w:r>
        <w:instrText xml:space="preserve"> HYPERLINK \l "_Toc68791543" </w:instrText>
      </w:r>
      <w:r>
        <w:fldChar w:fldCharType="separate"/>
      </w:r>
      <w:r>
        <w:rPr>
          <w:rStyle w:val="15"/>
          <w:rFonts w:hint="eastAsia" w:ascii="宋体" w:hAnsi="宋体" w:cs="宋体"/>
          <w:color w:val="auto"/>
          <w:sz w:val="28"/>
          <w:u w:val="none"/>
          <w:lang w:eastAsia="zh-CN"/>
        </w:rPr>
        <w:t>本级</w:t>
      </w:r>
      <w:r>
        <w:rPr>
          <w:rStyle w:val="15"/>
          <w:rFonts w:hint="eastAsia" w:ascii="宋体" w:hAnsi="宋体" w:cs="宋体"/>
          <w:color w:val="auto"/>
          <w:sz w:val="28"/>
          <w:u w:val="none"/>
        </w:rPr>
        <w:t>预算国有资本经营预算财政拨款支出表</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16</w:t>
      </w:r>
    </w:p>
    <w:p>
      <w:pPr>
        <w:pStyle w:val="11"/>
        <w:tabs>
          <w:tab w:val="right" w:leader="dot" w:pos="14789"/>
        </w:tabs>
        <w:jc w:val="center"/>
        <w:rPr>
          <w:rFonts w:hint="default" w:ascii="宋体" w:hAnsi="宋体" w:eastAsia="宋体" w:cs="宋体"/>
          <w:sz w:val="28"/>
          <w:lang w:val="en-US" w:eastAsia="zh-CN"/>
        </w:rPr>
      </w:pPr>
      <w:r>
        <w:fldChar w:fldCharType="begin"/>
      </w:r>
      <w:r>
        <w:instrText xml:space="preserve"> HYPERLINK \l "_Toc68791544" </w:instrText>
      </w:r>
      <w:r>
        <w:fldChar w:fldCharType="separate"/>
      </w:r>
      <w:r>
        <w:rPr>
          <w:rStyle w:val="15"/>
          <w:rFonts w:hint="eastAsia" w:ascii="宋体" w:hAnsi="宋体" w:cs="宋体"/>
          <w:color w:val="auto"/>
          <w:sz w:val="28"/>
          <w:u w:val="none"/>
          <w:lang w:eastAsia="zh-CN"/>
        </w:rPr>
        <w:t>本级</w:t>
      </w:r>
      <w:r>
        <w:rPr>
          <w:rStyle w:val="15"/>
          <w:rFonts w:hint="eastAsia" w:ascii="宋体" w:hAnsi="宋体" w:cs="宋体"/>
          <w:color w:val="auto"/>
          <w:sz w:val="28"/>
          <w:u w:val="none"/>
        </w:rPr>
        <w:t>预算财政拨款“三公”经费支出表</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17</w:t>
      </w:r>
    </w:p>
    <w:p>
      <w:pPr>
        <w:ind w:left="420" w:leftChars="200"/>
        <w:jc w:val="center"/>
        <w:rPr>
          <w:rFonts w:ascii="宋体" w:hAnsi="宋体" w:cs="宋体"/>
        </w:rPr>
      </w:pPr>
      <w:r>
        <w:rPr>
          <w:rFonts w:hint="eastAsia" w:ascii="宋体" w:hAnsi="宋体" w:cs="宋体"/>
          <w:sz w:val="28"/>
        </w:rPr>
        <w:fldChar w:fldCharType="end"/>
      </w:r>
    </w:p>
    <w:p>
      <w:pPr>
        <w:jc w:val="left"/>
        <w:rPr>
          <w:rFonts w:ascii="宋体" w:hAnsi="宋体" w:cs="宋体"/>
          <w:b/>
          <w:sz w:val="28"/>
        </w:rPr>
      </w:pPr>
      <w:r>
        <w:rPr>
          <w:rFonts w:hint="eastAsia" w:ascii="宋体" w:hAnsi="宋体" w:cs="宋体"/>
          <w:b/>
          <w:sz w:val="28"/>
          <w:lang w:eastAsia="zh-CN"/>
        </w:rPr>
        <w:t>本级</w:t>
      </w:r>
      <w:r>
        <w:rPr>
          <w:rFonts w:hint="eastAsia" w:ascii="宋体" w:hAnsi="宋体" w:cs="宋体"/>
          <w:b/>
          <w:sz w:val="28"/>
        </w:rPr>
        <w:t>预算信息公开情况说明</w:t>
      </w:r>
    </w:p>
    <w:p>
      <w:pPr>
        <w:pStyle w:val="5"/>
        <w:tabs>
          <w:tab w:val="right" w:leader="dot" w:pos="14789"/>
        </w:tabs>
        <w:ind w:left="420" w:leftChars="200"/>
        <w:jc w:val="center"/>
        <w:rPr>
          <w:rFonts w:hint="default" w:ascii="宋体" w:hAnsi="宋体" w:eastAsia="宋体" w:cs="宋体"/>
          <w:sz w:val="28"/>
          <w:lang w:val="en-US" w:eastAsia="zh-CN"/>
        </w:rPr>
      </w:pPr>
      <w:r>
        <w:rPr>
          <w:rFonts w:hint="eastAsia" w:ascii="宋体" w:hAnsi="宋体" w:cs="宋体"/>
          <w:sz w:val="28"/>
        </w:rPr>
        <w:fldChar w:fldCharType="begin"/>
      </w:r>
      <w:r>
        <w:rPr>
          <w:rFonts w:hint="eastAsia" w:ascii="宋体" w:hAnsi="宋体" w:cs="宋体"/>
          <w:sz w:val="28"/>
        </w:rPr>
        <w:instrText xml:space="preserve"> TOC \o "3-3" \h \z \u \t "-1"</w:instrText>
      </w:r>
      <w:r>
        <w:rPr>
          <w:rFonts w:hint="eastAsia" w:ascii="宋体" w:hAnsi="宋体" w:cs="宋体"/>
          <w:sz w:val="28"/>
        </w:rPr>
        <w:fldChar w:fldCharType="separate"/>
      </w:r>
      <w:r>
        <w:fldChar w:fldCharType="begin"/>
      </w:r>
      <w:r>
        <w:instrText xml:space="preserve"> HYPERLINK \l "_Toc68791545" </w:instrText>
      </w:r>
      <w:r>
        <w:fldChar w:fldCharType="separate"/>
      </w:r>
      <w:r>
        <w:rPr>
          <w:rStyle w:val="15"/>
          <w:rFonts w:hint="eastAsia" w:ascii="宋体" w:hAnsi="宋体" w:cs="宋体"/>
          <w:color w:val="auto"/>
          <w:sz w:val="28"/>
          <w:u w:val="none"/>
        </w:rPr>
        <w:t>一、</w:t>
      </w:r>
      <w:r>
        <w:rPr>
          <w:rStyle w:val="15"/>
          <w:rFonts w:hint="eastAsia" w:ascii="宋体" w:hAnsi="宋体" w:cs="宋体"/>
          <w:color w:val="auto"/>
          <w:sz w:val="28"/>
          <w:u w:val="none"/>
          <w:lang w:eastAsia="zh-CN"/>
        </w:rPr>
        <w:t>本级</w:t>
      </w:r>
      <w:r>
        <w:rPr>
          <w:rStyle w:val="15"/>
          <w:rFonts w:hint="eastAsia" w:ascii="宋体" w:hAnsi="宋体" w:cs="宋体"/>
          <w:color w:val="auto"/>
          <w:sz w:val="28"/>
          <w:u w:val="none"/>
        </w:rPr>
        <w:t>职责及机构设置情况</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18</w:t>
      </w:r>
    </w:p>
    <w:p>
      <w:pPr>
        <w:pStyle w:val="5"/>
        <w:tabs>
          <w:tab w:val="right" w:leader="dot" w:pos="14789"/>
        </w:tabs>
        <w:ind w:left="420" w:leftChars="200"/>
        <w:jc w:val="center"/>
        <w:rPr>
          <w:rStyle w:val="15"/>
          <w:rFonts w:hint="default" w:ascii="宋体" w:hAnsi="宋体" w:eastAsia="宋体" w:cs="宋体"/>
          <w:color w:val="auto"/>
          <w:sz w:val="28"/>
          <w:u w:val="none"/>
          <w:lang w:val="en-US" w:eastAsia="zh-CN"/>
        </w:rPr>
        <w:sectPr>
          <w:headerReference r:id="rId3" w:type="default"/>
          <w:pgSz w:w="16839" w:h="11907" w:orient="landscape"/>
          <w:pgMar w:top="680" w:right="1020" w:bottom="680" w:left="1020" w:header="851" w:footer="992" w:gutter="0"/>
          <w:cols w:space="720" w:num="1"/>
          <w:docGrid w:type="lines" w:linePitch="312" w:charSpace="0"/>
        </w:sectPr>
      </w:pPr>
      <w:r>
        <w:fldChar w:fldCharType="begin"/>
      </w:r>
      <w:r>
        <w:instrText xml:space="preserve"> HYPERLINK \l "_Toc68791546" </w:instrText>
      </w:r>
      <w:r>
        <w:fldChar w:fldCharType="separate"/>
      </w:r>
      <w:r>
        <w:rPr>
          <w:rStyle w:val="15"/>
          <w:rFonts w:hint="eastAsia" w:ascii="宋体" w:hAnsi="宋体" w:cs="宋体"/>
          <w:color w:val="auto"/>
          <w:sz w:val="28"/>
          <w:u w:val="none"/>
        </w:rPr>
        <w:t>二、</w:t>
      </w:r>
      <w:r>
        <w:rPr>
          <w:rStyle w:val="15"/>
          <w:rFonts w:hint="eastAsia" w:ascii="宋体" w:hAnsi="宋体" w:cs="宋体"/>
          <w:color w:val="auto"/>
          <w:sz w:val="28"/>
          <w:u w:val="none"/>
          <w:lang w:eastAsia="zh-CN"/>
        </w:rPr>
        <w:t>本级</w:t>
      </w:r>
      <w:r>
        <w:rPr>
          <w:rStyle w:val="15"/>
          <w:rFonts w:hint="eastAsia" w:ascii="宋体" w:hAnsi="宋体" w:cs="宋体"/>
          <w:color w:val="auto"/>
          <w:sz w:val="28"/>
          <w:u w:val="none"/>
        </w:rPr>
        <w:t>预算安排的总体情况</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26</w:t>
      </w:r>
    </w:p>
    <w:p>
      <w:pPr>
        <w:pStyle w:val="5"/>
        <w:tabs>
          <w:tab w:val="right" w:leader="dot" w:pos="14789"/>
        </w:tabs>
        <w:ind w:left="420" w:leftChars="200"/>
        <w:jc w:val="left"/>
        <w:rPr>
          <w:rFonts w:hint="default" w:ascii="宋体" w:hAnsi="宋体" w:eastAsia="宋体" w:cs="宋体"/>
          <w:sz w:val="28"/>
          <w:lang w:val="en-US" w:eastAsia="zh-CN"/>
        </w:rPr>
      </w:pPr>
      <w:r>
        <w:fldChar w:fldCharType="begin"/>
      </w:r>
      <w:r>
        <w:instrText xml:space="preserve"> HYPERLINK \l "_Toc68791547" </w:instrText>
      </w:r>
      <w:r>
        <w:fldChar w:fldCharType="separate"/>
      </w:r>
      <w:r>
        <w:rPr>
          <w:rStyle w:val="15"/>
          <w:rFonts w:hint="eastAsia" w:ascii="宋体" w:hAnsi="宋体" w:cs="宋体"/>
          <w:color w:val="auto"/>
          <w:sz w:val="28"/>
          <w:u w:val="none"/>
        </w:rPr>
        <w:t>三、机关运行经费安排情况</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27</w:t>
      </w:r>
    </w:p>
    <w:p>
      <w:pPr>
        <w:pStyle w:val="5"/>
        <w:tabs>
          <w:tab w:val="right" w:leader="dot" w:pos="14789"/>
        </w:tabs>
        <w:ind w:left="420" w:leftChars="200"/>
        <w:jc w:val="center"/>
        <w:rPr>
          <w:rFonts w:hint="default" w:ascii="宋体" w:hAnsi="宋体" w:eastAsia="宋体" w:cs="宋体"/>
          <w:sz w:val="28"/>
          <w:lang w:val="en-US" w:eastAsia="zh-CN"/>
        </w:rPr>
      </w:pPr>
      <w:r>
        <w:fldChar w:fldCharType="begin"/>
      </w:r>
      <w:r>
        <w:instrText xml:space="preserve"> HYPERLINK \l "_Toc68791548" </w:instrText>
      </w:r>
      <w:r>
        <w:fldChar w:fldCharType="separate"/>
      </w:r>
      <w:r>
        <w:rPr>
          <w:rStyle w:val="15"/>
          <w:rFonts w:hint="eastAsia" w:ascii="宋体" w:hAnsi="宋体" w:cs="宋体"/>
          <w:color w:val="auto"/>
          <w:sz w:val="28"/>
          <w:u w:val="none"/>
        </w:rPr>
        <w:t>四、财政拨款“三公”经费预算情况及增减变化原因</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27</w:t>
      </w:r>
    </w:p>
    <w:p>
      <w:pPr>
        <w:pStyle w:val="5"/>
        <w:tabs>
          <w:tab w:val="right" w:leader="dot" w:pos="14789"/>
        </w:tabs>
        <w:ind w:left="420" w:leftChars="200"/>
        <w:jc w:val="center"/>
        <w:rPr>
          <w:rFonts w:hint="default" w:ascii="宋体" w:hAnsi="宋体" w:eastAsia="宋体" w:cs="宋体"/>
          <w:sz w:val="28"/>
          <w:lang w:val="en-US" w:eastAsia="zh-CN"/>
        </w:rPr>
      </w:pPr>
      <w:r>
        <w:fldChar w:fldCharType="begin"/>
      </w:r>
      <w:r>
        <w:instrText xml:space="preserve"> HYPERLINK \l "_Toc68791549" </w:instrText>
      </w:r>
      <w:r>
        <w:fldChar w:fldCharType="separate"/>
      </w:r>
      <w:r>
        <w:rPr>
          <w:rStyle w:val="15"/>
          <w:rFonts w:hint="eastAsia" w:ascii="宋体" w:hAnsi="宋体" w:cs="宋体"/>
          <w:color w:val="auto"/>
          <w:sz w:val="28"/>
          <w:u w:val="none"/>
        </w:rPr>
        <w:t>五、预算绩效信息</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28</w:t>
      </w:r>
    </w:p>
    <w:p>
      <w:pPr>
        <w:pStyle w:val="5"/>
        <w:tabs>
          <w:tab w:val="right" w:leader="dot" w:pos="14789"/>
        </w:tabs>
        <w:ind w:left="420" w:leftChars="200"/>
        <w:jc w:val="center"/>
        <w:rPr>
          <w:rFonts w:hint="default" w:ascii="宋体" w:hAnsi="宋体" w:eastAsia="宋体" w:cs="宋体"/>
          <w:sz w:val="28"/>
          <w:lang w:val="en-US" w:eastAsia="zh-CN"/>
        </w:rPr>
      </w:pPr>
      <w:r>
        <w:fldChar w:fldCharType="begin"/>
      </w:r>
      <w:r>
        <w:instrText xml:space="preserve"> HYPERLINK \l "_Toc68791550" </w:instrText>
      </w:r>
      <w:r>
        <w:fldChar w:fldCharType="separate"/>
      </w:r>
      <w:r>
        <w:rPr>
          <w:rStyle w:val="15"/>
          <w:rFonts w:hint="eastAsia" w:ascii="宋体" w:hAnsi="宋体" w:cs="宋体"/>
          <w:color w:val="auto"/>
          <w:sz w:val="28"/>
          <w:u w:val="none"/>
        </w:rPr>
        <w:t>六、政府采购预算情况</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32</w:t>
      </w:r>
    </w:p>
    <w:p>
      <w:pPr>
        <w:pStyle w:val="5"/>
        <w:tabs>
          <w:tab w:val="right" w:leader="dot" w:pos="14789"/>
        </w:tabs>
        <w:ind w:left="420" w:leftChars="200"/>
        <w:jc w:val="center"/>
        <w:rPr>
          <w:rFonts w:hint="default" w:ascii="宋体" w:hAnsi="宋体" w:eastAsia="宋体" w:cs="宋体"/>
          <w:sz w:val="28"/>
          <w:lang w:val="en-US" w:eastAsia="zh-CN"/>
        </w:rPr>
      </w:pPr>
      <w:r>
        <w:fldChar w:fldCharType="begin"/>
      </w:r>
      <w:r>
        <w:instrText xml:space="preserve"> HYPERLINK \l "_Toc68791551" </w:instrText>
      </w:r>
      <w:r>
        <w:fldChar w:fldCharType="separate"/>
      </w:r>
      <w:r>
        <w:rPr>
          <w:rStyle w:val="15"/>
          <w:rFonts w:hint="eastAsia" w:ascii="宋体" w:hAnsi="宋体" w:cs="宋体"/>
          <w:color w:val="auto"/>
          <w:sz w:val="28"/>
          <w:u w:val="none"/>
        </w:rPr>
        <w:t>七、国有资产信息</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32</w:t>
      </w:r>
    </w:p>
    <w:p>
      <w:pPr>
        <w:pStyle w:val="5"/>
        <w:tabs>
          <w:tab w:val="right" w:leader="dot" w:pos="14789"/>
        </w:tabs>
        <w:ind w:left="420" w:leftChars="200"/>
        <w:jc w:val="center"/>
        <w:rPr>
          <w:rFonts w:hint="default" w:ascii="宋体" w:hAnsi="宋体" w:eastAsia="宋体" w:cs="宋体"/>
          <w:sz w:val="28"/>
          <w:lang w:val="en-US" w:eastAsia="zh-CN"/>
        </w:rPr>
      </w:pPr>
      <w:r>
        <w:fldChar w:fldCharType="begin"/>
      </w:r>
      <w:r>
        <w:instrText xml:space="preserve"> HYPERLINK \l "_Toc68791552" </w:instrText>
      </w:r>
      <w:r>
        <w:fldChar w:fldCharType="separate"/>
      </w:r>
      <w:r>
        <w:rPr>
          <w:rStyle w:val="15"/>
          <w:rFonts w:hint="eastAsia" w:ascii="宋体" w:hAnsi="宋体" w:cs="宋体"/>
          <w:color w:val="auto"/>
          <w:sz w:val="28"/>
          <w:u w:val="none"/>
        </w:rPr>
        <w:t>八、名词解释</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33</w:t>
      </w:r>
    </w:p>
    <w:p>
      <w:pPr>
        <w:pStyle w:val="5"/>
        <w:tabs>
          <w:tab w:val="right" w:leader="dot" w:pos="14789"/>
        </w:tabs>
        <w:ind w:left="420" w:leftChars="200"/>
        <w:jc w:val="center"/>
        <w:rPr>
          <w:rFonts w:hint="default" w:ascii="宋体" w:hAnsi="宋体" w:eastAsia="宋体" w:cs="宋体"/>
          <w:sz w:val="28"/>
          <w:lang w:val="en-US" w:eastAsia="zh-CN"/>
        </w:rPr>
      </w:pPr>
      <w:r>
        <w:fldChar w:fldCharType="begin"/>
      </w:r>
      <w:r>
        <w:instrText xml:space="preserve"> HYPERLINK \l "_Toc68791553" </w:instrText>
      </w:r>
      <w:r>
        <w:fldChar w:fldCharType="separate"/>
      </w:r>
      <w:r>
        <w:rPr>
          <w:rStyle w:val="15"/>
          <w:rFonts w:hint="eastAsia" w:ascii="宋体" w:hAnsi="宋体" w:cs="宋体"/>
          <w:color w:val="auto"/>
          <w:sz w:val="28"/>
          <w:u w:val="none"/>
        </w:rPr>
        <w:t>九、其他需要说明的事项</w:t>
      </w:r>
      <w:r>
        <w:rPr>
          <w:rFonts w:hint="eastAsia" w:ascii="宋体" w:hAnsi="宋体" w:cs="宋体"/>
          <w:sz w:val="28"/>
        </w:rPr>
        <w:tab/>
      </w:r>
      <w:r>
        <w:rPr>
          <w:rFonts w:hint="eastAsia" w:ascii="宋体" w:hAnsi="宋体" w:cs="宋体"/>
          <w:sz w:val="28"/>
        </w:rPr>
        <w:fldChar w:fldCharType="end"/>
      </w:r>
      <w:r>
        <w:rPr>
          <w:rFonts w:hint="eastAsia" w:ascii="宋体" w:hAnsi="宋体" w:cs="宋体"/>
          <w:sz w:val="28"/>
          <w:lang w:val="en-US" w:eastAsia="zh-CN"/>
        </w:rPr>
        <w:t>34</w:t>
      </w:r>
    </w:p>
    <w:p>
      <w:pPr>
        <w:ind w:left="420" w:leftChars="200"/>
        <w:jc w:val="center"/>
        <w:rPr>
          <w:rFonts w:ascii="宋体" w:hAnsi="宋体" w:cs="宋体"/>
        </w:rPr>
      </w:pPr>
      <w:r>
        <w:rPr>
          <w:rFonts w:hint="eastAsia" w:ascii="宋体" w:hAnsi="宋体" w:cs="宋体"/>
          <w:sz w:val="28"/>
        </w:rPr>
        <w:fldChar w:fldCharType="end"/>
      </w:r>
    </w:p>
    <w:p>
      <w:pPr>
        <w:pStyle w:val="10"/>
        <w:tabs>
          <w:tab w:val="right" w:leader="dot" w:pos="14789"/>
        </w:tabs>
        <w:ind w:left="420" w:leftChars="200"/>
        <w:jc w:val="center"/>
        <w:rPr>
          <w:rFonts w:ascii="宋体" w:hAnsi="宋体" w:cs="宋体"/>
          <w:sz w:val="28"/>
        </w:rPr>
      </w:pPr>
    </w:p>
    <w:p>
      <w:pPr>
        <w:pStyle w:val="2"/>
        <w:ind w:firstLine="803"/>
        <w:rPr>
          <w:rFonts w:ascii="宋体" w:hAnsi="宋体"/>
          <w:b/>
          <w:color w:val="000000"/>
          <w:sz w:val="40"/>
          <w:szCs w:val="40"/>
        </w:rPr>
      </w:pPr>
    </w:p>
    <w:p>
      <w:pPr>
        <w:pStyle w:val="3"/>
        <w:rPr>
          <w:rFonts w:ascii="宋体" w:hAnsi="宋体"/>
          <w:b/>
          <w:color w:val="000000"/>
          <w:kern w:val="0"/>
          <w:sz w:val="40"/>
          <w:szCs w:val="40"/>
        </w:rPr>
      </w:pPr>
    </w:p>
    <w:p>
      <w:pPr>
        <w:pStyle w:val="3"/>
        <w:ind w:firstLine="0"/>
        <w:rPr>
          <w:rFonts w:ascii="宋体" w:hAnsi="宋体" w:cs="Arial"/>
          <w:b/>
          <w:color w:val="000000"/>
          <w:kern w:val="0"/>
          <w:sz w:val="40"/>
          <w:szCs w:val="40"/>
        </w:rPr>
      </w:pPr>
    </w:p>
    <w:p>
      <w:pPr>
        <w:pStyle w:val="3"/>
        <w:tabs>
          <w:tab w:val="left" w:pos="8808"/>
        </w:tabs>
        <w:rPr>
          <w:rFonts w:ascii="宋体" w:hAnsi="宋体" w:cs="Arial"/>
          <w:b/>
          <w:color w:val="000000"/>
          <w:kern w:val="0"/>
          <w:sz w:val="40"/>
          <w:szCs w:val="40"/>
        </w:rPr>
      </w:pPr>
      <w:r>
        <w:rPr>
          <w:rFonts w:hint="eastAsia" w:ascii="宋体" w:hAnsi="宋体" w:cs="Arial"/>
          <w:b/>
          <w:color w:val="000000"/>
          <w:kern w:val="0"/>
          <w:sz w:val="40"/>
          <w:szCs w:val="40"/>
        </w:rPr>
        <w:tab/>
      </w:r>
    </w:p>
    <w:p>
      <w:pPr>
        <w:pStyle w:val="3"/>
        <w:rPr>
          <w:rFonts w:ascii="宋体" w:hAnsi="宋体" w:cs="Arial"/>
          <w:b/>
          <w:color w:val="000000"/>
          <w:kern w:val="0"/>
          <w:sz w:val="40"/>
          <w:szCs w:val="40"/>
        </w:rPr>
      </w:pPr>
    </w:p>
    <w:p>
      <w:pPr>
        <w:widowControl/>
        <w:jc w:val="center"/>
        <w:textAlignment w:val="center"/>
        <w:rPr>
          <w:rFonts w:ascii="宋体" w:hAnsi="宋体" w:cs="宋体"/>
          <w:b/>
          <w:color w:val="000000"/>
          <w:kern w:val="0"/>
          <w:sz w:val="40"/>
          <w:szCs w:val="40"/>
        </w:rPr>
        <w:sectPr>
          <w:headerReference r:id="rId4" w:type="default"/>
          <w:footerReference r:id="rId5" w:type="default"/>
          <w:pgSz w:w="16839" w:h="11907" w:orient="landscape"/>
          <w:pgMar w:top="680" w:right="1020" w:bottom="680" w:left="1020" w:header="851" w:footer="992" w:gutter="0"/>
          <w:pgNumType w:start="1"/>
          <w:cols w:space="720" w:num="1"/>
          <w:docGrid w:type="lines" w:linePitch="312" w:charSpace="0"/>
        </w:sectPr>
      </w:pPr>
    </w:p>
    <w:tbl>
      <w:tblPr>
        <w:tblStyle w:val="12"/>
        <w:tblpPr w:leftFromText="180" w:rightFromText="180" w:vertAnchor="text" w:horzAnchor="page" w:tblpXSpec="center" w:tblpY="110"/>
        <w:tblOverlap w:val="never"/>
        <w:tblW w:w="14740" w:type="dxa"/>
        <w:jc w:val="center"/>
        <w:tblLayout w:type="fixed"/>
        <w:tblCellMar>
          <w:top w:w="0" w:type="dxa"/>
          <w:left w:w="0" w:type="dxa"/>
          <w:bottom w:w="0" w:type="dxa"/>
          <w:right w:w="0" w:type="dxa"/>
        </w:tblCellMar>
      </w:tblPr>
      <w:tblGrid>
        <w:gridCol w:w="807"/>
        <w:gridCol w:w="4778"/>
        <w:gridCol w:w="2185"/>
        <w:gridCol w:w="4887"/>
        <w:gridCol w:w="2083"/>
      </w:tblGrid>
      <w:tr>
        <w:tblPrEx>
          <w:tblCellMar>
            <w:top w:w="0" w:type="dxa"/>
            <w:left w:w="0" w:type="dxa"/>
            <w:bottom w:w="0" w:type="dxa"/>
            <w:right w:w="0" w:type="dxa"/>
          </w:tblCellMar>
        </w:tblPrEx>
        <w:trPr>
          <w:trHeight w:val="20" w:hRule="atLeast"/>
          <w:jc w:val="center"/>
        </w:trPr>
        <w:tc>
          <w:tcPr>
            <w:tcW w:w="13224" w:type="dxa"/>
            <w:gridSpan w:val="5"/>
            <w:tcBorders>
              <w:top w:val="nil"/>
              <w:left w:val="nil"/>
              <w:bottom w:val="nil"/>
              <w:right w:val="nil"/>
            </w:tcBorders>
            <w:noWrap/>
            <w:tcMar>
              <w:top w:w="15" w:type="dxa"/>
              <w:left w:w="15" w:type="dxa"/>
              <w:right w:w="15" w:type="dxa"/>
            </w:tcMar>
            <w:vAlign w:val="center"/>
          </w:tcPr>
          <w:p>
            <w:pPr>
              <w:widowControl/>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kern w:val="0"/>
                <w:sz w:val="24"/>
                <w:szCs w:val="24"/>
              </w:rPr>
              <w:t>附</w:t>
            </w:r>
            <w:r>
              <w:rPr>
                <w:rFonts w:hint="eastAsia" w:ascii="方正仿宋简体" w:hAnsi="方正仿宋简体" w:eastAsia="方正仿宋简体" w:cs="方正仿宋简体"/>
                <w:b w:val="0"/>
                <w:bCs w:val="0"/>
                <w:kern w:val="0"/>
                <w:sz w:val="24"/>
                <w:szCs w:val="24"/>
                <w:lang w:val="en-US" w:eastAsia="zh-CN"/>
              </w:rPr>
              <w:t>表</w:t>
            </w:r>
            <w:r>
              <w:rPr>
                <w:rFonts w:hint="eastAsia" w:ascii="方正仿宋简体" w:hAnsi="方正仿宋简体" w:eastAsia="方正仿宋简体" w:cs="方正仿宋简体"/>
                <w:b w:val="0"/>
                <w:bCs w:val="0"/>
                <w:kern w:val="0"/>
                <w:sz w:val="24"/>
                <w:szCs w:val="24"/>
              </w:rPr>
              <w:t>1-1</w:t>
            </w:r>
          </w:p>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bCs/>
                <w:color w:val="000000"/>
                <w:kern w:val="0"/>
                <w:sz w:val="32"/>
                <w:szCs w:val="32"/>
                <w:lang w:eastAsia="zh-CN"/>
              </w:rPr>
              <w:t>本级</w:t>
            </w:r>
            <w:r>
              <w:rPr>
                <w:rFonts w:hint="eastAsia" w:ascii="方正仿宋简体" w:hAnsi="方正仿宋简体" w:eastAsia="方正仿宋简体" w:cs="方正仿宋简体"/>
                <w:b/>
                <w:bCs/>
                <w:color w:val="000000"/>
                <w:kern w:val="0"/>
                <w:sz w:val="32"/>
                <w:szCs w:val="32"/>
              </w:rPr>
              <w:t>预算收支总表</w:t>
            </w:r>
          </w:p>
        </w:tc>
      </w:tr>
      <w:tr>
        <w:tblPrEx>
          <w:tblCellMar>
            <w:top w:w="0" w:type="dxa"/>
            <w:left w:w="0" w:type="dxa"/>
            <w:bottom w:w="0" w:type="dxa"/>
            <w:right w:w="0" w:type="dxa"/>
          </w:tblCellMar>
        </w:tblPrEx>
        <w:trPr>
          <w:trHeight w:val="20" w:hRule="atLeast"/>
          <w:jc w:val="center"/>
        </w:trPr>
        <w:tc>
          <w:tcPr>
            <w:tcW w:w="5011" w:type="dxa"/>
            <w:gridSpan w:val="2"/>
            <w:tcBorders>
              <w:top w:val="single" w:color="FFFFFF" w:sz="8" w:space="0"/>
              <w:left w:val="single" w:color="FFFFFF" w:sz="8" w:space="0"/>
              <w:bottom w:val="nil"/>
              <w:right w:val="single" w:color="FFFFFF" w:sz="8"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637遵化市马兰峪镇人民政府</w:t>
            </w:r>
          </w:p>
        </w:tc>
        <w:tc>
          <w:tcPr>
            <w:tcW w:w="1960" w:type="dxa"/>
            <w:tcBorders>
              <w:top w:val="single" w:color="FFFFFF" w:sz="8" w:space="0"/>
              <w:left w:val="nil"/>
              <w:bottom w:val="nil"/>
              <w:right w:val="single" w:color="FFFFFF" w:sz="8"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lang w:val="en-US" w:eastAsia="zh-CN"/>
              </w:rPr>
            </w:pPr>
            <w:r>
              <w:rPr>
                <w:rFonts w:hint="eastAsia" w:ascii="方正仿宋简体" w:hAnsi="方正仿宋简体" w:eastAsia="方正仿宋简体" w:cs="方正仿宋简体"/>
                <w:b w:val="0"/>
                <w:bCs/>
                <w:color w:val="000000"/>
                <w:kern w:val="0"/>
                <w:sz w:val="24"/>
                <w:szCs w:val="24"/>
              </w:rPr>
              <w:t>预算年度：</w:t>
            </w:r>
            <w:r>
              <w:rPr>
                <w:rFonts w:hint="eastAsia" w:ascii="方正仿宋简体" w:hAnsi="方正仿宋简体" w:eastAsia="方正仿宋简体" w:cs="方正仿宋简体"/>
                <w:b w:val="0"/>
                <w:bCs/>
                <w:color w:val="000000"/>
                <w:kern w:val="0"/>
                <w:sz w:val="24"/>
                <w:szCs w:val="24"/>
                <w:lang w:val="en-US" w:eastAsia="zh-CN"/>
              </w:rPr>
              <w:t>2022</w:t>
            </w:r>
          </w:p>
        </w:tc>
        <w:tc>
          <w:tcPr>
            <w:tcW w:w="6253" w:type="dxa"/>
            <w:gridSpan w:val="2"/>
            <w:tcBorders>
              <w:top w:val="single" w:color="FFFFFF" w:sz="8" w:space="0"/>
              <w:left w:val="nil"/>
              <w:bottom w:val="nil"/>
              <w:right w:val="single" w:color="FFFFFF" w:sz="8"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单位：万元</w:t>
            </w:r>
          </w:p>
        </w:tc>
      </w:tr>
      <w:tr>
        <w:tblPrEx>
          <w:tblCellMar>
            <w:top w:w="0" w:type="dxa"/>
            <w:left w:w="0" w:type="dxa"/>
            <w:bottom w:w="0" w:type="dxa"/>
            <w:right w:w="0" w:type="dxa"/>
          </w:tblCellMar>
        </w:tblPrEx>
        <w:trPr>
          <w:trHeight w:val="510" w:hRule="exact"/>
          <w:jc w:val="center"/>
        </w:trPr>
        <w:tc>
          <w:tcPr>
            <w:tcW w:w="72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序号</w:t>
            </w:r>
          </w:p>
        </w:tc>
        <w:tc>
          <w:tcPr>
            <w:tcW w:w="624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收入</w:t>
            </w:r>
          </w:p>
        </w:tc>
        <w:tc>
          <w:tcPr>
            <w:tcW w:w="625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支出</w:t>
            </w:r>
          </w:p>
        </w:tc>
      </w:tr>
      <w:tr>
        <w:tblPrEx>
          <w:tblCellMar>
            <w:top w:w="0" w:type="dxa"/>
            <w:left w:w="0" w:type="dxa"/>
            <w:bottom w:w="0" w:type="dxa"/>
            <w:right w:w="0" w:type="dxa"/>
          </w:tblCellMar>
        </w:tblPrEx>
        <w:trPr>
          <w:trHeight w:val="510" w:hRule="exact"/>
          <w:jc w:val="center"/>
        </w:trPr>
        <w:tc>
          <w:tcPr>
            <w:tcW w:w="72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方正仿宋简体" w:hAnsi="方正仿宋简体" w:eastAsia="方正仿宋简体" w:cs="方正仿宋简体"/>
                <w:b w:val="0"/>
                <w:bCs/>
                <w:color w:val="000000"/>
                <w:sz w:val="24"/>
                <w:szCs w:val="24"/>
              </w:rPr>
            </w:pP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项</w:t>
            </w:r>
            <w:r>
              <w:rPr>
                <w:rStyle w:val="16"/>
                <w:rFonts w:hint="eastAsia" w:ascii="方正仿宋简体" w:hAnsi="方正仿宋简体" w:eastAsia="方正仿宋简体" w:cs="方正仿宋简体"/>
                <w:b w:val="0"/>
                <w:bCs/>
                <w:sz w:val="24"/>
                <w:szCs w:val="24"/>
              </w:rPr>
              <w:t xml:space="preserve">  目</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预算数</w:t>
            </w: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项</w:t>
            </w:r>
            <w:r>
              <w:rPr>
                <w:rStyle w:val="16"/>
                <w:rFonts w:hint="eastAsia" w:ascii="方正仿宋简体" w:hAnsi="方正仿宋简体" w:eastAsia="方正仿宋简体" w:cs="方正仿宋简体"/>
                <w:b w:val="0"/>
                <w:bCs/>
                <w:sz w:val="24"/>
                <w:szCs w:val="24"/>
              </w:rPr>
              <w:t xml:space="preserve">  目</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预算数</w:t>
            </w: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栏次</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1</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2</w:t>
            </w: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3</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4</w:t>
            </w: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一、一般公共预算拨款收入</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842.2</w:t>
            </w: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一、一般公共服务支出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二、政府性基金预算拨款收入</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二、外交支出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三、国有资本经营预算拨款收入</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三、国防支出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四、财政专户管理资金收入</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四、公共安全支出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五、事业收入</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五、教育支出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六、事业单位经营收入</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六、科学技术支出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7</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七、上级补助收入</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七、文化体育与传媒支出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八、附属单位上缴收入</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八、社会保障和就业支出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69.68</w:t>
            </w: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9</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九、其他收入</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九、卫生健康支出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十、节能环保支出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11</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十一、城乡社区支出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十二、农林水支出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13</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十三、交通运输支出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14</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b/>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十四、资源勘探工业信息等支出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十五、商业服务业等支出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16</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十六、金融支出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17</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十七、援助其他地区支出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18</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十八、自然资源海洋气象等支出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19</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十九、住房保障支出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20</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二十、粮油物资储备支出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21</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二十一、国有资本经营预算支出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22</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二十二、灾害防治及应急管理支出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23</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二十三、债务还本支出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24</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二十四、债务付息支出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25</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二十五、债务发行费用支出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26</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二十六、其他支出</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lang w:val="en-US" w:eastAsia="zh-CN"/>
              </w:rPr>
            </w:pPr>
            <w:r>
              <w:rPr>
                <w:rFonts w:hint="eastAsia" w:ascii="方正仿宋简体" w:hAnsi="方正仿宋简体" w:eastAsia="方正仿宋简体" w:cs="方正仿宋简体"/>
                <w:b w:val="0"/>
                <w:bCs w:val="0"/>
                <w:color w:val="000000"/>
                <w:sz w:val="24"/>
                <w:szCs w:val="24"/>
                <w:lang w:val="en-US" w:eastAsia="zh-CN"/>
              </w:rPr>
              <w:t>27</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本年收入合计</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842.2</w:t>
            </w: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本年支出合计</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842.2</w:t>
            </w: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lang w:val="en-US" w:eastAsia="zh-CN"/>
              </w:rPr>
            </w:pPr>
            <w:r>
              <w:rPr>
                <w:rFonts w:hint="eastAsia" w:ascii="方正仿宋简体" w:hAnsi="方正仿宋简体" w:eastAsia="方正仿宋简体" w:cs="方正仿宋简体"/>
                <w:b w:val="0"/>
                <w:bCs w:val="0"/>
                <w:color w:val="000000"/>
                <w:kern w:val="0"/>
                <w:sz w:val="24"/>
                <w:szCs w:val="24"/>
                <w:lang w:val="en-US" w:eastAsia="zh-CN"/>
              </w:rPr>
              <w:t>28</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上年结转结余</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val="0"/>
                <w:bCs w:val="0"/>
                <w:color w:val="000000"/>
                <w:sz w:val="24"/>
                <w:szCs w:val="24"/>
              </w:rPr>
            </w:pP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年终结转结余</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trHeight w:val="510" w:hRule="exac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lang w:val="en-US" w:eastAsia="zh-CN"/>
              </w:rPr>
            </w:pPr>
            <w:r>
              <w:rPr>
                <w:rFonts w:hint="eastAsia" w:ascii="方正仿宋简体" w:hAnsi="方正仿宋简体" w:eastAsia="方正仿宋简体" w:cs="方正仿宋简体"/>
                <w:b w:val="0"/>
                <w:bCs w:val="0"/>
                <w:color w:val="000000"/>
                <w:kern w:val="0"/>
                <w:sz w:val="24"/>
                <w:szCs w:val="24"/>
                <w:lang w:val="en-US" w:eastAsia="zh-CN"/>
              </w:rPr>
              <w:t>29</w:t>
            </w:r>
          </w:p>
        </w:tc>
        <w:tc>
          <w:tcPr>
            <w:tcW w:w="4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收入总计</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842.2</w:t>
            </w:r>
          </w:p>
        </w:tc>
        <w:tc>
          <w:tcPr>
            <w:tcW w:w="4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支出总计</w:t>
            </w:r>
          </w:p>
        </w:tc>
        <w:tc>
          <w:tcPr>
            <w:tcW w:w="1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842.2</w:t>
            </w:r>
          </w:p>
        </w:tc>
      </w:tr>
    </w:tbl>
    <w:p>
      <w:pPr>
        <w:pStyle w:val="3"/>
        <w:ind w:left="0" w:leftChars="0" w:firstLine="0" w:firstLineChars="0"/>
        <w:rPr>
          <w:rFonts w:ascii="宋体" w:hAnsi="宋体" w:cs="Arial"/>
          <w:b/>
          <w:color w:val="000000"/>
          <w:kern w:val="0"/>
          <w:sz w:val="40"/>
          <w:szCs w:val="40"/>
        </w:rPr>
      </w:pPr>
    </w:p>
    <w:tbl>
      <w:tblPr>
        <w:tblStyle w:val="12"/>
        <w:tblW w:w="14740" w:type="dxa"/>
        <w:tblInd w:w="0" w:type="dxa"/>
        <w:tblLayout w:type="fixed"/>
        <w:tblCellMar>
          <w:top w:w="0" w:type="dxa"/>
          <w:left w:w="0" w:type="dxa"/>
          <w:bottom w:w="0" w:type="dxa"/>
          <w:right w:w="0" w:type="dxa"/>
        </w:tblCellMar>
      </w:tblPr>
      <w:tblGrid>
        <w:gridCol w:w="495"/>
        <w:gridCol w:w="1153"/>
        <w:gridCol w:w="4210"/>
        <w:gridCol w:w="864"/>
        <w:gridCol w:w="1008"/>
        <w:gridCol w:w="1212"/>
        <w:gridCol w:w="333"/>
        <w:gridCol w:w="416"/>
        <w:gridCol w:w="607"/>
        <w:gridCol w:w="598"/>
        <w:gridCol w:w="911"/>
        <w:gridCol w:w="1241"/>
        <w:gridCol w:w="858"/>
        <w:gridCol w:w="834"/>
      </w:tblGrid>
      <w:tr>
        <w:tblPrEx>
          <w:tblCellMar>
            <w:top w:w="0" w:type="dxa"/>
            <w:left w:w="0" w:type="dxa"/>
            <w:bottom w:w="0" w:type="dxa"/>
            <w:right w:w="0" w:type="dxa"/>
          </w:tblCellMar>
        </w:tblPrEx>
        <w:trPr>
          <w:trHeight w:val="540" w:hRule="atLeast"/>
        </w:trPr>
        <w:tc>
          <w:tcPr>
            <w:tcW w:w="4426" w:type="pct"/>
            <w:gridSpan w:val="12"/>
            <w:tcBorders>
              <w:top w:val="nil"/>
              <w:left w:val="nil"/>
              <w:bottom w:val="nil"/>
              <w:right w:val="nil"/>
            </w:tcBorders>
            <w:noWrap/>
            <w:tcMar>
              <w:top w:w="15" w:type="dxa"/>
              <w:left w:w="15" w:type="dxa"/>
              <w:right w:w="15" w:type="dxa"/>
            </w:tcMar>
            <w:vAlign w:val="center"/>
          </w:tcPr>
          <w:p>
            <w:pPr>
              <w:widowControl/>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kern w:val="0"/>
                <w:sz w:val="24"/>
                <w:szCs w:val="24"/>
              </w:rPr>
              <w:t>附</w:t>
            </w:r>
            <w:r>
              <w:rPr>
                <w:rFonts w:hint="eastAsia" w:ascii="方正仿宋简体" w:hAnsi="方正仿宋简体" w:eastAsia="方正仿宋简体" w:cs="方正仿宋简体"/>
                <w:b w:val="0"/>
                <w:bCs w:val="0"/>
                <w:kern w:val="0"/>
                <w:sz w:val="24"/>
                <w:szCs w:val="24"/>
                <w:lang w:val="en-US" w:eastAsia="zh-CN"/>
              </w:rPr>
              <w:t>表</w:t>
            </w:r>
            <w:r>
              <w:rPr>
                <w:rFonts w:hint="eastAsia" w:ascii="方正仿宋简体" w:hAnsi="方正仿宋简体" w:eastAsia="方正仿宋简体" w:cs="方正仿宋简体"/>
                <w:b w:val="0"/>
                <w:bCs w:val="0"/>
                <w:kern w:val="0"/>
                <w:sz w:val="24"/>
                <w:szCs w:val="24"/>
              </w:rPr>
              <w:t>1-</w:t>
            </w:r>
            <w:r>
              <w:rPr>
                <w:rFonts w:hint="eastAsia" w:ascii="方正仿宋简体" w:hAnsi="方正仿宋简体" w:eastAsia="方正仿宋简体" w:cs="方正仿宋简体"/>
                <w:b w:val="0"/>
                <w:bCs w:val="0"/>
                <w:kern w:val="0"/>
                <w:sz w:val="24"/>
                <w:szCs w:val="24"/>
                <w:lang w:val="en-US" w:eastAsia="zh-CN"/>
              </w:rPr>
              <w:t>2</w:t>
            </w:r>
          </w:p>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b/>
                <w:bCs/>
                <w:color w:val="000000"/>
                <w:kern w:val="0"/>
                <w:sz w:val="32"/>
                <w:szCs w:val="32"/>
              </w:rPr>
              <w:br w:type="page"/>
            </w:r>
            <w:r>
              <w:rPr>
                <w:rFonts w:hint="eastAsia" w:ascii="方正仿宋简体" w:hAnsi="方正仿宋简体" w:eastAsia="方正仿宋简体" w:cs="方正仿宋简体"/>
                <w:b/>
                <w:bCs/>
                <w:color w:val="000000"/>
                <w:kern w:val="0"/>
                <w:sz w:val="32"/>
                <w:szCs w:val="32"/>
                <w:lang w:eastAsia="zh-CN"/>
              </w:rPr>
              <w:t>本级</w:t>
            </w:r>
            <w:r>
              <w:rPr>
                <w:rFonts w:hint="eastAsia" w:ascii="方正仿宋简体" w:hAnsi="方正仿宋简体" w:eastAsia="方正仿宋简体" w:cs="方正仿宋简体"/>
                <w:b/>
                <w:bCs/>
                <w:color w:val="000000"/>
                <w:kern w:val="0"/>
                <w:sz w:val="32"/>
                <w:szCs w:val="32"/>
              </w:rPr>
              <w:t>预算收入总表</w:t>
            </w:r>
          </w:p>
        </w:tc>
        <w:tc>
          <w:tcPr>
            <w:tcW w:w="291" w:type="pct"/>
            <w:tcBorders>
              <w:top w:val="nil"/>
              <w:left w:val="nil"/>
              <w:bottom w:val="nil"/>
              <w:right w:val="nil"/>
            </w:tcBorders>
            <w:noWrap/>
            <w:tcMar>
              <w:top w:w="15" w:type="dxa"/>
              <w:left w:w="15" w:type="dxa"/>
              <w:right w:w="15" w:type="dxa"/>
            </w:tcMar>
            <w:vAlign w:val="bottom"/>
          </w:tcPr>
          <w:p>
            <w:pPr>
              <w:rPr>
                <w:rFonts w:hint="eastAsia" w:ascii="方正仿宋简体" w:hAnsi="方正仿宋简体" w:eastAsia="方正仿宋简体" w:cs="方正仿宋简体"/>
                <w:color w:val="000000"/>
                <w:sz w:val="24"/>
                <w:szCs w:val="24"/>
              </w:rPr>
            </w:pPr>
          </w:p>
        </w:tc>
        <w:tc>
          <w:tcPr>
            <w:tcW w:w="282" w:type="pct"/>
            <w:tcBorders>
              <w:top w:val="nil"/>
              <w:left w:val="nil"/>
              <w:bottom w:val="nil"/>
              <w:right w:val="nil"/>
            </w:tcBorders>
            <w:noWrap/>
            <w:tcMar>
              <w:top w:w="15" w:type="dxa"/>
              <w:left w:w="15" w:type="dxa"/>
              <w:right w:w="15" w:type="dxa"/>
            </w:tcMar>
          </w:tcPr>
          <w:p>
            <w:pPr>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40" w:hRule="atLeast"/>
        </w:trPr>
        <w:tc>
          <w:tcPr>
            <w:tcW w:w="1987" w:type="pct"/>
            <w:gridSpan w:val="3"/>
            <w:tcBorders>
              <w:top w:val="single" w:color="FFFFFF" w:sz="8" w:space="0"/>
              <w:left w:val="single" w:color="FFFFFF" w:sz="8" w:space="0"/>
              <w:bottom w:val="nil"/>
              <w:right w:val="single" w:color="FFFFFF" w:sz="8"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637遵化市马兰峪镇人民政府</w:t>
            </w:r>
          </w:p>
        </w:tc>
        <w:tc>
          <w:tcPr>
            <w:tcW w:w="1159" w:type="pct"/>
            <w:gridSpan w:val="4"/>
            <w:tcBorders>
              <w:top w:val="single" w:color="FFFFFF" w:sz="8" w:space="0"/>
              <w:left w:val="nil"/>
              <w:bottom w:val="nil"/>
              <w:right w:val="single" w:color="FFFFFF" w:sz="8"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预算年度：2022</w:t>
            </w:r>
          </w:p>
        </w:tc>
        <w:tc>
          <w:tcPr>
            <w:tcW w:w="1852" w:type="pct"/>
            <w:gridSpan w:val="7"/>
            <w:tcBorders>
              <w:top w:val="single" w:color="FFFFFF" w:sz="8" w:space="0"/>
              <w:left w:val="nil"/>
              <w:bottom w:val="nil"/>
              <w:right w:val="single" w:color="FFFFFF" w:sz="8"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单位：万元</w:t>
            </w:r>
          </w:p>
        </w:tc>
      </w:tr>
      <w:tr>
        <w:tblPrEx>
          <w:tblCellMar>
            <w:top w:w="0" w:type="dxa"/>
            <w:left w:w="0" w:type="dxa"/>
            <w:bottom w:w="0" w:type="dxa"/>
            <w:right w:w="0" w:type="dxa"/>
          </w:tblCellMar>
        </w:tblPrEx>
        <w:trPr>
          <w:trHeight w:val="435" w:hRule="atLeast"/>
        </w:trPr>
        <w:tc>
          <w:tcPr>
            <w:tcW w:w="16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序号</w:t>
            </w:r>
          </w:p>
        </w:tc>
        <w:tc>
          <w:tcPr>
            <w:tcW w:w="181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功能分类科目</w:t>
            </w:r>
          </w:p>
        </w:tc>
        <w:tc>
          <w:tcPr>
            <w:tcW w:w="293"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合计</w:t>
            </w:r>
          </w:p>
        </w:tc>
        <w:tc>
          <w:tcPr>
            <w:tcW w:w="2436" w:type="pct"/>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本年收入</w:t>
            </w:r>
          </w:p>
        </w:tc>
        <w:tc>
          <w:tcPr>
            <w:tcW w:w="28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上年结转</w:t>
            </w:r>
          </w:p>
        </w:tc>
      </w:tr>
      <w:tr>
        <w:tblPrEx>
          <w:tblCellMar>
            <w:top w:w="0" w:type="dxa"/>
            <w:left w:w="0" w:type="dxa"/>
            <w:bottom w:w="0" w:type="dxa"/>
            <w:right w:w="0" w:type="dxa"/>
          </w:tblCellMar>
        </w:tblPrEx>
        <w:trPr>
          <w:trHeight w:val="765" w:hRule="atLeast"/>
        </w:trPr>
        <w:tc>
          <w:tcPr>
            <w:tcW w:w="16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简体" w:hAnsi="方正仿宋简体" w:eastAsia="方正仿宋简体" w:cs="方正仿宋简体"/>
                <w:b w:val="0"/>
                <w:bCs/>
                <w:color w:val="000000"/>
                <w:sz w:val="24"/>
                <w:szCs w:val="24"/>
              </w:rPr>
            </w:pP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科目编码</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科目名称</w:t>
            </w:r>
          </w:p>
        </w:tc>
        <w:tc>
          <w:tcPr>
            <w:tcW w:w="293"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简体" w:hAnsi="方正仿宋简体" w:eastAsia="方正仿宋简体" w:cs="方正仿宋简体"/>
                <w:b w:val="0"/>
                <w:bCs/>
                <w:color w:val="000000"/>
                <w:sz w:val="24"/>
                <w:szCs w:val="24"/>
              </w:rPr>
            </w:pP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小计</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财政拨款</w:t>
            </w:r>
            <w:r>
              <w:rPr>
                <w:rStyle w:val="17"/>
                <w:rFonts w:hint="eastAsia" w:ascii="方正仿宋简体" w:hAnsi="方正仿宋简体" w:eastAsia="方正仿宋简体" w:cs="方正仿宋简体"/>
                <w:b w:val="0"/>
                <w:bCs/>
                <w:sz w:val="24"/>
                <w:szCs w:val="24"/>
              </w:rPr>
              <w:t xml:space="preserve"> 收入</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财政专户</w:t>
            </w:r>
            <w:r>
              <w:rPr>
                <w:rStyle w:val="17"/>
                <w:rFonts w:hint="eastAsia" w:ascii="方正仿宋简体" w:hAnsi="方正仿宋简体" w:eastAsia="方正仿宋简体" w:cs="方正仿宋简体"/>
                <w:b w:val="0"/>
                <w:bCs/>
                <w:sz w:val="24"/>
                <w:szCs w:val="24"/>
              </w:rPr>
              <w:t xml:space="preserve"> 收入</w:t>
            </w: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事业收入</w:t>
            </w: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经营收入</w:t>
            </w: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上级补助收入</w:t>
            </w: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附属单位上缴收入</w:t>
            </w: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其他收入</w:t>
            </w:r>
          </w:p>
        </w:tc>
        <w:tc>
          <w:tcPr>
            <w:tcW w:w="28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方正仿宋简体" w:hAnsi="方正仿宋简体" w:eastAsia="方正仿宋简体" w:cs="方正仿宋简体"/>
                <w:b w:val="0"/>
                <w:bCs/>
                <w:color w:val="000000"/>
                <w:sz w:val="24"/>
                <w:szCs w:val="24"/>
              </w:rPr>
            </w:pPr>
          </w:p>
        </w:tc>
      </w:tr>
      <w:tr>
        <w:tblPrEx>
          <w:tblCellMar>
            <w:top w:w="0" w:type="dxa"/>
            <w:left w:w="0" w:type="dxa"/>
            <w:bottom w:w="0" w:type="dxa"/>
            <w:right w:w="0" w:type="dxa"/>
          </w:tblCellMar>
        </w:tblPrEx>
        <w:trPr>
          <w:trHeight w:val="360" w:hRule="atLeas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栏次</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1</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2</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3</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4</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5</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6</w:t>
            </w: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7</w:t>
            </w: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8</w:t>
            </w: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9</w:t>
            </w: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10</w:t>
            </w: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11</w:t>
            </w: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12</w:t>
            </w: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b/>
                <w:color w:val="000000"/>
                <w:sz w:val="24"/>
                <w:szCs w:val="24"/>
              </w:rPr>
            </w:pP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color w:val="000000"/>
                <w:sz w:val="24"/>
                <w:szCs w:val="24"/>
              </w:rPr>
            </w:pPr>
            <w:r>
              <w:rPr>
                <w:rFonts w:hint="eastAsia" w:ascii="方正仿宋简体" w:hAnsi="方正仿宋简体" w:eastAsia="方正仿宋简体" w:cs="方正仿宋简体"/>
                <w:b/>
                <w:color w:val="000000"/>
                <w:kern w:val="0"/>
                <w:sz w:val="24"/>
                <w:szCs w:val="24"/>
              </w:rPr>
              <w:t>合计</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842.2</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842.2</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842.2</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一般公共服务支出</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20103</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政府办公厅（室）及相关机构事务</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2010301</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行政运行</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社会保障和就业支出</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69.68</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69.68</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69.68</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20805</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行政事业单位养老支出</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69.68</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69.68</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69.68</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7</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2080505</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机关事业单位基本养老保险缴费支出</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59.28</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59.28</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59.28</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2080506</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机关事业单位职业年金缴费支出</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10.4</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10.4</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10.4</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9</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210</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卫生健康支出</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21011</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行政事业单位医疗</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11</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2101101</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行政单位医疗</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213</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农林水支出</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13</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21307</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农村综合改革</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14</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2130705</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对村民委员会和村支部的补助</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221</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住房保障支出</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16</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22102</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住房改革支出</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17</w:t>
            </w:r>
          </w:p>
        </w:tc>
        <w:tc>
          <w:tcPr>
            <w:tcW w:w="3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2210201</w:t>
            </w:r>
          </w:p>
        </w:tc>
        <w:tc>
          <w:tcPr>
            <w:tcW w:w="14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住房公积金</w:t>
            </w:r>
          </w:p>
        </w:tc>
        <w:tc>
          <w:tcPr>
            <w:tcW w:w="2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3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4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25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方正仿宋简体" w:hAnsi="方正仿宋简体" w:eastAsia="方正仿宋简体" w:cs="方正仿宋简体"/>
                <w:color w:val="000000"/>
                <w:sz w:val="24"/>
                <w:szCs w:val="24"/>
              </w:rPr>
            </w:pPr>
          </w:p>
        </w:tc>
      </w:tr>
    </w:tbl>
    <w:p>
      <w:pPr>
        <w:pStyle w:val="3"/>
        <w:rPr>
          <w:rFonts w:ascii="宋体" w:hAnsi="宋体" w:cs="Arial"/>
          <w:b/>
          <w:color w:val="000000"/>
          <w:kern w:val="0"/>
          <w:sz w:val="40"/>
          <w:szCs w:val="40"/>
        </w:rPr>
      </w:pPr>
    </w:p>
    <w:p>
      <w:pPr>
        <w:widowControl/>
        <w:jc w:val="left"/>
        <w:rPr>
          <w:rFonts w:ascii="宋体" w:hAnsi="宋体" w:cs="Arial"/>
          <w:b/>
          <w:color w:val="000000"/>
          <w:kern w:val="0"/>
          <w:sz w:val="40"/>
          <w:szCs w:val="40"/>
        </w:rPr>
      </w:pPr>
      <w:r>
        <w:rPr>
          <w:rFonts w:ascii="宋体" w:hAnsi="宋体" w:cs="Arial"/>
          <w:b/>
          <w:color w:val="000000"/>
          <w:kern w:val="0"/>
          <w:sz w:val="40"/>
          <w:szCs w:val="40"/>
        </w:rPr>
        <w:br w:type="page"/>
      </w:r>
    </w:p>
    <w:tbl>
      <w:tblPr>
        <w:tblStyle w:val="12"/>
        <w:tblW w:w="14740" w:type="dxa"/>
        <w:tblInd w:w="0" w:type="dxa"/>
        <w:tblLayout w:type="autofit"/>
        <w:tblCellMar>
          <w:top w:w="0" w:type="dxa"/>
          <w:left w:w="0" w:type="dxa"/>
          <w:bottom w:w="0" w:type="dxa"/>
          <w:right w:w="0" w:type="dxa"/>
        </w:tblCellMar>
      </w:tblPr>
      <w:tblGrid>
        <w:gridCol w:w="510"/>
        <w:gridCol w:w="1220"/>
        <w:gridCol w:w="4799"/>
        <w:gridCol w:w="1311"/>
        <w:gridCol w:w="486"/>
        <w:gridCol w:w="771"/>
        <w:gridCol w:w="990"/>
        <w:gridCol w:w="991"/>
        <w:gridCol w:w="1471"/>
        <w:gridCol w:w="2191"/>
      </w:tblGrid>
      <w:tr>
        <w:tblPrEx>
          <w:tblCellMar>
            <w:top w:w="0" w:type="dxa"/>
            <w:left w:w="0" w:type="dxa"/>
            <w:bottom w:w="0" w:type="dxa"/>
            <w:right w:w="0" w:type="dxa"/>
          </w:tblCellMar>
        </w:tblPrEx>
        <w:trPr>
          <w:trHeight w:val="500" w:hRule="atLeast"/>
        </w:trPr>
        <w:tc>
          <w:tcPr>
            <w:tcW w:w="5000" w:type="pct"/>
            <w:gridSpan w:val="10"/>
            <w:tcBorders>
              <w:top w:val="nil"/>
              <w:left w:val="nil"/>
              <w:bottom w:val="nil"/>
              <w:right w:val="nil"/>
            </w:tcBorders>
            <w:noWrap/>
            <w:tcMar>
              <w:top w:w="15" w:type="dxa"/>
              <w:left w:w="15" w:type="dxa"/>
              <w:right w:w="15" w:type="dxa"/>
            </w:tcMar>
            <w:vAlign w:val="center"/>
          </w:tcPr>
          <w:p>
            <w:pPr>
              <w:widowControl/>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kern w:val="0"/>
                <w:sz w:val="24"/>
                <w:szCs w:val="24"/>
              </w:rPr>
              <w:t>附</w:t>
            </w:r>
            <w:r>
              <w:rPr>
                <w:rFonts w:hint="eastAsia" w:ascii="方正仿宋简体" w:hAnsi="方正仿宋简体" w:eastAsia="方正仿宋简体" w:cs="方正仿宋简体"/>
                <w:b w:val="0"/>
                <w:bCs w:val="0"/>
                <w:kern w:val="0"/>
                <w:sz w:val="24"/>
                <w:szCs w:val="24"/>
                <w:lang w:val="en-US" w:eastAsia="zh-CN"/>
              </w:rPr>
              <w:t>表</w:t>
            </w:r>
            <w:r>
              <w:rPr>
                <w:rFonts w:hint="eastAsia" w:ascii="方正仿宋简体" w:hAnsi="方正仿宋简体" w:eastAsia="方正仿宋简体" w:cs="方正仿宋简体"/>
                <w:b w:val="0"/>
                <w:bCs w:val="0"/>
                <w:kern w:val="0"/>
                <w:sz w:val="24"/>
                <w:szCs w:val="24"/>
              </w:rPr>
              <w:t>1-</w:t>
            </w:r>
            <w:r>
              <w:rPr>
                <w:rFonts w:hint="eastAsia" w:ascii="方正仿宋简体" w:hAnsi="方正仿宋简体" w:eastAsia="方正仿宋简体" w:cs="方正仿宋简体"/>
                <w:b w:val="0"/>
                <w:bCs w:val="0"/>
                <w:kern w:val="0"/>
                <w:sz w:val="24"/>
                <w:szCs w:val="24"/>
                <w:lang w:val="en-US" w:eastAsia="zh-CN"/>
              </w:rPr>
              <w:t>3</w:t>
            </w:r>
          </w:p>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bCs/>
                <w:color w:val="000000"/>
                <w:kern w:val="0"/>
                <w:sz w:val="32"/>
                <w:szCs w:val="32"/>
                <w:lang w:eastAsia="zh-CN"/>
              </w:rPr>
              <w:t>本级</w:t>
            </w:r>
            <w:r>
              <w:rPr>
                <w:rFonts w:hint="eastAsia" w:ascii="方正仿宋简体" w:hAnsi="方正仿宋简体" w:eastAsia="方正仿宋简体" w:cs="方正仿宋简体"/>
                <w:b/>
                <w:bCs/>
                <w:color w:val="000000"/>
                <w:kern w:val="0"/>
                <w:sz w:val="32"/>
                <w:szCs w:val="32"/>
              </w:rPr>
              <w:t>预算支出总表</w:t>
            </w:r>
          </w:p>
        </w:tc>
      </w:tr>
      <w:tr>
        <w:tblPrEx>
          <w:tblCellMar>
            <w:top w:w="0" w:type="dxa"/>
            <w:left w:w="0" w:type="dxa"/>
            <w:bottom w:w="0" w:type="dxa"/>
            <w:right w:w="0" w:type="dxa"/>
          </w:tblCellMar>
        </w:tblPrEx>
        <w:trPr>
          <w:trHeight w:val="280" w:hRule="atLeast"/>
        </w:trPr>
        <w:tc>
          <w:tcPr>
            <w:tcW w:w="2419" w:type="pct"/>
            <w:gridSpan w:val="3"/>
            <w:tcBorders>
              <w:top w:val="single" w:color="FFFFFF" w:sz="8" w:space="0"/>
              <w:left w:val="single" w:color="FFFFFF" w:sz="8" w:space="0"/>
              <w:bottom w:val="nil"/>
              <w:right w:val="single" w:color="FFFFFF" w:sz="8"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637遵化市马兰峪镇人民政府</w:t>
            </w:r>
          </w:p>
        </w:tc>
        <w:tc>
          <w:tcPr>
            <w:tcW w:w="718" w:type="pct"/>
            <w:gridSpan w:val="2"/>
            <w:tcBorders>
              <w:top w:val="single" w:color="FFFFFF" w:sz="8" w:space="0"/>
              <w:left w:val="nil"/>
              <w:bottom w:val="nil"/>
              <w:right w:val="single" w:color="FFFFFF" w:sz="8"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预算年度：2022</w:t>
            </w:r>
          </w:p>
        </w:tc>
        <w:tc>
          <w:tcPr>
            <w:tcW w:w="1862" w:type="pct"/>
            <w:gridSpan w:val="5"/>
            <w:tcBorders>
              <w:top w:val="single" w:color="FFFFFF" w:sz="8" w:space="0"/>
              <w:left w:val="nil"/>
              <w:bottom w:val="nil"/>
              <w:right w:val="single" w:color="FFFFFF" w:sz="8"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单位：万元</w:t>
            </w:r>
          </w:p>
        </w:tc>
      </w:tr>
      <w:tr>
        <w:tblPrEx>
          <w:tblCellMar>
            <w:top w:w="0" w:type="dxa"/>
            <w:left w:w="0" w:type="dxa"/>
            <w:bottom w:w="0" w:type="dxa"/>
            <w:right w:w="0" w:type="dxa"/>
          </w:tblCellMar>
        </w:tblPrEx>
        <w:trPr>
          <w:trHeight w:val="405" w:hRule="atLeast"/>
        </w:trPr>
        <w:tc>
          <w:tcPr>
            <w:tcW w:w="19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序号</w:t>
            </w:r>
          </w:p>
        </w:tc>
        <w:tc>
          <w:tcPr>
            <w:tcW w:w="2220"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功能分类科目</w:t>
            </w:r>
          </w:p>
        </w:tc>
        <w:tc>
          <w:tcPr>
            <w:tcW w:w="513"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合计</w:t>
            </w:r>
          </w:p>
        </w:tc>
        <w:tc>
          <w:tcPr>
            <w:tcW w:w="563" w:type="pct"/>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基本支出</w:t>
            </w:r>
          </w:p>
        </w:tc>
        <w:tc>
          <w:tcPr>
            <w:tcW w:w="29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项目支出</w:t>
            </w:r>
          </w:p>
        </w:tc>
        <w:tc>
          <w:tcPr>
            <w:tcW w:w="33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经营支出</w:t>
            </w:r>
          </w:p>
        </w:tc>
        <w:tc>
          <w:tcPr>
            <w:tcW w:w="413"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both"/>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val="en-US" w:eastAsia="zh-CN"/>
              </w:rPr>
              <w:t>上缴</w:t>
            </w:r>
            <w:r>
              <w:rPr>
                <w:rFonts w:hint="eastAsia" w:ascii="方正仿宋简体" w:hAnsi="方正仿宋简体" w:eastAsia="方正仿宋简体" w:cs="方正仿宋简体"/>
                <w:b w:val="0"/>
                <w:bCs w:val="0"/>
                <w:color w:val="000000"/>
                <w:kern w:val="0"/>
                <w:sz w:val="24"/>
                <w:szCs w:val="24"/>
              </w:rPr>
              <w:t>上级支出</w:t>
            </w:r>
          </w:p>
        </w:tc>
        <w:tc>
          <w:tcPr>
            <w:tcW w:w="46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对附属单位补助支出</w:t>
            </w:r>
          </w:p>
        </w:tc>
      </w:tr>
      <w:tr>
        <w:tblPrEx>
          <w:tblCellMar>
            <w:top w:w="0" w:type="dxa"/>
            <w:left w:w="0" w:type="dxa"/>
            <w:bottom w:w="0" w:type="dxa"/>
            <w:right w:w="0" w:type="dxa"/>
          </w:tblCellMar>
        </w:tblPrEx>
        <w:trPr>
          <w:trHeight w:val="420" w:hRule="atLeast"/>
        </w:trPr>
        <w:tc>
          <w:tcPr>
            <w:tcW w:w="19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方正仿宋简体" w:hAnsi="方正仿宋简体" w:eastAsia="方正仿宋简体" w:cs="方正仿宋简体"/>
                <w:b w:val="0"/>
                <w:bCs w:val="0"/>
                <w:color w:val="000000"/>
                <w:sz w:val="24"/>
                <w:szCs w:val="24"/>
              </w:rPr>
            </w:pP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科目编码</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科目名称</w:t>
            </w:r>
          </w:p>
        </w:tc>
        <w:tc>
          <w:tcPr>
            <w:tcW w:w="513"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方正仿宋简体" w:hAnsi="方正仿宋简体" w:eastAsia="方正仿宋简体" w:cs="方正仿宋简体"/>
                <w:b w:val="0"/>
                <w:bCs w:val="0"/>
                <w:color w:val="000000"/>
                <w:sz w:val="24"/>
                <w:szCs w:val="24"/>
              </w:rPr>
            </w:pPr>
          </w:p>
        </w:tc>
        <w:tc>
          <w:tcPr>
            <w:tcW w:w="563" w:type="pct"/>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方正仿宋简体" w:hAnsi="方正仿宋简体" w:eastAsia="方正仿宋简体" w:cs="方正仿宋简体"/>
                <w:b w:val="0"/>
                <w:bCs w:val="0"/>
                <w:color w:val="000000"/>
                <w:sz w:val="24"/>
                <w:szCs w:val="24"/>
              </w:rPr>
            </w:pPr>
          </w:p>
        </w:tc>
        <w:tc>
          <w:tcPr>
            <w:tcW w:w="29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方正仿宋简体" w:hAnsi="方正仿宋简体" w:eastAsia="方正仿宋简体" w:cs="方正仿宋简体"/>
                <w:b w:val="0"/>
                <w:bCs w:val="0"/>
                <w:color w:val="000000"/>
                <w:sz w:val="24"/>
                <w:szCs w:val="24"/>
              </w:rPr>
            </w:pPr>
          </w:p>
        </w:tc>
        <w:tc>
          <w:tcPr>
            <w:tcW w:w="33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方正仿宋简体" w:hAnsi="方正仿宋简体" w:eastAsia="方正仿宋简体" w:cs="方正仿宋简体"/>
                <w:b w:val="0"/>
                <w:bCs w:val="0"/>
                <w:color w:val="000000"/>
                <w:sz w:val="24"/>
                <w:szCs w:val="24"/>
              </w:rPr>
            </w:pPr>
          </w:p>
        </w:tc>
        <w:tc>
          <w:tcPr>
            <w:tcW w:w="413"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方正仿宋简体" w:hAnsi="方正仿宋简体" w:eastAsia="方正仿宋简体" w:cs="方正仿宋简体"/>
                <w:b w:val="0"/>
                <w:bCs w:val="0"/>
                <w:color w:val="000000"/>
                <w:sz w:val="24"/>
                <w:szCs w:val="24"/>
              </w:rPr>
            </w:pPr>
          </w:p>
        </w:tc>
        <w:tc>
          <w:tcPr>
            <w:tcW w:w="46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栏次</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1</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2</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3</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4</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5</w:t>
            </w: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6</w:t>
            </w: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7</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8</w:t>
            </w: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b/>
                <w:color w:val="000000"/>
                <w:sz w:val="24"/>
                <w:szCs w:val="24"/>
              </w:rPr>
            </w:pP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color w:val="000000"/>
                <w:sz w:val="24"/>
                <w:szCs w:val="24"/>
              </w:rPr>
            </w:pPr>
            <w:r>
              <w:rPr>
                <w:rFonts w:hint="eastAsia" w:ascii="方正仿宋简体" w:hAnsi="方正仿宋简体" w:eastAsia="方正仿宋简体" w:cs="方正仿宋简体"/>
                <w:b w:val="0"/>
                <w:bCs/>
                <w:color w:val="000000"/>
                <w:kern w:val="0"/>
                <w:sz w:val="24"/>
                <w:szCs w:val="24"/>
              </w:rPr>
              <w:t>合计</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842.2</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717.2</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125</w:t>
            </w: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一般公共服务支出</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533.19</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533.19</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20103</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政府办公厅（室）及相关机构事务</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533.19</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533.19</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2010301</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行政运行</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533.19</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533.19</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社会保障和就业支出</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69.68</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69.68</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20805</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行政事业单位养老支出</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69.68</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69.68</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7</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2080505</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机关事业单位基本养老保险缴费支出</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59.28</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59.28</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2080506</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机关事业单位职业年金缴费支出</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10.4</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10.4</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9</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210</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卫生健康支出</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67.54</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67.54</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21011</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行政事业单位医疗</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67.54</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67.54</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11</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2101101</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行政单位医疗</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67.54</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67.54</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213</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农林水支出</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125</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125</w:t>
            </w: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13</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21307</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农村综合改革</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125</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125</w:t>
            </w: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14</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2130705</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对村民委员会和村支部的补助</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125</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125</w:t>
            </w: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221</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住房保障支出</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46.79</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46.79</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16</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22102</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住房改革支出</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46.79</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46.79</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trPr>
        <w:tc>
          <w:tcPr>
            <w:tcW w:w="1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17</w:t>
            </w:r>
          </w:p>
        </w:tc>
        <w:tc>
          <w:tcPr>
            <w:tcW w:w="5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2210201</w:t>
            </w:r>
          </w:p>
        </w:tc>
        <w:tc>
          <w:tcPr>
            <w:tcW w:w="16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住房公积金</w:t>
            </w:r>
          </w:p>
        </w:tc>
        <w:tc>
          <w:tcPr>
            <w:tcW w:w="5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46.79</w:t>
            </w:r>
          </w:p>
        </w:tc>
        <w:tc>
          <w:tcPr>
            <w:tcW w:w="56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46.79</w:t>
            </w: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kern w:val="0"/>
                <w:sz w:val="24"/>
                <w:szCs w:val="24"/>
              </w:rPr>
            </w:pP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方正仿宋简体" w:hAnsi="方正仿宋简体" w:eastAsia="方正仿宋简体" w:cs="方正仿宋简体"/>
                <w:color w:val="000000"/>
                <w:sz w:val="24"/>
                <w:szCs w:val="24"/>
              </w:rPr>
            </w:pPr>
          </w:p>
        </w:tc>
      </w:tr>
    </w:tbl>
    <w:p>
      <w:pPr>
        <w:pStyle w:val="3"/>
        <w:rPr>
          <w:rFonts w:ascii="宋体" w:hAnsi="宋体" w:cs="Arial"/>
          <w:b/>
          <w:color w:val="000000"/>
          <w:kern w:val="0"/>
          <w:sz w:val="40"/>
          <w:szCs w:val="40"/>
        </w:rPr>
      </w:pPr>
    </w:p>
    <w:p>
      <w:pPr>
        <w:pStyle w:val="3"/>
        <w:rPr>
          <w:rFonts w:ascii="宋体" w:hAnsi="宋体" w:cs="Arial"/>
          <w:b/>
          <w:color w:val="000000"/>
          <w:kern w:val="0"/>
          <w:sz w:val="40"/>
          <w:szCs w:val="40"/>
        </w:rPr>
      </w:pPr>
    </w:p>
    <w:p>
      <w:pPr>
        <w:pStyle w:val="3"/>
        <w:rPr>
          <w:rFonts w:ascii="宋体" w:hAnsi="宋体" w:cs="Arial"/>
          <w:b/>
          <w:color w:val="000000"/>
          <w:kern w:val="0"/>
          <w:sz w:val="40"/>
          <w:szCs w:val="40"/>
        </w:rPr>
      </w:pPr>
    </w:p>
    <w:p>
      <w:pPr>
        <w:pStyle w:val="3"/>
        <w:rPr>
          <w:rFonts w:ascii="宋体" w:hAnsi="宋体" w:cs="Arial"/>
          <w:b/>
          <w:color w:val="000000"/>
          <w:kern w:val="0"/>
          <w:sz w:val="40"/>
          <w:szCs w:val="40"/>
        </w:rPr>
      </w:pPr>
    </w:p>
    <w:p>
      <w:pPr>
        <w:pStyle w:val="3"/>
        <w:rPr>
          <w:rFonts w:ascii="宋体" w:hAnsi="宋体" w:cs="Arial"/>
          <w:b/>
          <w:color w:val="000000"/>
          <w:kern w:val="0"/>
          <w:sz w:val="40"/>
          <w:szCs w:val="40"/>
        </w:rPr>
      </w:pPr>
    </w:p>
    <w:p>
      <w:pPr>
        <w:pStyle w:val="3"/>
        <w:rPr>
          <w:rFonts w:ascii="宋体" w:hAnsi="宋体" w:cs="Arial"/>
          <w:b/>
          <w:color w:val="000000"/>
          <w:kern w:val="0"/>
          <w:sz w:val="40"/>
          <w:szCs w:val="40"/>
        </w:rPr>
      </w:pPr>
    </w:p>
    <w:p>
      <w:pPr>
        <w:pStyle w:val="3"/>
        <w:rPr>
          <w:rFonts w:ascii="宋体" w:hAnsi="宋体" w:cs="Arial"/>
          <w:b/>
          <w:color w:val="000000"/>
          <w:kern w:val="0"/>
          <w:sz w:val="40"/>
          <w:szCs w:val="40"/>
        </w:rPr>
      </w:pPr>
    </w:p>
    <w:p>
      <w:pPr>
        <w:pStyle w:val="3"/>
        <w:rPr>
          <w:rFonts w:ascii="宋体" w:hAnsi="宋体" w:cs="Arial"/>
          <w:b/>
          <w:color w:val="000000"/>
          <w:kern w:val="0"/>
          <w:sz w:val="40"/>
          <w:szCs w:val="40"/>
        </w:rPr>
      </w:pPr>
    </w:p>
    <w:tbl>
      <w:tblPr>
        <w:tblStyle w:val="12"/>
        <w:tblW w:w="14740" w:type="dxa"/>
        <w:jc w:val="center"/>
        <w:tblLayout w:type="fixed"/>
        <w:tblCellMar>
          <w:top w:w="0" w:type="dxa"/>
          <w:left w:w="0" w:type="dxa"/>
          <w:bottom w:w="0" w:type="dxa"/>
          <w:right w:w="0" w:type="dxa"/>
        </w:tblCellMar>
      </w:tblPr>
      <w:tblGrid>
        <w:gridCol w:w="574"/>
        <w:gridCol w:w="3010"/>
        <w:gridCol w:w="929"/>
        <w:gridCol w:w="3762"/>
        <w:gridCol w:w="846"/>
        <w:gridCol w:w="1728"/>
        <w:gridCol w:w="1919"/>
        <w:gridCol w:w="1972"/>
      </w:tblGrid>
      <w:tr>
        <w:tblPrEx>
          <w:tblCellMar>
            <w:top w:w="0" w:type="dxa"/>
            <w:left w:w="0" w:type="dxa"/>
            <w:bottom w:w="0" w:type="dxa"/>
            <w:right w:w="0" w:type="dxa"/>
          </w:tblCellMar>
        </w:tblPrEx>
        <w:trPr>
          <w:trHeight w:val="660" w:hRule="atLeast"/>
          <w:jc w:val="center"/>
        </w:trPr>
        <w:tc>
          <w:tcPr>
            <w:tcW w:w="5000" w:type="pct"/>
            <w:gridSpan w:val="8"/>
            <w:tcBorders>
              <w:top w:val="nil"/>
              <w:left w:val="nil"/>
              <w:bottom w:val="nil"/>
              <w:right w:val="nil"/>
            </w:tcBorders>
            <w:noWrap/>
            <w:tcMar>
              <w:top w:w="15" w:type="dxa"/>
              <w:left w:w="15" w:type="dxa"/>
              <w:right w:w="15" w:type="dxa"/>
            </w:tcMar>
            <w:vAlign w:val="center"/>
          </w:tcPr>
          <w:p>
            <w:pPr>
              <w:widowControl/>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kern w:val="0"/>
                <w:sz w:val="24"/>
                <w:szCs w:val="24"/>
              </w:rPr>
              <w:t>附</w:t>
            </w:r>
            <w:r>
              <w:rPr>
                <w:rFonts w:hint="eastAsia" w:ascii="方正仿宋简体" w:hAnsi="方正仿宋简体" w:eastAsia="方正仿宋简体" w:cs="方正仿宋简体"/>
                <w:b w:val="0"/>
                <w:bCs w:val="0"/>
                <w:kern w:val="0"/>
                <w:sz w:val="24"/>
                <w:szCs w:val="24"/>
                <w:lang w:val="en-US" w:eastAsia="zh-CN"/>
              </w:rPr>
              <w:t>表</w:t>
            </w:r>
            <w:r>
              <w:rPr>
                <w:rFonts w:hint="eastAsia" w:ascii="方正仿宋简体" w:hAnsi="方正仿宋简体" w:eastAsia="方正仿宋简体" w:cs="方正仿宋简体"/>
                <w:b w:val="0"/>
                <w:bCs w:val="0"/>
                <w:kern w:val="0"/>
                <w:sz w:val="24"/>
                <w:szCs w:val="24"/>
              </w:rPr>
              <w:t>1-</w:t>
            </w:r>
            <w:r>
              <w:rPr>
                <w:rFonts w:hint="eastAsia" w:ascii="方正仿宋简体" w:hAnsi="方正仿宋简体" w:eastAsia="方正仿宋简体" w:cs="方正仿宋简体"/>
                <w:b w:val="0"/>
                <w:bCs w:val="0"/>
                <w:kern w:val="0"/>
                <w:sz w:val="24"/>
                <w:szCs w:val="24"/>
                <w:lang w:val="en-US" w:eastAsia="zh-CN"/>
              </w:rPr>
              <w:t>4</w:t>
            </w:r>
          </w:p>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bCs/>
                <w:color w:val="000000"/>
                <w:kern w:val="0"/>
                <w:sz w:val="32"/>
                <w:szCs w:val="32"/>
                <w:lang w:eastAsia="zh-CN"/>
              </w:rPr>
              <w:t>本级</w:t>
            </w:r>
            <w:r>
              <w:rPr>
                <w:rFonts w:hint="eastAsia" w:ascii="方正仿宋简体" w:hAnsi="方正仿宋简体" w:eastAsia="方正仿宋简体" w:cs="方正仿宋简体"/>
                <w:b/>
                <w:bCs/>
                <w:color w:val="000000"/>
                <w:kern w:val="0"/>
                <w:sz w:val="32"/>
                <w:szCs w:val="32"/>
              </w:rPr>
              <w:t>预算财政拨款收支总表</w:t>
            </w:r>
          </w:p>
        </w:tc>
      </w:tr>
      <w:tr>
        <w:tblPrEx>
          <w:tblCellMar>
            <w:top w:w="0" w:type="dxa"/>
            <w:left w:w="0" w:type="dxa"/>
            <w:bottom w:w="0" w:type="dxa"/>
            <w:right w:w="0" w:type="dxa"/>
          </w:tblCellMar>
        </w:tblPrEx>
        <w:trPr>
          <w:trHeight w:val="519" w:hRule="atLeast"/>
          <w:jc w:val="center"/>
        </w:trPr>
        <w:tc>
          <w:tcPr>
            <w:tcW w:w="1531" w:type="pct"/>
            <w:gridSpan w:val="3"/>
            <w:tcBorders>
              <w:top w:val="single" w:color="FFFFFF" w:sz="8" w:space="0"/>
              <w:left w:val="single" w:color="FFFFFF" w:sz="8" w:space="0"/>
              <w:bottom w:val="nil"/>
              <w:right w:val="single" w:color="FFFFFF" w:sz="8"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637遵化市马兰峪镇人民政府</w:t>
            </w:r>
          </w:p>
        </w:tc>
        <w:tc>
          <w:tcPr>
            <w:tcW w:w="1276" w:type="pct"/>
            <w:tcBorders>
              <w:top w:val="single" w:color="FFFFFF" w:sz="8" w:space="0"/>
              <w:left w:val="nil"/>
              <w:bottom w:val="nil"/>
              <w:right w:val="single" w:color="FFFFFF" w:sz="8"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预算年度：2022</w:t>
            </w:r>
          </w:p>
        </w:tc>
        <w:tc>
          <w:tcPr>
            <w:tcW w:w="2192" w:type="pct"/>
            <w:gridSpan w:val="4"/>
            <w:tcBorders>
              <w:top w:val="single" w:color="FFFFFF" w:sz="8" w:space="0"/>
              <w:left w:val="nil"/>
              <w:bottom w:val="nil"/>
              <w:right w:val="single" w:color="FFFFFF" w:sz="8"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单位：万元</w:t>
            </w:r>
          </w:p>
        </w:tc>
      </w:tr>
      <w:tr>
        <w:tblPrEx>
          <w:tblCellMar>
            <w:top w:w="0" w:type="dxa"/>
            <w:left w:w="0" w:type="dxa"/>
            <w:bottom w:w="0" w:type="dxa"/>
            <w:right w:w="0" w:type="dxa"/>
          </w:tblCellMar>
        </w:tblPrEx>
        <w:trPr>
          <w:trHeight w:val="380" w:hRule="atLeast"/>
          <w:jc w:val="center"/>
        </w:trPr>
        <w:tc>
          <w:tcPr>
            <w:tcW w:w="19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序号</w:t>
            </w:r>
          </w:p>
        </w:tc>
        <w:tc>
          <w:tcPr>
            <w:tcW w:w="133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收入</w:t>
            </w:r>
          </w:p>
        </w:tc>
        <w:tc>
          <w:tcPr>
            <w:tcW w:w="3468" w:type="pct"/>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支出</w:t>
            </w:r>
          </w:p>
        </w:tc>
      </w:tr>
      <w:tr>
        <w:tblPrEx>
          <w:tblCellMar>
            <w:top w:w="0" w:type="dxa"/>
            <w:left w:w="0" w:type="dxa"/>
            <w:bottom w:w="0" w:type="dxa"/>
            <w:right w:w="0" w:type="dxa"/>
          </w:tblCellMar>
        </w:tblPrEx>
        <w:trPr>
          <w:trHeight w:val="1118" w:hRule="atLeast"/>
          <w:jc w:val="center"/>
        </w:trPr>
        <w:tc>
          <w:tcPr>
            <w:tcW w:w="19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方正仿宋简体" w:hAnsi="方正仿宋简体" w:eastAsia="方正仿宋简体" w:cs="方正仿宋简体"/>
                <w:b w:val="0"/>
                <w:bCs w:val="0"/>
                <w:color w:val="000000"/>
                <w:sz w:val="24"/>
                <w:szCs w:val="24"/>
              </w:rPr>
            </w:pP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项  目</w:t>
            </w: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金额</w:t>
            </w: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项  目</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合计</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一般公共预算财政拨款</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政府性基金预算财政拨款</w:t>
            </w: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国有资本经营预算财政拨款</w:t>
            </w: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栏次</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1</w:t>
            </w: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2</w:t>
            </w: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3</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4</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5</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6</w:t>
            </w: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7</w:t>
            </w: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一、一般公共预算拨款</w:t>
            </w: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842.2</w:t>
            </w: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一、一般公共服务支出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二、政府性基金预算拨款</w:t>
            </w: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二、外交支出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三、国有资本经营预算拨款</w:t>
            </w: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三、国防支出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四、公共安全支出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五、教育支出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六、科学技术支出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7</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七、文化体育与传媒支出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八、社会保障和就业支出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69.68</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69.68</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9</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九、卫生健康支出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kern w:val="0"/>
                <w:sz w:val="24"/>
                <w:szCs w:val="24"/>
              </w:rPr>
              <w:t>67.54</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kern w:val="0"/>
                <w:sz w:val="24"/>
                <w:szCs w:val="24"/>
              </w:rPr>
              <w:t>67.54</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十、节能环保支出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11</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十一、城乡社区支出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十二、农林水支出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kern w:val="0"/>
                <w:sz w:val="24"/>
                <w:szCs w:val="24"/>
              </w:rPr>
              <w:t>125</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kern w:val="0"/>
                <w:sz w:val="24"/>
                <w:szCs w:val="24"/>
              </w:rPr>
              <w:t>125</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13</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十三、交通运输支出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14</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十四、资源勘探工业信息等支出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十五、商业服务业等支出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16</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十六、金融支出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17</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十七、援助其他地区支出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18</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十八、自然资源海洋气象等支出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19</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十九、住房保障支出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20</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二十、粮油物资储备支出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21</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二十一、国有资本经营预算支出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22</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二十二、灾害防治及应急管理支出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23</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二十三、债务还本支出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24</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二十四、债务付息支出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25</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二十五、债务发行费用支出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26</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kern w:val="0"/>
                <w:sz w:val="24"/>
                <w:szCs w:val="24"/>
              </w:rPr>
              <w:t>二十六、其他支出</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kern w:val="0"/>
                <w:sz w:val="24"/>
                <w:szCs w:val="24"/>
                <w:lang w:val="en-US" w:eastAsia="zh-CN"/>
              </w:rPr>
              <w:t>27</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本年收入合计</w:t>
            </w: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842.2</w:t>
            </w: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本年支出合计</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842.2</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842.2</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kern w:val="0"/>
                <w:sz w:val="24"/>
                <w:szCs w:val="24"/>
                <w:lang w:val="en-US" w:eastAsia="zh-CN"/>
              </w:rPr>
              <w:t>28</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年初财政拨款结转和结余</w:t>
            </w: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年末财政拨款结转和结余</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kern w:val="0"/>
                <w:sz w:val="24"/>
                <w:szCs w:val="24"/>
                <w:lang w:val="en-US" w:eastAsia="zh-CN"/>
              </w:rPr>
              <w:t>29</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一、一般公共预算拨款</w:t>
            </w: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kern w:val="0"/>
                <w:sz w:val="24"/>
                <w:szCs w:val="24"/>
                <w:lang w:val="en-US" w:eastAsia="zh-CN"/>
              </w:rPr>
              <w:t>30</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二、政府性基金预算拨款</w:t>
            </w: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kern w:val="0"/>
                <w:sz w:val="24"/>
                <w:szCs w:val="24"/>
                <w:lang w:val="en-US" w:eastAsia="zh-CN"/>
              </w:rPr>
              <w:t>31</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三、国有资本经营预算拨款</w:t>
            </w: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方正仿宋简体" w:hAnsi="方正仿宋简体" w:eastAsia="方正仿宋简体" w:cs="方正仿宋简体"/>
                <w:color w:val="000000"/>
                <w:sz w:val="24"/>
                <w:szCs w:val="24"/>
              </w:rPr>
            </w:pP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10" w:hRule="exact"/>
          <w:jc w:val="center"/>
        </w:trPr>
        <w:tc>
          <w:tcPr>
            <w:tcW w:w="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kern w:val="0"/>
                <w:sz w:val="24"/>
                <w:szCs w:val="24"/>
                <w:lang w:val="en-US" w:eastAsia="zh-CN"/>
              </w:rPr>
              <w:t>32</w:t>
            </w:r>
          </w:p>
        </w:tc>
        <w:tc>
          <w:tcPr>
            <w:tcW w:w="10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收入总计</w:t>
            </w:r>
          </w:p>
        </w:tc>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842.2</w:t>
            </w:r>
          </w:p>
        </w:tc>
        <w:tc>
          <w:tcPr>
            <w:tcW w:w="12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支出总计</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842.2</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842.2</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b/>
                <w:color w:val="000000"/>
                <w:sz w:val="24"/>
                <w:szCs w:val="24"/>
              </w:rPr>
            </w:pPr>
          </w:p>
        </w:tc>
        <w:tc>
          <w:tcPr>
            <w:tcW w:w="6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方正仿宋简体" w:hAnsi="方正仿宋简体" w:eastAsia="方正仿宋简体" w:cs="方正仿宋简体"/>
                <w:color w:val="000000"/>
                <w:sz w:val="24"/>
                <w:szCs w:val="24"/>
              </w:rPr>
            </w:pPr>
          </w:p>
        </w:tc>
      </w:tr>
    </w:tbl>
    <w:p>
      <w:r>
        <w:br w:type="page"/>
      </w:r>
    </w:p>
    <w:tbl>
      <w:tblPr>
        <w:tblStyle w:val="12"/>
        <w:tblW w:w="5000" w:type="pct"/>
        <w:tblInd w:w="0" w:type="dxa"/>
        <w:tblLayout w:type="autofit"/>
        <w:tblCellMar>
          <w:top w:w="0" w:type="dxa"/>
          <w:left w:w="0" w:type="dxa"/>
          <w:bottom w:w="0" w:type="dxa"/>
          <w:right w:w="0" w:type="dxa"/>
        </w:tblCellMar>
      </w:tblPr>
      <w:tblGrid>
        <w:gridCol w:w="720"/>
        <w:gridCol w:w="1560"/>
        <w:gridCol w:w="4888"/>
        <w:gridCol w:w="2215"/>
        <w:gridCol w:w="2212"/>
        <w:gridCol w:w="2212"/>
      </w:tblGrid>
      <w:tr>
        <w:tblPrEx>
          <w:tblCellMar>
            <w:top w:w="0" w:type="dxa"/>
            <w:left w:w="0" w:type="dxa"/>
            <w:bottom w:w="0" w:type="dxa"/>
            <w:right w:w="0" w:type="dxa"/>
          </w:tblCellMar>
        </w:tblPrEx>
        <w:trPr>
          <w:trHeight w:val="881" w:hRule="atLeast"/>
        </w:trPr>
        <w:tc>
          <w:tcPr>
            <w:tcW w:w="5000" w:type="pct"/>
            <w:gridSpan w:val="6"/>
            <w:tcBorders>
              <w:top w:val="nil"/>
              <w:left w:val="nil"/>
              <w:bottom w:val="nil"/>
              <w:right w:val="nil"/>
            </w:tcBorders>
            <w:noWrap/>
            <w:tcMar>
              <w:top w:w="15" w:type="dxa"/>
              <w:left w:w="15" w:type="dxa"/>
              <w:right w:w="15" w:type="dxa"/>
            </w:tcMar>
            <w:vAlign w:val="center"/>
          </w:tcPr>
          <w:p>
            <w:pPr>
              <w:widowControl/>
              <w:rPr>
                <w:rFonts w:hint="eastAsia" w:ascii="方正仿宋简体" w:hAnsi="方正仿宋简体" w:eastAsia="方正仿宋简体" w:cs="方正仿宋简体"/>
                <w:b w:val="0"/>
                <w:bCs w:val="0"/>
                <w:color w:val="000000"/>
                <w:kern w:val="0"/>
                <w:sz w:val="24"/>
                <w:szCs w:val="24"/>
                <w:lang w:val="en-US" w:eastAsia="zh-CN"/>
              </w:rPr>
            </w:pPr>
            <w:r>
              <w:rPr>
                <w:rFonts w:hint="eastAsia" w:ascii="方正仿宋简体" w:hAnsi="方正仿宋简体" w:eastAsia="方正仿宋简体" w:cs="方正仿宋简体"/>
                <w:b w:val="0"/>
                <w:bCs w:val="0"/>
                <w:kern w:val="0"/>
                <w:sz w:val="24"/>
                <w:szCs w:val="24"/>
              </w:rPr>
              <w:t>附</w:t>
            </w:r>
            <w:r>
              <w:rPr>
                <w:rFonts w:hint="eastAsia" w:ascii="方正仿宋简体" w:hAnsi="方正仿宋简体" w:eastAsia="方正仿宋简体" w:cs="方正仿宋简体"/>
                <w:b w:val="0"/>
                <w:bCs w:val="0"/>
                <w:kern w:val="0"/>
                <w:sz w:val="24"/>
                <w:szCs w:val="24"/>
                <w:lang w:val="en-US" w:eastAsia="zh-CN"/>
              </w:rPr>
              <w:t>表</w:t>
            </w:r>
            <w:r>
              <w:rPr>
                <w:rFonts w:hint="eastAsia" w:ascii="方正仿宋简体" w:hAnsi="方正仿宋简体" w:eastAsia="方正仿宋简体" w:cs="方正仿宋简体"/>
                <w:b w:val="0"/>
                <w:bCs w:val="0"/>
                <w:kern w:val="0"/>
                <w:sz w:val="24"/>
                <w:szCs w:val="24"/>
              </w:rPr>
              <w:t>1-</w:t>
            </w:r>
            <w:r>
              <w:rPr>
                <w:rFonts w:hint="eastAsia" w:ascii="方正仿宋简体" w:hAnsi="方正仿宋简体" w:eastAsia="方正仿宋简体" w:cs="方正仿宋简体"/>
                <w:b w:val="0"/>
                <w:bCs w:val="0"/>
                <w:kern w:val="0"/>
                <w:sz w:val="24"/>
                <w:szCs w:val="24"/>
                <w:lang w:val="en-US" w:eastAsia="zh-CN"/>
              </w:rPr>
              <w:t>5</w:t>
            </w:r>
          </w:p>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bCs/>
                <w:color w:val="000000"/>
                <w:kern w:val="0"/>
                <w:sz w:val="32"/>
                <w:szCs w:val="32"/>
                <w:lang w:eastAsia="zh-CN"/>
              </w:rPr>
              <w:t>本级</w:t>
            </w:r>
            <w:r>
              <w:rPr>
                <w:rFonts w:hint="eastAsia" w:ascii="方正仿宋简体" w:hAnsi="方正仿宋简体" w:eastAsia="方正仿宋简体" w:cs="方正仿宋简体"/>
                <w:b/>
                <w:bCs/>
                <w:color w:val="000000"/>
                <w:kern w:val="0"/>
                <w:sz w:val="32"/>
                <w:szCs w:val="32"/>
              </w:rPr>
              <w:t>预算一般公共预算财政拨款支出表</w:t>
            </w:r>
          </w:p>
        </w:tc>
      </w:tr>
      <w:tr>
        <w:tblPrEx>
          <w:tblCellMar>
            <w:top w:w="0" w:type="dxa"/>
            <w:left w:w="0" w:type="dxa"/>
            <w:bottom w:w="0" w:type="dxa"/>
            <w:right w:w="0" w:type="dxa"/>
          </w:tblCellMar>
        </w:tblPrEx>
        <w:trPr>
          <w:trHeight w:val="285" w:hRule="atLeast"/>
        </w:trPr>
        <w:tc>
          <w:tcPr>
            <w:tcW w:w="3397" w:type="pct"/>
            <w:gridSpan w:val="4"/>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637名称：遵化市马兰峪镇人民政府</w:t>
            </w:r>
          </w:p>
        </w:tc>
        <w:tc>
          <w:tcPr>
            <w:tcW w:w="801" w:type="pct"/>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预算年度：</w:t>
            </w:r>
            <w:r>
              <w:rPr>
                <w:rStyle w:val="18"/>
                <w:rFonts w:hint="eastAsia" w:ascii="方正仿宋简体" w:hAnsi="方正仿宋简体" w:eastAsia="方正仿宋简体" w:cs="方正仿宋简体"/>
                <w:b w:val="0"/>
                <w:bCs w:val="0"/>
                <w:sz w:val="24"/>
                <w:szCs w:val="24"/>
              </w:rPr>
              <w:t>2022</w:t>
            </w:r>
          </w:p>
        </w:tc>
        <w:tc>
          <w:tcPr>
            <w:tcW w:w="801" w:type="pct"/>
            <w:tcBorders>
              <w:top w:val="nil"/>
              <w:left w:val="nil"/>
              <w:bottom w:val="nil"/>
              <w:right w:val="nil"/>
            </w:tcBorders>
            <w:noWrap/>
            <w:tcMar>
              <w:top w:w="15" w:type="dxa"/>
              <w:left w:w="15" w:type="dxa"/>
              <w:right w:w="15" w:type="dxa"/>
            </w:tcMar>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金额单位：万元</w:t>
            </w:r>
          </w:p>
        </w:tc>
      </w:tr>
      <w:tr>
        <w:tblPrEx>
          <w:tblCellMar>
            <w:top w:w="0" w:type="dxa"/>
            <w:left w:w="0" w:type="dxa"/>
            <w:bottom w:w="0" w:type="dxa"/>
            <w:right w:w="0" w:type="dxa"/>
          </w:tblCellMar>
        </w:tblPrEx>
        <w:trPr>
          <w:trHeight w:val="495" w:hRule="atLeast"/>
        </w:trPr>
        <w:tc>
          <w:tcPr>
            <w:tcW w:w="261"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序号</w:t>
            </w:r>
          </w:p>
        </w:tc>
        <w:tc>
          <w:tcPr>
            <w:tcW w:w="233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功能分类科目</w:t>
            </w:r>
          </w:p>
        </w:tc>
        <w:tc>
          <w:tcPr>
            <w:tcW w:w="801"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合计</w:t>
            </w:r>
          </w:p>
        </w:tc>
        <w:tc>
          <w:tcPr>
            <w:tcW w:w="801"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基本支出</w:t>
            </w:r>
          </w:p>
        </w:tc>
        <w:tc>
          <w:tcPr>
            <w:tcW w:w="801"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项目支出</w:t>
            </w:r>
          </w:p>
        </w:tc>
      </w:tr>
      <w:tr>
        <w:tblPrEx>
          <w:tblCellMar>
            <w:top w:w="0" w:type="dxa"/>
            <w:left w:w="0" w:type="dxa"/>
            <w:bottom w:w="0" w:type="dxa"/>
            <w:right w:w="0" w:type="dxa"/>
          </w:tblCellMar>
        </w:tblPrEx>
        <w:trPr>
          <w:trHeight w:val="360" w:hRule="atLeast"/>
        </w:trPr>
        <w:tc>
          <w:tcPr>
            <w:tcW w:w="261"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科目编码</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科目名称</w:t>
            </w:r>
          </w:p>
        </w:tc>
        <w:tc>
          <w:tcPr>
            <w:tcW w:w="801"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01"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01"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栏次</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1</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2</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3</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4</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5</w:t>
            </w: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方正仿宋简体" w:hAnsi="方正仿宋简体" w:eastAsia="方正仿宋简体" w:cs="方正仿宋简体"/>
                <w:color w:val="000000"/>
                <w:sz w:val="24"/>
                <w:szCs w:val="24"/>
              </w:rPr>
            </w:pP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合计</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842.2</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717.2</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一般公共服务支出</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20103</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政府办公厅（室）及相关机构事务</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2010301</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行政运行</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533.19</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社会保障和就业支出</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69.68</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69.68</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20805</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行政事业单位养老支出</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69.68</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69.68</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2080505</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机关事业单位基本养老保险缴费支出</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59.28</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59.28</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2080506</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机关事业单位职业年金缴费支出</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10.4</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10.4</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210</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卫生健康支出</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21011</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行政事业单位医疗</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2101101</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行政单位医疗</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67.54</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213</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农林水支出</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21307</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农村综合改革</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2130705</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对村民委员会和村支部的补助</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125</w:t>
            </w: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221</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住房保障支出</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22102</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住房改革支出</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60" w:hRule="atLeast"/>
        </w:trPr>
        <w:tc>
          <w:tcPr>
            <w:tcW w:w="2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w:t>
            </w:r>
          </w:p>
        </w:tc>
        <w:tc>
          <w:tcPr>
            <w:tcW w:w="5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2210201</w:t>
            </w:r>
          </w:p>
        </w:tc>
        <w:tc>
          <w:tcPr>
            <w:tcW w:w="17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住房公积金</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8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方正仿宋简体" w:hAnsi="方正仿宋简体" w:eastAsia="方正仿宋简体" w:cs="方正仿宋简体"/>
                <w:color w:val="000000"/>
                <w:sz w:val="24"/>
                <w:szCs w:val="24"/>
              </w:rPr>
            </w:pPr>
          </w:p>
        </w:tc>
      </w:tr>
    </w:tbl>
    <w:p>
      <w:pPr>
        <w:pStyle w:val="3"/>
        <w:rPr>
          <w:rFonts w:ascii="宋体" w:hAnsi="宋体" w:cs="Arial"/>
          <w:b/>
          <w:color w:val="000000"/>
          <w:kern w:val="0"/>
          <w:sz w:val="40"/>
          <w:szCs w:val="40"/>
        </w:rPr>
      </w:pPr>
    </w:p>
    <w:p>
      <w:pPr>
        <w:pStyle w:val="3"/>
        <w:rPr>
          <w:rFonts w:ascii="宋体" w:hAnsi="宋体" w:cs="Arial"/>
          <w:b/>
          <w:color w:val="000000"/>
          <w:kern w:val="0"/>
          <w:sz w:val="40"/>
          <w:szCs w:val="40"/>
        </w:rPr>
      </w:pPr>
    </w:p>
    <w:p>
      <w:pPr>
        <w:pStyle w:val="3"/>
        <w:rPr>
          <w:rFonts w:ascii="宋体" w:hAnsi="宋体" w:cs="Arial"/>
          <w:b/>
          <w:color w:val="000000"/>
          <w:kern w:val="0"/>
          <w:sz w:val="40"/>
          <w:szCs w:val="40"/>
        </w:rPr>
      </w:pPr>
    </w:p>
    <w:p>
      <w:pPr>
        <w:pStyle w:val="3"/>
        <w:rPr>
          <w:rFonts w:ascii="宋体" w:hAnsi="宋体" w:cs="Arial"/>
          <w:b/>
          <w:color w:val="000000"/>
          <w:kern w:val="0"/>
          <w:sz w:val="40"/>
          <w:szCs w:val="40"/>
        </w:rPr>
      </w:pPr>
    </w:p>
    <w:tbl>
      <w:tblPr>
        <w:tblStyle w:val="12"/>
        <w:tblW w:w="5000" w:type="pct"/>
        <w:tblInd w:w="0" w:type="dxa"/>
        <w:tblLayout w:type="autofit"/>
        <w:tblCellMar>
          <w:top w:w="0" w:type="dxa"/>
          <w:left w:w="0" w:type="dxa"/>
          <w:bottom w:w="0" w:type="dxa"/>
          <w:right w:w="0" w:type="dxa"/>
        </w:tblCellMar>
      </w:tblPr>
      <w:tblGrid>
        <w:gridCol w:w="776"/>
        <w:gridCol w:w="1502"/>
        <w:gridCol w:w="5153"/>
        <w:gridCol w:w="1193"/>
        <w:gridCol w:w="2582"/>
        <w:gridCol w:w="2601"/>
      </w:tblGrid>
      <w:tr>
        <w:tblPrEx>
          <w:tblCellMar>
            <w:top w:w="0" w:type="dxa"/>
            <w:left w:w="0" w:type="dxa"/>
            <w:bottom w:w="0" w:type="dxa"/>
            <w:right w:w="0" w:type="dxa"/>
          </w:tblCellMar>
        </w:tblPrEx>
        <w:trPr>
          <w:trHeight w:val="858" w:hRule="atLeast"/>
        </w:trPr>
        <w:tc>
          <w:tcPr>
            <w:tcW w:w="5000" w:type="pct"/>
            <w:gridSpan w:val="6"/>
            <w:tcBorders>
              <w:top w:val="nil"/>
              <w:left w:val="nil"/>
              <w:bottom w:val="nil"/>
              <w:right w:val="nil"/>
            </w:tcBorders>
            <w:noWrap/>
            <w:tcMar>
              <w:top w:w="15" w:type="dxa"/>
              <w:left w:w="15" w:type="dxa"/>
              <w:right w:w="15" w:type="dxa"/>
            </w:tcMar>
            <w:vAlign w:val="center"/>
          </w:tcPr>
          <w:p>
            <w:pPr>
              <w:widowControl/>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kern w:val="0"/>
                <w:sz w:val="24"/>
                <w:szCs w:val="24"/>
              </w:rPr>
              <w:t>附</w:t>
            </w:r>
            <w:r>
              <w:rPr>
                <w:rFonts w:hint="eastAsia" w:ascii="方正仿宋简体" w:hAnsi="方正仿宋简体" w:eastAsia="方正仿宋简体" w:cs="方正仿宋简体"/>
                <w:b w:val="0"/>
                <w:bCs w:val="0"/>
                <w:kern w:val="0"/>
                <w:sz w:val="24"/>
                <w:szCs w:val="24"/>
                <w:lang w:val="en-US" w:eastAsia="zh-CN"/>
              </w:rPr>
              <w:t>表</w:t>
            </w:r>
            <w:r>
              <w:rPr>
                <w:rFonts w:hint="eastAsia" w:ascii="方正仿宋简体" w:hAnsi="方正仿宋简体" w:eastAsia="方正仿宋简体" w:cs="方正仿宋简体"/>
                <w:b w:val="0"/>
                <w:bCs w:val="0"/>
                <w:kern w:val="0"/>
                <w:sz w:val="24"/>
                <w:szCs w:val="24"/>
              </w:rPr>
              <w:t>1-</w:t>
            </w:r>
            <w:r>
              <w:rPr>
                <w:rFonts w:hint="eastAsia" w:ascii="方正仿宋简体" w:hAnsi="方正仿宋简体" w:eastAsia="方正仿宋简体" w:cs="方正仿宋简体"/>
                <w:b w:val="0"/>
                <w:bCs w:val="0"/>
                <w:kern w:val="0"/>
                <w:sz w:val="24"/>
                <w:szCs w:val="24"/>
                <w:lang w:val="en-US" w:eastAsia="zh-CN"/>
              </w:rPr>
              <w:t>6</w:t>
            </w:r>
          </w:p>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bCs/>
                <w:color w:val="000000"/>
                <w:kern w:val="0"/>
                <w:sz w:val="32"/>
                <w:szCs w:val="32"/>
                <w:lang w:eastAsia="zh-CN"/>
              </w:rPr>
              <w:t>本级</w:t>
            </w:r>
            <w:r>
              <w:rPr>
                <w:rFonts w:hint="eastAsia" w:ascii="方正仿宋简体" w:hAnsi="方正仿宋简体" w:eastAsia="方正仿宋简体" w:cs="方正仿宋简体"/>
                <w:b/>
                <w:bCs/>
                <w:color w:val="000000"/>
                <w:kern w:val="0"/>
                <w:sz w:val="32"/>
                <w:szCs w:val="32"/>
              </w:rPr>
              <w:t>预算一般公共预算财政拨款基本支出表</w:t>
            </w:r>
          </w:p>
        </w:tc>
      </w:tr>
      <w:tr>
        <w:tblPrEx>
          <w:tblCellMar>
            <w:top w:w="0" w:type="dxa"/>
            <w:left w:w="0" w:type="dxa"/>
            <w:bottom w:w="0" w:type="dxa"/>
            <w:right w:w="0" w:type="dxa"/>
          </w:tblCellMar>
        </w:tblPrEx>
        <w:trPr>
          <w:trHeight w:val="380" w:hRule="atLeast"/>
        </w:trPr>
        <w:tc>
          <w:tcPr>
            <w:tcW w:w="3122" w:type="pct"/>
            <w:gridSpan w:val="4"/>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637名称：遵化市马兰峪镇人民政府</w:t>
            </w:r>
          </w:p>
        </w:tc>
        <w:tc>
          <w:tcPr>
            <w:tcW w:w="935" w:type="pct"/>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预算年度：</w:t>
            </w:r>
            <w:r>
              <w:rPr>
                <w:rStyle w:val="19"/>
                <w:rFonts w:hint="eastAsia" w:ascii="方正仿宋简体" w:hAnsi="方正仿宋简体" w:eastAsia="方正仿宋简体" w:cs="方正仿宋简体"/>
                <w:b w:val="0"/>
                <w:bCs w:val="0"/>
                <w:sz w:val="24"/>
                <w:szCs w:val="24"/>
              </w:rPr>
              <w:t>2022</w:t>
            </w:r>
          </w:p>
        </w:tc>
        <w:tc>
          <w:tcPr>
            <w:tcW w:w="941" w:type="pct"/>
            <w:tcBorders>
              <w:top w:val="nil"/>
              <w:left w:val="nil"/>
              <w:bottom w:val="nil"/>
              <w:right w:val="nil"/>
            </w:tcBorders>
            <w:noWrap/>
            <w:tcMar>
              <w:top w:w="15" w:type="dxa"/>
              <w:left w:w="15" w:type="dxa"/>
              <w:right w:w="15" w:type="dxa"/>
            </w:tcMar>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金额单位：万元</w:t>
            </w:r>
          </w:p>
        </w:tc>
      </w:tr>
      <w:tr>
        <w:tblPrEx>
          <w:tblCellMar>
            <w:top w:w="0" w:type="dxa"/>
            <w:left w:w="0" w:type="dxa"/>
            <w:bottom w:w="0" w:type="dxa"/>
            <w:right w:w="0" w:type="dxa"/>
          </w:tblCellMar>
        </w:tblPrEx>
        <w:trPr>
          <w:trHeight w:val="402" w:hRule="atLeast"/>
        </w:trPr>
        <w:tc>
          <w:tcPr>
            <w:tcW w:w="281"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序号</w:t>
            </w:r>
          </w:p>
        </w:tc>
        <w:tc>
          <w:tcPr>
            <w:tcW w:w="2410"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支出</w:t>
            </w:r>
            <w:r>
              <w:rPr>
                <w:rFonts w:hint="eastAsia" w:ascii="方正仿宋简体" w:hAnsi="方正仿宋简体" w:eastAsia="方正仿宋简体" w:cs="方正仿宋简体"/>
                <w:b w:val="0"/>
                <w:bCs w:val="0"/>
                <w:color w:val="000000"/>
                <w:kern w:val="0"/>
                <w:sz w:val="24"/>
                <w:szCs w:val="24"/>
                <w:lang w:eastAsia="zh-CN"/>
              </w:rPr>
              <w:t>本级</w:t>
            </w:r>
            <w:r>
              <w:rPr>
                <w:rFonts w:hint="eastAsia" w:ascii="方正仿宋简体" w:hAnsi="方正仿宋简体" w:eastAsia="方正仿宋简体" w:cs="方正仿宋简体"/>
                <w:b w:val="0"/>
                <w:bCs w:val="0"/>
                <w:color w:val="000000"/>
                <w:kern w:val="0"/>
                <w:sz w:val="24"/>
                <w:szCs w:val="24"/>
              </w:rPr>
              <w:t>经济分类科目</w:t>
            </w:r>
          </w:p>
        </w:tc>
        <w:tc>
          <w:tcPr>
            <w:tcW w:w="2308"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一般公共预算基本支出</w:t>
            </w:r>
          </w:p>
        </w:tc>
      </w:tr>
      <w:tr>
        <w:tblPrEx>
          <w:tblCellMar>
            <w:top w:w="0" w:type="dxa"/>
            <w:left w:w="0" w:type="dxa"/>
            <w:bottom w:w="0" w:type="dxa"/>
            <w:right w:w="0" w:type="dxa"/>
          </w:tblCellMar>
        </w:tblPrEx>
        <w:trPr>
          <w:trHeight w:val="555" w:hRule="atLeast"/>
        </w:trPr>
        <w:tc>
          <w:tcPr>
            <w:tcW w:w="281"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科目编码</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科目名称</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合计</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人员经费</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公用经费</w:t>
            </w:r>
          </w:p>
        </w:tc>
      </w:tr>
      <w:tr>
        <w:tblPrEx>
          <w:tblCellMar>
            <w:top w:w="0" w:type="dxa"/>
            <w:left w:w="0" w:type="dxa"/>
            <w:bottom w:w="0" w:type="dxa"/>
            <w:right w:w="0" w:type="dxa"/>
          </w:tblCellMar>
        </w:tblPrEx>
        <w:trPr>
          <w:trHeight w:val="524"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栏次</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1</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2</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3</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4</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5</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bottom"/>
              <w:rPr>
                <w:rFonts w:hint="eastAsia" w:ascii="方正仿宋简体" w:hAnsi="方正仿宋简体" w:eastAsia="方正仿宋简体" w:cs="方正仿宋简体"/>
                <w:color w:val="000000"/>
                <w:kern w:val="0"/>
                <w:sz w:val="24"/>
                <w:szCs w:val="24"/>
              </w:rPr>
            </w:pP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合计</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717.2</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632.64</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84.56</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301</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工资福利支出</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607.07</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607.07</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30101</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基本工资</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173.45</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173.45</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30102</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津贴补贴</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181.24</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181.24</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30103</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奖金</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7.37</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7.37</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30107</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绩效工资</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59.49</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59.49</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30108</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机关事业单位基本养老保险缴费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59.28</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59.28</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30109</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职业年金缴费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10.4</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10.4</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30110</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职工基本医疗保险缴费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33</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33</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30111</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公务员医疗补助缴费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24.5</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24.5</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30112</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其他社会保障缴费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11.55</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11.55</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30113</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住房公积金</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46.79</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商品和服务支出</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84.56</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84.56</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30201</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办公费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9.4</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9.4</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30206</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电费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2.35</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2.35</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30207</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邮电费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1.54</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1.54</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30208</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取暖费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18</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30211</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差旅费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1.88</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1.88</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19</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30213</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维修(护)费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0.92</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0.92</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30215</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会议费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0.24</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0.24</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30216</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培训费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0.24</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0.24</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30217</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公务接待费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0.5</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0.5</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23</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30228</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工会经费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3.91</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3.91</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24</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30229</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福利费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4.59</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4.59</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25</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30231</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公务用车运行维护费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15.2</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15.2</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26</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30239</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其他交通费用</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22.86</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22.86</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27</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30299</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其他商品和服务支出</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5.93</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5.93</w:t>
            </w: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28</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303</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对个人和家庭的补助</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25.57</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25.57</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29</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30302</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退休费</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11.73</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11.73</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30304</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抚恤金</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3.7</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3.7</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31</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30307</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医疗费补助</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10.04</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10.04</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300" w:hRule="atLeas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32</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30309</w:t>
            </w:r>
          </w:p>
        </w:tc>
        <w:tc>
          <w:tcPr>
            <w:tcW w:w="18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奖励金</w:t>
            </w:r>
          </w:p>
        </w:tc>
        <w:tc>
          <w:tcPr>
            <w:tcW w:w="4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0.1</w:t>
            </w:r>
          </w:p>
        </w:tc>
        <w:tc>
          <w:tcPr>
            <w:tcW w:w="9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0.1</w:t>
            </w:r>
          </w:p>
        </w:tc>
        <w:tc>
          <w:tcPr>
            <w:tcW w:w="9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方正仿宋简体" w:hAnsi="方正仿宋简体" w:eastAsia="方正仿宋简体" w:cs="方正仿宋简体"/>
                <w:color w:val="000000"/>
                <w:sz w:val="24"/>
                <w:szCs w:val="24"/>
              </w:rPr>
            </w:pPr>
          </w:p>
        </w:tc>
      </w:tr>
    </w:tbl>
    <w:p>
      <w:pPr>
        <w:pStyle w:val="3"/>
        <w:rPr>
          <w:rFonts w:ascii="宋体" w:hAnsi="宋体" w:cs="Arial"/>
          <w:b/>
          <w:color w:val="000000"/>
          <w:kern w:val="0"/>
          <w:sz w:val="40"/>
          <w:szCs w:val="40"/>
        </w:rPr>
      </w:pPr>
    </w:p>
    <w:p>
      <w:pPr>
        <w:pStyle w:val="3"/>
        <w:rPr>
          <w:rFonts w:ascii="宋体" w:hAnsi="宋体" w:cs="Arial"/>
          <w:b/>
          <w:color w:val="000000"/>
          <w:kern w:val="0"/>
          <w:sz w:val="40"/>
          <w:szCs w:val="40"/>
        </w:rPr>
      </w:pPr>
    </w:p>
    <w:p>
      <w:pPr>
        <w:pStyle w:val="3"/>
        <w:rPr>
          <w:rFonts w:ascii="宋体" w:hAnsi="宋体" w:cs="Arial"/>
          <w:b/>
          <w:color w:val="000000"/>
          <w:kern w:val="0"/>
          <w:sz w:val="40"/>
          <w:szCs w:val="40"/>
        </w:rPr>
      </w:pPr>
    </w:p>
    <w:tbl>
      <w:tblPr>
        <w:tblStyle w:val="12"/>
        <w:tblpPr w:leftFromText="180" w:rightFromText="180" w:vertAnchor="text" w:horzAnchor="page" w:tblpX="1333" w:tblpY="300"/>
        <w:tblOverlap w:val="never"/>
        <w:tblW w:w="5000" w:type="pct"/>
        <w:tblInd w:w="0" w:type="dxa"/>
        <w:tblLayout w:type="autofit"/>
        <w:tblCellMar>
          <w:top w:w="0" w:type="dxa"/>
          <w:left w:w="0" w:type="dxa"/>
          <w:bottom w:w="0" w:type="dxa"/>
          <w:right w:w="0" w:type="dxa"/>
        </w:tblCellMar>
      </w:tblPr>
      <w:tblGrid>
        <w:gridCol w:w="746"/>
        <w:gridCol w:w="218"/>
        <w:gridCol w:w="1201"/>
        <w:gridCol w:w="218"/>
        <w:gridCol w:w="4101"/>
        <w:gridCol w:w="72"/>
        <w:gridCol w:w="2331"/>
        <w:gridCol w:w="88"/>
        <w:gridCol w:w="2314"/>
        <w:gridCol w:w="99"/>
        <w:gridCol w:w="2300"/>
        <w:gridCol w:w="119"/>
      </w:tblGrid>
      <w:tr>
        <w:tblPrEx>
          <w:tblCellMar>
            <w:top w:w="0" w:type="dxa"/>
            <w:left w:w="0" w:type="dxa"/>
            <w:bottom w:w="0" w:type="dxa"/>
            <w:right w:w="0" w:type="dxa"/>
          </w:tblCellMar>
        </w:tblPrEx>
        <w:trPr>
          <w:gridAfter w:val="1"/>
          <w:wAfter w:w="42" w:type="pct"/>
          <w:trHeight w:val="915" w:hRule="atLeast"/>
        </w:trPr>
        <w:tc>
          <w:tcPr>
            <w:tcW w:w="4957" w:type="pct"/>
            <w:gridSpan w:val="11"/>
            <w:tcBorders>
              <w:top w:val="nil"/>
              <w:left w:val="nil"/>
              <w:bottom w:val="nil"/>
              <w:right w:val="nil"/>
            </w:tcBorders>
            <w:noWrap/>
            <w:tcMar>
              <w:top w:w="15" w:type="dxa"/>
              <w:left w:w="15" w:type="dxa"/>
              <w:right w:w="15" w:type="dxa"/>
            </w:tcMar>
            <w:vAlign w:val="center"/>
          </w:tcPr>
          <w:p>
            <w:pPr>
              <w:widowControl/>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kern w:val="0"/>
                <w:sz w:val="24"/>
                <w:szCs w:val="24"/>
              </w:rPr>
              <w:t>附</w:t>
            </w:r>
            <w:r>
              <w:rPr>
                <w:rFonts w:hint="eastAsia" w:ascii="方正仿宋简体" w:hAnsi="方正仿宋简体" w:eastAsia="方正仿宋简体" w:cs="方正仿宋简体"/>
                <w:b w:val="0"/>
                <w:bCs w:val="0"/>
                <w:kern w:val="0"/>
                <w:sz w:val="24"/>
                <w:szCs w:val="24"/>
                <w:lang w:val="en-US" w:eastAsia="zh-CN"/>
              </w:rPr>
              <w:t>表</w:t>
            </w:r>
            <w:r>
              <w:rPr>
                <w:rFonts w:hint="eastAsia" w:ascii="方正仿宋简体" w:hAnsi="方正仿宋简体" w:eastAsia="方正仿宋简体" w:cs="方正仿宋简体"/>
                <w:b w:val="0"/>
                <w:bCs w:val="0"/>
                <w:kern w:val="0"/>
                <w:sz w:val="24"/>
                <w:szCs w:val="24"/>
              </w:rPr>
              <w:t>1-</w:t>
            </w:r>
            <w:r>
              <w:rPr>
                <w:rFonts w:hint="eastAsia" w:ascii="方正仿宋简体" w:hAnsi="方正仿宋简体" w:eastAsia="方正仿宋简体" w:cs="方正仿宋简体"/>
                <w:b w:val="0"/>
                <w:bCs w:val="0"/>
                <w:kern w:val="0"/>
                <w:sz w:val="24"/>
                <w:szCs w:val="24"/>
                <w:lang w:val="en-US" w:eastAsia="zh-CN"/>
              </w:rPr>
              <w:t>7</w:t>
            </w:r>
          </w:p>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bCs/>
                <w:color w:val="000000"/>
                <w:kern w:val="0"/>
                <w:sz w:val="32"/>
                <w:szCs w:val="32"/>
                <w:lang w:eastAsia="zh-CN"/>
              </w:rPr>
              <w:t>本级</w:t>
            </w:r>
            <w:r>
              <w:rPr>
                <w:rFonts w:hint="eastAsia" w:ascii="方正仿宋简体" w:hAnsi="方正仿宋简体" w:eastAsia="方正仿宋简体" w:cs="方正仿宋简体"/>
                <w:b/>
                <w:bCs/>
                <w:color w:val="000000"/>
                <w:kern w:val="0"/>
                <w:sz w:val="32"/>
                <w:szCs w:val="32"/>
              </w:rPr>
              <w:t>预算政府基金预算财政拨款支出表</w:t>
            </w:r>
          </w:p>
        </w:tc>
      </w:tr>
      <w:tr>
        <w:tblPrEx>
          <w:tblCellMar>
            <w:top w:w="0" w:type="dxa"/>
            <w:left w:w="0" w:type="dxa"/>
            <w:bottom w:w="0" w:type="dxa"/>
            <w:right w:w="0" w:type="dxa"/>
          </w:tblCellMar>
        </w:tblPrEx>
        <w:trPr>
          <w:gridAfter w:val="1"/>
          <w:wAfter w:w="42" w:type="pct"/>
          <w:trHeight w:val="435" w:hRule="atLeast"/>
        </w:trPr>
        <w:tc>
          <w:tcPr>
            <w:tcW w:w="3218" w:type="pct"/>
            <w:gridSpan w:val="7"/>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637名称：遵化市马兰峪镇人民政府</w:t>
            </w:r>
          </w:p>
        </w:tc>
        <w:tc>
          <w:tcPr>
            <w:tcW w:w="869" w:type="pct"/>
            <w:gridSpan w:val="2"/>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预算年度：2022</w:t>
            </w:r>
          </w:p>
        </w:tc>
        <w:tc>
          <w:tcPr>
            <w:tcW w:w="869" w:type="pct"/>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金额单位：万元</w:t>
            </w:r>
          </w:p>
        </w:tc>
      </w:tr>
      <w:tr>
        <w:tblPrEx>
          <w:tblCellMar>
            <w:top w:w="0" w:type="dxa"/>
            <w:left w:w="0" w:type="dxa"/>
            <w:bottom w:w="0" w:type="dxa"/>
            <w:right w:w="0" w:type="dxa"/>
          </w:tblCellMar>
        </w:tblPrEx>
        <w:trPr>
          <w:gridAfter w:val="1"/>
          <w:wAfter w:w="42" w:type="pct"/>
          <w:trHeight w:val="435" w:hRule="atLeast"/>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序号</w:t>
            </w:r>
          </w:p>
        </w:tc>
        <w:tc>
          <w:tcPr>
            <w:tcW w:w="2078" w:type="pct"/>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功能分类科目</w:t>
            </w:r>
          </w:p>
        </w:tc>
        <w:tc>
          <w:tcPr>
            <w:tcW w:w="869"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合计</w:t>
            </w:r>
          </w:p>
        </w:tc>
        <w:tc>
          <w:tcPr>
            <w:tcW w:w="869"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基本支出</w:t>
            </w:r>
          </w:p>
        </w:tc>
        <w:tc>
          <w:tcPr>
            <w:tcW w:w="869"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项目支出</w:t>
            </w:r>
          </w:p>
        </w:tc>
      </w:tr>
      <w:tr>
        <w:tblPrEx>
          <w:tblCellMar>
            <w:top w:w="0" w:type="dxa"/>
            <w:left w:w="0" w:type="dxa"/>
            <w:bottom w:w="0" w:type="dxa"/>
            <w:right w:w="0" w:type="dxa"/>
          </w:tblCellMar>
        </w:tblPrEx>
        <w:trPr>
          <w:gridAfter w:val="1"/>
          <w:wAfter w:w="42" w:type="pct"/>
          <w:trHeight w:val="825"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科目编码</w:t>
            </w:r>
          </w:p>
        </w:tc>
        <w:tc>
          <w:tcPr>
            <w:tcW w:w="156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科目名称</w:t>
            </w:r>
          </w:p>
        </w:tc>
        <w:tc>
          <w:tcPr>
            <w:tcW w:w="86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gridAfter w:val="1"/>
          <w:wAfter w:w="42" w:type="pct"/>
          <w:trHeight w:val="435" w:hRule="atLeast"/>
        </w:trPr>
        <w:tc>
          <w:tcPr>
            <w:tcW w:w="27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栏次</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1</w:t>
            </w:r>
          </w:p>
        </w:tc>
        <w:tc>
          <w:tcPr>
            <w:tcW w:w="156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2</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3</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4</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5</w:t>
            </w:r>
          </w:p>
        </w:tc>
      </w:tr>
      <w:tr>
        <w:tblPrEx>
          <w:tblCellMar>
            <w:top w:w="0" w:type="dxa"/>
            <w:left w:w="0" w:type="dxa"/>
            <w:bottom w:w="0" w:type="dxa"/>
            <w:right w:w="0" w:type="dxa"/>
          </w:tblCellMar>
        </w:tblPrEx>
        <w:trPr>
          <w:gridAfter w:val="1"/>
          <w:wAfter w:w="42" w:type="pct"/>
          <w:trHeight w:val="543" w:hRule="exact"/>
        </w:trPr>
        <w:tc>
          <w:tcPr>
            <w:tcW w:w="27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156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gridAfter w:val="1"/>
          <w:wAfter w:w="42" w:type="pct"/>
          <w:trHeight w:val="565" w:hRule="exact"/>
        </w:trPr>
        <w:tc>
          <w:tcPr>
            <w:tcW w:w="27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156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gridAfter w:val="1"/>
          <w:wAfter w:w="42" w:type="pct"/>
          <w:trHeight w:val="431" w:hRule="exact"/>
        </w:trPr>
        <w:tc>
          <w:tcPr>
            <w:tcW w:w="27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156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gridAfter w:val="1"/>
          <w:wAfter w:w="42" w:type="pct"/>
          <w:trHeight w:val="425" w:hRule="exact"/>
        </w:trPr>
        <w:tc>
          <w:tcPr>
            <w:tcW w:w="27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156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gridAfter w:val="1"/>
          <w:wAfter w:w="42" w:type="pct"/>
          <w:trHeight w:val="419" w:hRule="exact"/>
        </w:trPr>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15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gridAfter w:val="1"/>
          <w:wAfter w:w="42" w:type="pct"/>
          <w:trHeight w:val="427" w:hRule="exact"/>
        </w:trPr>
        <w:tc>
          <w:tcPr>
            <w:tcW w:w="27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156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gridAfter w:val="1"/>
          <w:wAfter w:w="42" w:type="pct"/>
          <w:trHeight w:val="421" w:hRule="exact"/>
        </w:trPr>
        <w:tc>
          <w:tcPr>
            <w:tcW w:w="27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156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gridAfter w:val="1"/>
          <w:wAfter w:w="42" w:type="pct"/>
          <w:trHeight w:val="429" w:hRule="exact"/>
        </w:trPr>
        <w:tc>
          <w:tcPr>
            <w:tcW w:w="27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156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gridAfter w:val="1"/>
          <w:wAfter w:w="42" w:type="pct"/>
          <w:trHeight w:val="270" w:hRule="atLeast"/>
        </w:trPr>
        <w:tc>
          <w:tcPr>
            <w:tcW w:w="4087" w:type="pct"/>
            <w:gridSpan w:val="9"/>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注：无政府基金预算财政拨款预算，空表列示。</w:t>
            </w:r>
          </w:p>
        </w:tc>
        <w:tc>
          <w:tcPr>
            <w:tcW w:w="869" w:type="pct"/>
            <w:gridSpan w:val="2"/>
            <w:tcBorders>
              <w:top w:val="nil"/>
              <w:left w:val="nil"/>
              <w:bottom w:val="nil"/>
              <w:right w:val="nil"/>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trHeight w:val="780" w:hRule="atLeast"/>
        </w:trPr>
        <w:tc>
          <w:tcPr>
            <w:tcW w:w="5000" w:type="pct"/>
            <w:gridSpan w:val="12"/>
            <w:tcBorders>
              <w:top w:val="nil"/>
              <w:left w:val="nil"/>
              <w:bottom w:val="nil"/>
              <w:right w:val="nil"/>
            </w:tcBorders>
            <w:noWrap/>
            <w:tcMar>
              <w:top w:w="15" w:type="dxa"/>
              <w:left w:w="15" w:type="dxa"/>
              <w:right w:w="15" w:type="dxa"/>
            </w:tcMar>
            <w:vAlign w:val="center"/>
          </w:tcPr>
          <w:p>
            <w:pPr>
              <w:widowControl/>
              <w:rPr>
                <w:rFonts w:hint="eastAsia" w:ascii="方正仿宋简体" w:hAnsi="方正仿宋简体" w:eastAsia="方正仿宋简体" w:cs="方正仿宋简体"/>
                <w:b w:val="0"/>
                <w:bCs w:val="0"/>
                <w:color w:val="000000"/>
                <w:kern w:val="0"/>
                <w:sz w:val="24"/>
                <w:szCs w:val="24"/>
                <w:lang w:val="en-US" w:eastAsia="zh-CN"/>
              </w:rPr>
            </w:pPr>
            <w:r>
              <w:rPr>
                <w:rFonts w:hint="eastAsia" w:ascii="方正仿宋简体" w:hAnsi="方正仿宋简体" w:eastAsia="方正仿宋简体" w:cs="方正仿宋简体"/>
                <w:b w:val="0"/>
                <w:bCs w:val="0"/>
                <w:kern w:val="0"/>
                <w:sz w:val="24"/>
                <w:szCs w:val="24"/>
              </w:rPr>
              <w:t>附</w:t>
            </w:r>
            <w:r>
              <w:rPr>
                <w:rFonts w:hint="eastAsia" w:ascii="方正仿宋简体" w:hAnsi="方正仿宋简体" w:eastAsia="方正仿宋简体" w:cs="方正仿宋简体"/>
                <w:b w:val="0"/>
                <w:bCs w:val="0"/>
                <w:kern w:val="0"/>
                <w:sz w:val="24"/>
                <w:szCs w:val="24"/>
                <w:lang w:val="en-US" w:eastAsia="zh-CN"/>
              </w:rPr>
              <w:t>表</w:t>
            </w:r>
            <w:r>
              <w:rPr>
                <w:rFonts w:hint="eastAsia" w:ascii="方正仿宋简体" w:hAnsi="方正仿宋简体" w:eastAsia="方正仿宋简体" w:cs="方正仿宋简体"/>
                <w:b w:val="0"/>
                <w:bCs w:val="0"/>
                <w:kern w:val="0"/>
                <w:sz w:val="24"/>
                <w:szCs w:val="24"/>
              </w:rPr>
              <w:t>1-</w:t>
            </w:r>
            <w:r>
              <w:rPr>
                <w:rFonts w:hint="eastAsia" w:ascii="方正仿宋简体" w:hAnsi="方正仿宋简体" w:eastAsia="方正仿宋简体" w:cs="方正仿宋简体"/>
                <w:b w:val="0"/>
                <w:bCs w:val="0"/>
                <w:kern w:val="0"/>
                <w:sz w:val="24"/>
                <w:szCs w:val="24"/>
                <w:lang w:val="en-US" w:eastAsia="zh-CN"/>
              </w:rPr>
              <w:t>8</w:t>
            </w:r>
          </w:p>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bCs/>
                <w:color w:val="000000"/>
                <w:kern w:val="0"/>
                <w:sz w:val="32"/>
                <w:szCs w:val="32"/>
                <w:lang w:eastAsia="zh-CN"/>
              </w:rPr>
              <w:t>本级</w:t>
            </w:r>
            <w:r>
              <w:rPr>
                <w:rFonts w:hint="eastAsia" w:ascii="方正仿宋简体" w:hAnsi="方正仿宋简体" w:eastAsia="方正仿宋简体" w:cs="方正仿宋简体"/>
                <w:b/>
                <w:bCs/>
                <w:color w:val="000000"/>
                <w:kern w:val="0"/>
                <w:sz w:val="32"/>
                <w:szCs w:val="32"/>
              </w:rPr>
              <w:t>预算国有资本经营预算财政拨款支出表</w:t>
            </w:r>
          </w:p>
        </w:tc>
      </w:tr>
      <w:tr>
        <w:tblPrEx>
          <w:tblCellMar>
            <w:top w:w="0" w:type="dxa"/>
            <w:left w:w="0" w:type="dxa"/>
            <w:bottom w:w="0" w:type="dxa"/>
            <w:right w:w="0" w:type="dxa"/>
          </w:tblCellMar>
        </w:tblPrEx>
        <w:trPr>
          <w:trHeight w:val="495" w:hRule="atLeast"/>
        </w:trPr>
        <w:tc>
          <w:tcPr>
            <w:tcW w:w="3250" w:type="pct"/>
            <w:gridSpan w:val="8"/>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637名称：遵化市马兰峪镇人民政府</w:t>
            </w:r>
          </w:p>
        </w:tc>
        <w:tc>
          <w:tcPr>
            <w:tcW w:w="874" w:type="pct"/>
            <w:gridSpan w:val="2"/>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预算年度：2022</w:t>
            </w:r>
          </w:p>
        </w:tc>
        <w:tc>
          <w:tcPr>
            <w:tcW w:w="875" w:type="pct"/>
            <w:gridSpan w:val="2"/>
            <w:tcBorders>
              <w:top w:val="nil"/>
              <w:left w:val="nil"/>
              <w:bottom w:val="nil"/>
              <w:right w:val="nil"/>
            </w:tcBorders>
            <w:noWrap/>
            <w:tcMar>
              <w:top w:w="15" w:type="dxa"/>
              <w:left w:w="15" w:type="dxa"/>
              <w:right w:w="15" w:type="dxa"/>
            </w:tcMar>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金额单位：万元</w:t>
            </w:r>
          </w:p>
        </w:tc>
      </w:tr>
      <w:tr>
        <w:tblPrEx>
          <w:tblCellMar>
            <w:top w:w="0" w:type="dxa"/>
            <w:left w:w="0" w:type="dxa"/>
            <w:bottom w:w="0" w:type="dxa"/>
            <w:right w:w="0" w:type="dxa"/>
          </w:tblCellMar>
        </w:tblPrEx>
        <w:trPr>
          <w:trHeight w:val="540" w:hRule="atLeast"/>
        </w:trPr>
        <w:tc>
          <w:tcPr>
            <w:tcW w:w="349" w:type="pct"/>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序号</w:t>
            </w:r>
          </w:p>
        </w:tc>
        <w:tc>
          <w:tcPr>
            <w:tcW w:w="2025" w:type="pct"/>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功能分类科目</w:t>
            </w:r>
          </w:p>
        </w:tc>
        <w:tc>
          <w:tcPr>
            <w:tcW w:w="874" w:type="pct"/>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合计</w:t>
            </w:r>
          </w:p>
        </w:tc>
        <w:tc>
          <w:tcPr>
            <w:tcW w:w="874" w:type="pct"/>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基本支出</w:t>
            </w:r>
          </w:p>
        </w:tc>
        <w:tc>
          <w:tcPr>
            <w:tcW w:w="875" w:type="pct"/>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项目支出</w:t>
            </w:r>
          </w:p>
        </w:tc>
      </w:tr>
      <w:tr>
        <w:tblPrEx>
          <w:tblCellMar>
            <w:top w:w="0" w:type="dxa"/>
            <w:left w:w="0" w:type="dxa"/>
            <w:bottom w:w="0" w:type="dxa"/>
            <w:right w:w="0" w:type="dxa"/>
          </w:tblCellMar>
        </w:tblPrEx>
        <w:trPr>
          <w:trHeight w:val="480" w:hRule="atLeast"/>
        </w:trPr>
        <w:tc>
          <w:tcPr>
            <w:tcW w:w="349" w:type="pct"/>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科目编码</w:t>
            </w:r>
          </w:p>
        </w:tc>
        <w:tc>
          <w:tcPr>
            <w:tcW w:w="151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科目名称</w:t>
            </w:r>
          </w:p>
        </w:tc>
        <w:tc>
          <w:tcPr>
            <w:tcW w:w="874" w:type="pct"/>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74" w:type="pct"/>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c>
          <w:tcPr>
            <w:tcW w:w="875" w:type="pct"/>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trHeight w:val="480" w:hRule="atLeast"/>
        </w:trPr>
        <w:tc>
          <w:tcPr>
            <w:tcW w:w="3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栏次</w:t>
            </w:r>
          </w:p>
        </w:tc>
        <w:tc>
          <w:tcPr>
            <w:tcW w:w="51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1</w:t>
            </w:r>
          </w:p>
        </w:tc>
        <w:tc>
          <w:tcPr>
            <w:tcW w:w="151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2</w:t>
            </w:r>
          </w:p>
        </w:tc>
        <w:tc>
          <w:tcPr>
            <w:tcW w:w="8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3</w:t>
            </w:r>
          </w:p>
        </w:tc>
        <w:tc>
          <w:tcPr>
            <w:tcW w:w="8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4</w:t>
            </w:r>
          </w:p>
        </w:tc>
        <w:tc>
          <w:tcPr>
            <w:tcW w:w="87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5</w:t>
            </w:r>
          </w:p>
        </w:tc>
      </w:tr>
      <w:tr>
        <w:tblPrEx>
          <w:tblCellMar>
            <w:top w:w="0" w:type="dxa"/>
            <w:left w:w="0" w:type="dxa"/>
            <w:bottom w:w="0" w:type="dxa"/>
            <w:right w:w="0" w:type="dxa"/>
          </w:tblCellMar>
        </w:tblPrEx>
        <w:trPr>
          <w:trHeight w:val="480" w:hRule="atLeast"/>
        </w:trPr>
        <w:tc>
          <w:tcPr>
            <w:tcW w:w="3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151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trHeight w:val="480" w:hRule="atLeast"/>
        </w:trPr>
        <w:tc>
          <w:tcPr>
            <w:tcW w:w="3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151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trHeight w:val="480" w:hRule="atLeast"/>
        </w:trPr>
        <w:tc>
          <w:tcPr>
            <w:tcW w:w="3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151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trHeight w:val="480" w:hRule="atLeast"/>
        </w:trPr>
        <w:tc>
          <w:tcPr>
            <w:tcW w:w="3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151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trHeight w:val="480" w:hRule="atLeast"/>
        </w:trPr>
        <w:tc>
          <w:tcPr>
            <w:tcW w:w="3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151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trHeight w:val="480" w:hRule="atLeast"/>
        </w:trPr>
        <w:tc>
          <w:tcPr>
            <w:tcW w:w="34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51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151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c>
          <w:tcPr>
            <w:tcW w:w="87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r>
      <w:tr>
        <w:tblPrEx>
          <w:tblCellMar>
            <w:top w:w="0" w:type="dxa"/>
            <w:left w:w="0" w:type="dxa"/>
            <w:bottom w:w="0" w:type="dxa"/>
            <w:right w:w="0" w:type="dxa"/>
          </w:tblCellMar>
        </w:tblPrEx>
        <w:trPr>
          <w:trHeight w:val="375" w:hRule="atLeast"/>
        </w:trPr>
        <w:tc>
          <w:tcPr>
            <w:tcW w:w="4124" w:type="pct"/>
            <w:gridSpan w:val="10"/>
            <w:tcBorders>
              <w:top w:val="single" w:color="000000" w:sz="4" w:space="0"/>
              <w:left w:val="nil"/>
              <w:bottom w:val="nil"/>
              <w:right w:val="nil"/>
            </w:tcBorders>
            <w:noWrap/>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rPr>
              <w:t>注：无国有资本经营预算财政拨款预算，空表列示。</w:t>
            </w:r>
          </w:p>
        </w:tc>
        <w:tc>
          <w:tcPr>
            <w:tcW w:w="875" w:type="pct"/>
            <w:gridSpan w:val="2"/>
            <w:tcBorders>
              <w:top w:val="nil"/>
              <w:left w:val="nil"/>
              <w:bottom w:val="nil"/>
              <w:right w:val="nil"/>
            </w:tcBorders>
            <w:noWrap/>
            <w:tcMar>
              <w:top w:w="15" w:type="dxa"/>
              <w:left w:w="15" w:type="dxa"/>
              <w:right w:w="15" w:type="dxa"/>
            </w:tcMar>
          </w:tcPr>
          <w:p>
            <w:pPr>
              <w:rPr>
                <w:rFonts w:hint="eastAsia" w:ascii="方正仿宋简体" w:hAnsi="方正仿宋简体" w:eastAsia="方正仿宋简体" w:cs="方正仿宋简体"/>
                <w:b w:val="0"/>
                <w:bCs w:val="0"/>
                <w:color w:val="000000"/>
                <w:sz w:val="24"/>
                <w:szCs w:val="24"/>
              </w:rPr>
            </w:pPr>
          </w:p>
        </w:tc>
      </w:tr>
    </w:tbl>
    <w:p>
      <w:pPr>
        <w:pStyle w:val="3"/>
        <w:rPr>
          <w:rFonts w:ascii="宋体" w:hAnsi="宋体" w:cs="Arial"/>
          <w:b/>
          <w:color w:val="000000"/>
          <w:kern w:val="0"/>
          <w:sz w:val="40"/>
          <w:szCs w:val="40"/>
        </w:rPr>
      </w:pPr>
    </w:p>
    <w:tbl>
      <w:tblPr>
        <w:tblStyle w:val="12"/>
        <w:tblpPr w:leftFromText="180" w:rightFromText="180" w:vertAnchor="text" w:horzAnchor="page" w:tblpX="1723" w:tblpY="189"/>
        <w:tblOverlap w:val="never"/>
        <w:tblW w:w="5000" w:type="pct"/>
        <w:tblInd w:w="0" w:type="dxa"/>
        <w:tblLayout w:type="autofit"/>
        <w:tblCellMar>
          <w:top w:w="0" w:type="dxa"/>
          <w:left w:w="0" w:type="dxa"/>
          <w:bottom w:w="0" w:type="dxa"/>
          <w:right w:w="0" w:type="dxa"/>
        </w:tblCellMar>
      </w:tblPr>
      <w:tblGrid>
        <w:gridCol w:w="775"/>
        <w:gridCol w:w="4442"/>
        <w:gridCol w:w="1046"/>
        <w:gridCol w:w="1299"/>
        <w:gridCol w:w="1131"/>
        <w:gridCol w:w="1395"/>
        <w:gridCol w:w="795"/>
        <w:gridCol w:w="2924"/>
      </w:tblGrid>
      <w:tr>
        <w:tblPrEx>
          <w:tblCellMar>
            <w:top w:w="0" w:type="dxa"/>
            <w:left w:w="0" w:type="dxa"/>
            <w:bottom w:w="0" w:type="dxa"/>
            <w:right w:w="0" w:type="dxa"/>
          </w:tblCellMar>
        </w:tblPrEx>
        <w:trPr>
          <w:trHeight w:val="1290" w:hRule="atLeast"/>
        </w:trPr>
        <w:tc>
          <w:tcPr>
            <w:tcW w:w="5000" w:type="pct"/>
            <w:gridSpan w:val="8"/>
            <w:tcBorders>
              <w:top w:val="nil"/>
              <w:left w:val="nil"/>
              <w:bottom w:val="nil"/>
              <w:right w:val="nil"/>
            </w:tcBorders>
            <w:noWrap/>
            <w:tcMar>
              <w:top w:w="15" w:type="dxa"/>
              <w:left w:w="15" w:type="dxa"/>
              <w:right w:w="15" w:type="dxa"/>
            </w:tcMar>
            <w:vAlign w:val="center"/>
          </w:tcPr>
          <w:p>
            <w:pPr>
              <w:widowControl/>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kern w:val="0"/>
                <w:sz w:val="24"/>
                <w:szCs w:val="24"/>
              </w:rPr>
              <w:t>附</w:t>
            </w:r>
            <w:r>
              <w:rPr>
                <w:rFonts w:hint="eastAsia" w:ascii="方正仿宋简体" w:hAnsi="方正仿宋简体" w:eastAsia="方正仿宋简体" w:cs="方正仿宋简体"/>
                <w:b w:val="0"/>
                <w:bCs w:val="0"/>
                <w:kern w:val="0"/>
                <w:sz w:val="24"/>
                <w:szCs w:val="24"/>
                <w:lang w:val="en-US" w:eastAsia="zh-CN"/>
              </w:rPr>
              <w:t>表</w:t>
            </w:r>
            <w:r>
              <w:rPr>
                <w:rFonts w:hint="eastAsia" w:ascii="方正仿宋简体" w:hAnsi="方正仿宋简体" w:eastAsia="方正仿宋简体" w:cs="方正仿宋简体"/>
                <w:b w:val="0"/>
                <w:bCs w:val="0"/>
                <w:kern w:val="0"/>
                <w:sz w:val="24"/>
                <w:szCs w:val="24"/>
              </w:rPr>
              <w:t>1-</w:t>
            </w:r>
            <w:r>
              <w:rPr>
                <w:rFonts w:hint="eastAsia" w:ascii="方正仿宋简体" w:hAnsi="方正仿宋简体" w:eastAsia="方正仿宋简体" w:cs="方正仿宋简体"/>
                <w:b w:val="0"/>
                <w:bCs w:val="0"/>
                <w:kern w:val="0"/>
                <w:sz w:val="24"/>
                <w:szCs w:val="24"/>
                <w:lang w:val="en-US" w:eastAsia="zh-CN"/>
              </w:rPr>
              <w:t>9</w:t>
            </w:r>
          </w:p>
          <w:p>
            <w:pPr>
              <w:widowControl/>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b/>
                <w:bCs/>
                <w:color w:val="000000"/>
                <w:kern w:val="0"/>
                <w:sz w:val="32"/>
                <w:szCs w:val="32"/>
                <w:lang w:eastAsia="zh-CN"/>
              </w:rPr>
              <w:t>本级</w:t>
            </w:r>
            <w:r>
              <w:rPr>
                <w:rFonts w:hint="eastAsia" w:ascii="方正仿宋简体" w:hAnsi="方正仿宋简体" w:eastAsia="方正仿宋简体" w:cs="方正仿宋简体"/>
                <w:b/>
                <w:bCs/>
                <w:color w:val="000000"/>
                <w:kern w:val="0"/>
                <w:sz w:val="32"/>
                <w:szCs w:val="32"/>
              </w:rPr>
              <w:t>预算财政拨款“三公”经费支出表</w:t>
            </w:r>
          </w:p>
        </w:tc>
      </w:tr>
      <w:tr>
        <w:tblPrEx>
          <w:tblCellMar>
            <w:top w:w="0" w:type="dxa"/>
            <w:left w:w="0" w:type="dxa"/>
            <w:bottom w:w="0" w:type="dxa"/>
            <w:right w:w="0" w:type="dxa"/>
          </w:tblCellMar>
        </w:tblPrEx>
        <w:trPr>
          <w:trHeight w:val="435" w:hRule="atLeast"/>
        </w:trPr>
        <w:tc>
          <w:tcPr>
            <w:tcW w:w="2739" w:type="pct"/>
            <w:gridSpan w:val="4"/>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637名称：遵化市马兰峪镇人民政府</w:t>
            </w:r>
          </w:p>
        </w:tc>
        <w:tc>
          <w:tcPr>
            <w:tcW w:w="914" w:type="pct"/>
            <w:gridSpan w:val="2"/>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预算年度：2022</w:t>
            </w:r>
          </w:p>
        </w:tc>
        <w:tc>
          <w:tcPr>
            <w:tcW w:w="1346" w:type="pct"/>
            <w:gridSpan w:val="2"/>
            <w:tcBorders>
              <w:top w:val="nil"/>
              <w:left w:val="nil"/>
              <w:bottom w:val="nil"/>
              <w:right w:val="nil"/>
            </w:tcBorders>
            <w:noWrap/>
            <w:tcMar>
              <w:top w:w="15" w:type="dxa"/>
              <w:left w:w="15" w:type="dxa"/>
              <w:right w:w="15" w:type="dxa"/>
            </w:tcMar>
            <w:vAlign w:val="center"/>
          </w:tcPr>
          <w:p>
            <w:pPr>
              <w:widowControl/>
              <w:jc w:val="right"/>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单位：万元</w:t>
            </w:r>
          </w:p>
        </w:tc>
      </w:tr>
      <w:tr>
        <w:tblPrEx>
          <w:tblCellMar>
            <w:top w:w="0" w:type="dxa"/>
            <w:left w:w="0" w:type="dxa"/>
            <w:bottom w:w="0" w:type="dxa"/>
            <w:right w:w="0" w:type="dxa"/>
          </w:tblCellMar>
        </w:tblPrEx>
        <w:trPr>
          <w:trHeight w:val="390" w:hRule="atLeast"/>
        </w:trPr>
        <w:tc>
          <w:tcPr>
            <w:tcW w:w="281"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序号</w:t>
            </w:r>
          </w:p>
        </w:tc>
        <w:tc>
          <w:tcPr>
            <w:tcW w:w="1609"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项目</w:t>
            </w:r>
          </w:p>
        </w:tc>
        <w:tc>
          <w:tcPr>
            <w:tcW w:w="3108" w:type="pct"/>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资金来源</w:t>
            </w:r>
          </w:p>
        </w:tc>
      </w:tr>
      <w:tr>
        <w:tblPrEx>
          <w:tblCellMar>
            <w:top w:w="0" w:type="dxa"/>
            <w:left w:w="0" w:type="dxa"/>
            <w:bottom w:w="0" w:type="dxa"/>
            <w:right w:w="0" w:type="dxa"/>
          </w:tblCellMar>
        </w:tblPrEx>
        <w:trPr>
          <w:trHeight w:val="1043" w:hRule="atLeast"/>
        </w:trPr>
        <w:tc>
          <w:tcPr>
            <w:tcW w:w="281"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hint="eastAsia" w:ascii="方正仿宋简体" w:hAnsi="方正仿宋简体" w:eastAsia="方正仿宋简体" w:cs="方正仿宋简体"/>
                <w:color w:val="000000"/>
                <w:kern w:val="0"/>
                <w:sz w:val="24"/>
                <w:szCs w:val="24"/>
              </w:rPr>
            </w:pPr>
          </w:p>
        </w:tc>
        <w:tc>
          <w:tcPr>
            <w:tcW w:w="160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简体" w:hAnsi="方正仿宋简体" w:eastAsia="方正仿宋简体" w:cs="方正仿宋简体"/>
                <w:b w:val="0"/>
                <w:bCs/>
                <w:color w:val="000000"/>
                <w:sz w:val="24"/>
                <w:szCs w:val="24"/>
              </w:rPr>
            </w:pP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合计</w:t>
            </w:r>
          </w:p>
        </w:tc>
        <w:tc>
          <w:tcPr>
            <w:tcW w:w="87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一般公共预算财政拨款</w:t>
            </w:r>
          </w:p>
        </w:tc>
        <w:tc>
          <w:tcPr>
            <w:tcW w:w="79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政府性基金财政拨款</w:t>
            </w: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kern w:val="0"/>
                <w:sz w:val="24"/>
                <w:szCs w:val="24"/>
              </w:rPr>
              <w:t>国有资本经营预算财政拨款</w:t>
            </w:r>
          </w:p>
        </w:tc>
      </w:tr>
      <w:tr>
        <w:tblPrEx>
          <w:tblCellMar>
            <w:top w:w="0" w:type="dxa"/>
            <w:left w:w="0" w:type="dxa"/>
            <w:bottom w:w="0" w:type="dxa"/>
            <w:right w:w="0" w:type="dxa"/>
          </w:tblCellMar>
        </w:tblPrEx>
        <w:trPr>
          <w:trHeight w:val="629" w:hRule="exac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栏次</w:t>
            </w:r>
          </w:p>
        </w:tc>
        <w:tc>
          <w:tcPr>
            <w:tcW w:w="16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color w:val="000000"/>
                <w:sz w:val="24"/>
                <w:szCs w:val="24"/>
              </w:rPr>
            </w:pPr>
            <w:r>
              <w:rPr>
                <w:rFonts w:hint="eastAsia" w:ascii="方正仿宋简体" w:hAnsi="方正仿宋简体" w:eastAsia="方正仿宋简体" w:cs="方正仿宋简体"/>
                <w:b/>
                <w:color w:val="000000"/>
                <w:kern w:val="0"/>
                <w:sz w:val="24"/>
                <w:szCs w:val="24"/>
              </w:rPr>
              <w:t>1</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color w:val="000000"/>
                <w:sz w:val="24"/>
                <w:szCs w:val="24"/>
              </w:rPr>
            </w:pPr>
            <w:r>
              <w:rPr>
                <w:rFonts w:hint="eastAsia" w:ascii="方正仿宋简体" w:hAnsi="方正仿宋简体" w:eastAsia="方正仿宋简体" w:cs="方正仿宋简体"/>
                <w:b/>
                <w:color w:val="000000"/>
                <w:kern w:val="0"/>
                <w:sz w:val="24"/>
                <w:szCs w:val="24"/>
              </w:rPr>
              <w:t>2</w:t>
            </w:r>
          </w:p>
        </w:tc>
        <w:tc>
          <w:tcPr>
            <w:tcW w:w="87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color w:val="000000"/>
                <w:sz w:val="24"/>
                <w:szCs w:val="24"/>
              </w:rPr>
            </w:pPr>
            <w:r>
              <w:rPr>
                <w:rFonts w:hint="eastAsia" w:ascii="方正仿宋简体" w:hAnsi="方正仿宋简体" w:eastAsia="方正仿宋简体" w:cs="方正仿宋简体"/>
                <w:b/>
                <w:color w:val="000000"/>
                <w:kern w:val="0"/>
                <w:sz w:val="24"/>
                <w:szCs w:val="24"/>
              </w:rPr>
              <w:t>3</w:t>
            </w:r>
          </w:p>
        </w:tc>
        <w:tc>
          <w:tcPr>
            <w:tcW w:w="79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color w:val="000000"/>
                <w:sz w:val="24"/>
                <w:szCs w:val="24"/>
              </w:rPr>
            </w:pPr>
            <w:r>
              <w:rPr>
                <w:rFonts w:hint="eastAsia" w:ascii="方正仿宋简体" w:hAnsi="方正仿宋简体" w:eastAsia="方正仿宋简体" w:cs="方正仿宋简体"/>
                <w:b/>
                <w:color w:val="000000"/>
                <w:kern w:val="0"/>
                <w:sz w:val="24"/>
                <w:szCs w:val="24"/>
              </w:rPr>
              <w:t>4</w:t>
            </w: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color w:val="000000"/>
                <w:sz w:val="24"/>
                <w:szCs w:val="24"/>
              </w:rPr>
            </w:pPr>
            <w:r>
              <w:rPr>
                <w:rFonts w:hint="eastAsia" w:ascii="方正仿宋简体" w:hAnsi="方正仿宋简体" w:eastAsia="方正仿宋简体" w:cs="方正仿宋简体"/>
                <w:b/>
                <w:color w:val="000000"/>
                <w:kern w:val="0"/>
                <w:sz w:val="24"/>
                <w:szCs w:val="24"/>
              </w:rPr>
              <w:t>5</w:t>
            </w:r>
          </w:p>
        </w:tc>
      </w:tr>
      <w:tr>
        <w:tblPrEx>
          <w:tblCellMar>
            <w:top w:w="0" w:type="dxa"/>
            <w:left w:w="0" w:type="dxa"/>
            <w:bottom w:w="0" w:type="dxa"/>
            <w:right w:w="0" w:type="dxa"/>
          </w:tblCellMar>
        </w:tblPrEx>
        <w:trPr>
          <w:trHeight w:val="457" w:hRule="exac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16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合计</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kern w:val="0"/>
                <w:sz w:val="24"/>
                <w:szCs w:val="24"/>
                <w:lang w:val="en-US" w:eastAsia="zh-CN"/>
              </w:rPr>
              <w:t>15.7</w:t>
            </w:r>
          </w:p>
        </w:tc>
        <w:tc>
          <w:tcPr>
            <w:tcW w:w="87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15.7</w:t>
            </w:r>
          </w:p>
        </w:tc>
        <w:tc>
          <w:tcPr>
            <w:tcW w:w="79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方正仿宋简体" w:hAnsi="方正仿宋简体" w:eastAsia="方正仿宋简体" w:cs="方正仿宋简体"/>
                <w:b/>
                <w:color w:val="000000"/>
                <w:sz w:val="24"/>
                <w:szCs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方正仿宋简体" w:hAnsi="方正仿宋简体" w:eastAsia="方正仿宋简体" w:cs="方正仿宋简体"/>
                <w:b/>
                <w:color w:val="000000"/>
                <w:sz w:val="24"/>
                <w:szCs w:val="24"/>
              </w:rPr>
            </w:pPr>
          </w:p>
        </w:tc>
      </w:tr>
      <w:tr>
        <w:tblPrEx>
          <w:tblCellMar>
            <w:top w:w="0" w:type="dxa"/>
            <w:left w:w="0" w:type="dxa"/>
            <w:bottom w:w="0" w:type="dxa"/>
            <w:right w:w="0" w:type="dxa"/>
          </w:tblCellMar>
        </w:tblPrEx>
        <w:trPr>
          <w:trHeight w:val="561" w:hRule="exac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16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一、因公出国（境）费</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87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79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方正仿宋简体" w:hAnsi="方正仿宋简体" w:eastAsia="方正仿宋简体" w:cs="方正仿宋简体"/>
                <w:color w:val="000000"/>
                <w:sz w:val="24"/>
                <w:szCs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69" w:hRule="exac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16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二、公务用车购置及运维费</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15.2</w:t>
            </w:r>
          </w:p>
        </w:tc>
        <w:tc>
          <w:tcPr>
            <w:tcW w:w="87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15.2</w:t>
            </w:r>
          </w:p>
        </w:tc>
        <w:tc>
          <w:tcPr>
            <w:tcW w:w="79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方正仿宋简体" w:hAnsi="方正仿宋简体" w:eastAsia="方正仿宋简体" w:cs="方正仿宋简体"/>
                <w:color w:val="000000"/>
                <w:sz w:val="24"/>
                <w:szCs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563" w:hRule="exac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16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其中：公务用车购置费</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87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right"/>
              <w:rPr>
                <w:rFonts w:hint="eastAsia" w:ascii="方正仿宋简体" w:hAnsi="方正仿宋简体" w:eastAsia="方正仿宋简体" w:cs="方正仿宋简体"/>
                <w:color w:val="000000"/>
                <w:sz w:val="24"/>
                <w:szCs w:val="24"/>
              </w:rPr>
            </w:pPr>
          </w:p>
        </w:tc>
        <w:tc>
          <w:tcPr>
            <w:tcW w:w="79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方正仿宋简体" w:hAnsi="方正仿宋简体" w:eastAsia="方正仿宋简体" w:cs="方正仿宋简体"/>
                <w:color w:val="000000"/>
                <w:sz w:val="24"/>
                <w:szCs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486" w:hRule="exac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16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公务用车运行维护费</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15.2</w:t>
            </w:r>
          </w:p>
        </w:tc>
        <w:tc>
          <w:tcPr>
            <w:tcW w:w="87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15.2</w:t>
            </w:r>
          </w:p>
        </w:tc>
        <w:tc>
          <w:tcPr>
            <w:tcW w:w="79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方正仿宋简体" w:hAnsi="方正仿宋简体" w:eastAsia="方正仿宋简体" w:cs="方正仿宋简体"/>
                <w:color w:val="000000"/>
                <w:sz w:val="24"/>
                <w:szCs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方正仿宋简体" w:hAnsi="方正仿宋简体" w:eastAsia="方正仿宋简体" w:cs="方正仿宋简体"/>
                <w:color w:val="000000"/>
                <w:sz w:val="24"/>
                <w:szCs w:val="24"/>
              </w:rPr>
            </w:pPr>
          </w:p>
        </w:tc>
      </w:tr>
      <w:tr>
        <w:tblPrEx>
          <w:tblCellMar>
            <w:top w:w="0" w:type="dxa"/>
            <w:left w:w="0" w:type="dxa"/>
            <w:bottom w:w="0" w:type="dxa"/>
            <w:right w:w="0" w:type="dxa"/>
          </w:tblCellMar>
        </w:tblPrEx>
        <w:trPr>
          <w:trHeight w:val="485" w:hRule="exact"/>
        </w:trPr>
        <w:tc>
          <w:tcPr>
            <w:tcW w:w="2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w:t>
            </w:r>
          </w:p>
        </w:tc>
        <w:tc>
          <w:tcPr>
            <w:tcW w:w="16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bottom"/>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三、公务接待费</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0.5</w:t>
            </w:r>
          </w:p>
        </w:tc>
        <w:tc>
          <w:tcPr>
            <w:tcW w:w="87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right"/>
              <w:textAlignment w:val="bottom"/>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0.5</w:t>
            </w:r>
          </w:p>
        </w:tc>
        <w:tc>
          <w:tcPr>
            <w:tcW w:w="79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方正仿宋简体" w:hAnsi="方正仿宋简体" w:eastAsia="方正仿宋简体" w:cs="方正仿宋简体"/>
                <w:color w:val="000000"/>
                <w:sz w:val="24"/>
                <w:szCs w:val="24"/>
              </w:rPr>
            </w:pPr>
          </w:p>
        </w:tc>
        <w:tc>
          <w:tcPr>
            <w:tcW w:w="10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方正仿宋简体" w:hAnsi="方正仿宋简体" w:eastAsia="方正仿宋简体" w:cs="方正仿宋简体"/>
                <w:color w:val="000000"/>
                <w:sz w:val="24"/>
                <w:szCs w:val="24"/>
              </w:rPr>
            </w:pPr>
          </w:p>
        </w:tc>
      </w:tr>
    </w:tbl>
    <w:p>
      <w:pPr>
        <w:widowControl/>
        <w:tabs>
          <w:tab w:val="left" w:pos="5552"/>
          <w:tab w:val="left" w:pos="7323"/>
          <w:tab w:val="left" w:pos="12218"/>
          <w:tab w:val="left" w:pos="14365"/>
          <w:tab w:val="left" w:pos="17759"/>
          <w:tab w:val="left" w:pos="19300"/>
          <w:tab w:val="left" w:pos="20220"/>
        </w:tabs>
        <w:jc w:val="both"/>
        <w:rPr>
          <w:rFonts w:ascii="宋体" w:hAnsi="宋体" w:cs="Arial"/>
          <w:b/>
          <w:color w:val="000000"/>
          <w:kern w:val="0"/>
          <w:sz w:val="40"/>
          <w:szCs w:val="40"/>
        </w:rPr>
      </w:pPr>
    </w:p>
    <w:p>
      <w:pPr>
        <w:pStyle w:val="2"/>
      </w:pPr>
    </w:p>
    <w:p>
      <w:pPr>
        <w:widowControl/>
        <w:tabs>
          <w:tab w:val="left" w:pos="5552"/>
          <w:tab w:val="left" w:pos="7323"/>
          <w:tab w:val="left" w:pos="12218"/>
          <w:tab w:val="left" w:pos="14365"/>
          <w:tab w:val="left" w:pos="17759"/>
          <w:tab w:val="left" w:pos="19300"/>
          <w:tab w:val="left" w:pos="20220"/>
        </w:tabs>
        <w:ind w:firstLine="642"/>
        <w:jc w:val="center"/>
        <w:rPr>
          <w:rFonts w:ascii="方正小标宋简体" w:hAnsi="宋体" w:eastAsia="方正小标宋简体" w:cs="Arial"/>
          <w:color w:val="000000"/>
          <w:kern w:val="0"/>
          <w:sz w:val="44"/>
          <w:szCs w:val="44"/>
        </w:rPr>
      </w:pPr>
      <w:r>
        <w:rPr>
          <w:rFonts w:hint="eastAsia" w:ascii="方正小标宋简体" w:hAnsi="宋体" w:eastAsia="方正小标宋简体" w:cs="Arial"/>
          <w:color w:val="000000"/>
          <w:kern w:val="0"/>
          <w:sz w:val="44"/>
          <w:szCs w:val="44"/>
        </w:rPr>
        <w:t>遵化市马兰峪镇人民政府2022年</w:t>
      </w:r>
      <w:r>
        <w:rPr>
          <w:rFonts w:hint="eastAsia" w:ascii="方正小标宋简体" w:hAnsi="宋体" w:eastAsia="方正小标宋简体" w:cs="Arial"/>
          <w:color w:val="000000"/>
          <w:kern w:val="0"/>
          <w:sz w:val="44"/>
          <w:szCs w:val="44"/>
          <w:lang w:val="en-US" w:eastAsia="zh-CN"/>
        </w:rPr>
        <w:t>单位</w:t>
      </w:r>
      <w:r>
        <w:rPr>
          <w:rFonts w:hint="eastAsia" w:ascii="方正小标宋简体" w:hAnsi="宋体" w:eastAsia="方正小标宋简体" w:cs="Arial"/>
          <w:color w:val="000000"/>
          <w:kern w:val="0"/>
          <w:sz w:val="44"/>
          <w:szCs w:val="44"/>
        </w:rPr>
        <w:t>预算信息公开的说明</w:t>
      </w:r>
    </w:p>
    <w:p>
      <w:pPr>
        <w:widowControl/>
        <w:tabs>
          <w:tab w:val="left" w:pos="5552"/>
          <w:tab w:val="left" w:pos="7323"/>
          <w:tab w:val="left" w:pos="12218"/>
          <w:tab w:val="left" w:pos="14365"/>
          <w:tab w:val="left" w:pos="17759"/>
          <w:tab w:val="left" w:pos="19300"/>
          <w:tab w:val="left" w:pos="20220"/>
        </w:tabs>
        <w:ind w:left="92" w:leftChars="44"/>
        <w:jc w:val="center"/>
        <w:rPr>
          <w:rFonts w:ascii="宋体" w:hAnsi="宋体" w:cs="Arial"/>
          <w:b/>
          <w:color w:val="000000"/>
          <w:kern w:val="0"/>
          <w:sz w:val="40"/>
          <w:szCs w:val="40"/>
        </w:rPr>
      </w:pPr>
    </w:p>
    <w:p>
      <w:pPr>
        <w:tabs>
          <w:tab w:val="left" w:pos="540"/>
        </w:tabs>
        <w:spacing w:line="570" w:lineRule="exact"/>
        <w:ind w:firstLine="640" w:firstLineChars="200"/>
        <w:rPr>
          <w:rFonts w:ascii="方正仿宋简体" w:hAnsi="宋体" w:eastAsia="方正仿宋简体" w:cs="宋体"/>
          <w:color w:val="000000"/>
          <w:kern w:val="0"/>
          <w:sz w:val="32"/>
          <w:szCs w:val="32"/>
        </w:rPr>
      </w:pPr>
      <w:r>
        <w:rPr>
          <w:rFonts w:hint="eastAsia" w:ascii="方正仿宋简体" w:hAnsi="宋体" w:eastAsia="方正仿宋简体" w:cs="宋体"/>
          <w:sz w:val="32"/>
          <w:szCs w:val="32"/>
        </w:rPr>
        <w:t>按照《</w:t>
      </w:r>
      <w:r>
        <w:rPr>
          <w:rFonts w:hint="eastAsia" w:ascii="方正仿宋简体" w:hAnsi="宋体" w:eastAsia="方正仿宋简体" w:cs="宋体"/>
          <w:sz w:val="32"/>
          <w:szCs w:val="32"/>
          <w:lang w:eastAsia="zh-CN"/>
        </w:rPr>
        <w:t>中华人民共和国</w:t>
      </w:r>
      <w:bookmarkStart w:id="3" w:name="_GoBack"/>
      <w:bookmarkEnd w:id="3"/>
      <w:r>
        <w:rPr>
          <w:rFonts w:hint="eastAsia" w:ascii="方正仿宋简体" w:hAnsi="宋体" w:eastAsia="方正仿宋简体" w:cs="宋体"/>
          <w:sz w:val="32"/>
          <w:szCs w:val="32"/>
        </w:rPr>
        <w:t>预算法》、《地方预决算公开操作规程》和《河北省省级预算公开办法》规定，现将遵化市马兰峪镇人民政府2022年</w:t>
      </w:r>
      <w:r>
        <w:rPr>
          <w:rFonts w:hint="eastAsia" w:ascii="方正仿宋简体" w:hAnsi="宋体" w:eastAsia="方正仿宋简体" w:cs="宋体"/>
          <w:sz w:val="32"/>
          <w:szCs w:val="32"/>
          <w:lang w:eastAsia="zh-CN"/>
        </w:rPr>
        <w:t>本级</w:t>
      </w:r>
      <w:r>
        <w:rPr>
          <w:rFonts w:hint="eastAsia" w:ascii="方正仿宋简体" w:hAnsi="宋体" w:eastAsia="方正仿宋简体" w:cs="宋体"/>
          <w:sz w:val="32"/>
          <w:szCs w:val="32"/>
        </w:rPr>
        <w:t>预算公开如下：</w:t>
      </w:r>
    </w:p>
    <w:p>
      <w:pPr>
        <w:widowControl/>
        <w:numPr>
          <w:ilvl w:val="0"/>
          <w:numId w:val="1"/>
        </w:numPr>
        <w:tabs>
          <w:tab w:val="left" w:pos="5552"/>
          <w:tab w:val="left" w:pos="7323"/>
          <w:tab w:val="left" w:pos="12218"/>
          <w:tab w:val="left" w:pos="14365"/>
          <w:tab w:val="left" w:pos="17759"/>
          <w:tab w:val="left" w:pos="19300"/>
          <w:tab w:val="left" w:pos="20220"/>
        </w:tabs>
        <w:spacing w:line="480" w:lineRule="auto"/>
        <w:ind w:firstLine="249" w:firstLineChars="78"/>
        <w:jc w:val="left"/>
        <w:rPr>
          <w:rFonts w:ascii="方正黑体简体" w:hAnsi="宋体" w:eastAsia="方正黑体简体" w:cs="宋体"/>
          <w:bCs/>
          <w:sz w:val="32"/>
          <w:szCs w:val="32"/>
        </w:rPr>
      </w:pPr>
      <w:r>
        <w:rPr>
          <w:rFonts w:hint="eastAsia" w:ascii="方正黑体简体" w:hAnsi="宋体" w:eastAsia="方正黑体简体" w:cs="宋体"/>
          <w:bCs/>
          <w:sz w:val="32"/>
          <w:szCs w:val="32"/>
          <w:lang w:eastAsia="zh-CN"/>
        </w:rPr>
        <w:t>本级</w:t>
      </w:r>
      <w:r>
        <w:rPr>
          <w:rFonts w:hint="eastAsia" w:ascii="方正黑体简体" w:hAnsi="宋体" w:eastAsia="方正黑体简体" w:cs="宋体"/>
          <w:bCs/>
          <w:sz w:val="32"/>
          <w:szCs w:val="32"/>
        </w:rPr>
        <w:t>职责及机构设置情况</w:t>
      </w:r>
    </w:p>
    <w:p>
      <w:pPr>
        <w:widowControl/>
        <w:tabs>
          <w:tab w:val="left" w:pos="5552"/>
          <w:tab w:val="left" w:pos="7323"/>
          <w:tab w:val="left" w:pos="12218"/>
          <w:tab w:val="left" w:pos="14365"/>
          <w:tab w:val="left" w:pos="17759"/>
          <w:tab w:val="left" w:pos="19300"/>
          <w:tab w:val="left" w:pos="20220"/>
        </w:tabs>
        <w:spacing w:line="570" w:lineRule="exact"/>
        <w:ind w:firstLine="643" w:firstLineChars="200"/>
        <w:jc w:val="left"/>
        <w:rPr>
          <w:rFonts w:ascii="方正仿宋简体" w:hAnsi="宋体" w:eastAsia="方正仿宋简体" w:cs="宋体"/>
          <w:b/>
          <w:bCs/>
          <w:sz w:val="32"/>
          <w:szCs w:val="32"/>
        </w:rPr>
      </w:pPr>
      <w:r>
        <w:rPr>
          <w:rFonts w:hint="eastAsia" w:ascii="方正仿宋简体" w:hAnsi="宋体" w:eastAsia="方正仿宋简体" w:cs="宋体"/>
          <w:b/>
          <w:bCs/>
          <w:sz w:val="32"/>
          <w:szCs w:val="32"/>
          <w:lang w:eastAsia="zh-CN"/>
        </w:rPr>
        <w:t>本级</w:t>
      </w:r>
      <w:r>
        <w:rPr>
          <w:rFonts w:hint="eastAsia" w:ascii="方正仿宋简体" w:hAnsi="宋体" w:eastAsia="方正仿宋简体" w:cs="宋体"/>
          <w:b/>
          <w:bCs/>
          <w:sz w:val="32"/>
          <w:szCs w:val="32"/>
        </w:rPr>
        <w:t>职责:</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（二）讨论和决定本镇经济建设、政治建设、文化建设、社会建设、生态文明建设和党的建设以及乡村振兴中的重大问题。</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（三）组织召开本级人民代表大会，充分行使重大事项决定权、监督权和任免权，做好人大代表工作，联系选民、反映群众意见和要求。</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（六）加强镇党委自身建设和村党组织建设，以及其他隶属镇党委的党组织建设，抓好发展党员工作，加强党员队伍建设。维护和执行党的纪律，监督党员干部和其他任何工作人员严格遵守国家法律法规。</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（七）按照干部管理权限，负责对干部的教育、培训、选拔、考核和监督工作。协助管理上级有关</w:t>
      </w:r>
      <w:r>
        <w:rPr>
          <w:rFonts w:hint="eastAsia" w:ascii="方正仿宋简体" w:hAnsi="宋体" w:eastAsia="方正仿宋简体" w:cs="宋体"/>
          <w:sz w:val="32"/>
          <w:szCs w:val="32"/>
          <w:lang w:eastAsia="zh-CN"/>
        </w:rPr>
        <w:t>本级</w:t>
      </w:r>
      <w:r>
        <w:rPr>
          <w:rFonts w:hint="eastAsia" w:ascii="方正仿宋简体" w:hAnsi="宋体" w:eastAsia="方正仿宋简体" w:cs="宋体"/>
          <w:sz w:val="32"/>
          <w:szCs w:val="32"/>
        </w:rPr>
        <w:t>驻镇单位的干部。做好人才服务工作。</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70" w:lineRule="exact"/>
        <w:ind w:firstLine="640" w:firstLineChars="200"/>
        <w:rPr>
          <w:rFonts w:hint="eastAsia" w:ascii="方正仿宋简体" w:hAnsi="宋体" w:eastAsia="方正仿宋简体" w:cs="宋体"/>
          <w:sz w:val="32"/>
          <w:szCs w:val="32"/>
        </w:rPr>
      </w:pPr>
      <w:r>
        <w:rPr>
          <w:rFonts w:hint="eastAsia" w:ascii="方正仿宋简体" w:hAnsi="宋体" w:eastAsia="方正仿宋简体" w:cs="宋体"/>
          <w:sz w:val="32"/>
          <w:szCs w:val="32"/>
        </w:rPr>
        <w:t>（十）承办上级党委、人大、政府交办的其他事项。</w:t>
      </w:r>
    </w:p>
    <w:p>
      <w:pPr>
        <w:spacing w:line="570" w:lineRule="exact"/>
        <w:ind w:firstLine="643" w:firstLineChars="200"/>
        <w:rPr>
          <w:rFonts w:hint="eastAsia"/>
        </w:rPr>
      </w:pPr>
      <w:r>
        <w:rPr>
          <w:rFonts w:hint="eastAsia" w:ascii="宋体" w:hAnsi="宋体" w:cs="宋体"/>
          <w:b/>
          <w:sz w:val="32"/>
          <w:szCs w:val="32"/>
        </w:rPr>
        <w:t>机构设置：</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（一）党政综合办公室（财政所）</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（二）党建工作办公室（人大主席团办公室）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（三）应急管理办公室（发展改革办公室）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本级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（四）自然资源和生态环境办公室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本级做好地下水相关管理和监督工作；按照职责分工做好“散乱污”企业综合整治工作；组织开展全民义务植树、古树名木保护利用工作；在上级城市绿化行政主管本级指导下，负责辖区内的绿化工作；完成党委、政府交办的其他工作任务。</w:t>
      </w:r>
    </w:p>
    <w:p>
      <w:pPr>
        <w:pStyle w:val="2"/>
        <w:keepNext w:val="0"/>
        <w:keepLines w:val="0"/>
        <w:pageBreakBefore w:val="0"/>
        <w:widowControl w:val="0"/>
        <w:numPr>
          <w:ilvl w:val="0"/>
          <w:numId w:val="2"/>
        </w:numPr>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综合行政执法队（综合指挥和信息化网络中心、社会治理办公室）</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根据法律法规和省政府授权，依法开展综合行政执法工作。严格落实执法相关制度，健全完善执法程序，规范执法行为；协助有关本级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六</w:t>
      </w:r>
      <w:r>
        <w:rPr>
          <w:rFonts w:hint="eastAsia" w:ascii="方正仿宋简体" w:hAnsi="方正仿宋简体" w:eastAsia="方正仿宋简体" w:cs="方正仿宋简体"/>
          <w:sz w:val="32"/>
          <w:szCs w:val="32"/>
          <w:lang w:eastAsia="zh-CN"/>
        </w:rPr>
        <w:t>）行政综合服务中心（综合文化服务站）</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320" w:firstLineChars="1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七</w:t>
      </w:r>
      <w:r>
        <w:rPr>
          <w:rFonts w:hint="eastAsia" w:ascii="方正仿宋简体" w:hAnsi="方正仿宋简体" w:eastAsia="方正仿宋简体" w:cs="方正仿宋简体"/>
          <w:sz w:val="32"/>
          <w:szCs w:val="32"/>
          <w:lang w:eastAsia="zh-CN"/>
        </w:rPr>
        <w:t>）农业综合服务中心</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本级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本级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pStyle w:val="2"/>
        <w:keepNext w:val="0"/>
        <w:keepLines w:val="0"/>
        <w:pageBreakBefore w:val="0"/>
        <w:widowControl w:val="0"/>
        <w:numPr>
          <w:ilvl w:val="0"/>
          <w:numId w:val="3"/>
        </w:numPr>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退役军人服务站</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pPr>
      <w:r>
        <w:rPr>
          <w:rFonts w:hint="eastAsia" w:ascii="方正仿宋简体" w:hAnsi="方正仿宋简体" w:eastAsia="方正仿宋简体" w:cs="方正仿宋简体"/>
          <w:sz w:val="32"/>
          <w:szCs w:val="32"/>
          <w:lang w:eastAsia="zh-CN"/>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本级做好来信、来访工作；负责依照法定权限，做好本辖区拥军优属工作。完成党委、政府交办的其他工作任务。</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遵化市马兰峪镇人民政府编制51名（行政编制25名、全额事业编制26名）。实有行政人数23名，全额事业人数20名。</w:t>
      </w:r>
    </w:p>
    <w:p>
      <w:pPr>
        <w:jc w:val="center"/>
        <w:outlineLvl w:val="0"/>
        <w:rPr>
          <w:rFonts w:ascii="方正仿宋简体" w:hAnsi="宋体" w:eastAsia="方正仿宋简体" w:cs="宋体"/>
          <w:b w:val="0"/>
          <w:bCs/>
          <w:sz w:val="32"/>
          <w:szCs w:val="32"/>
        </w:rPr>
      </w:pPr>
      <w:r>
        <w:rPr>
          <w:rFonts w:hint="eastAsia" w:ascii="方正仿宋简体" w:hAnsi="宋体" w:eastAsia="方正仿宋简体" w:cs="宋体"/>
          <w:b w:val="0"/>
          <w:bCs/>
          <w:sz w:val="32"/>
          <w:szCs w:val="32"/>
          <w:lang w:eastAsia="zh-CN"/>
        </w:rPr>
        <w:t>本级</w:t>
      </w:r>
      <w:r>
        <w:rPr>
          <w:rFonts w:hint="eastAsia" w:ascii="方正仿宋简体" w:hAnsi="宋体" w:eastAsia="方正仿宋简体" w:cs="宋体"/>
          <w:b w:val="0"/>
          <w:bCs/>
          <w:sz w:val="32"/>
          <w:szCs w:val="32"/>
        </w:rPr>
        <w:t>机构设置情况</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45"/>
        <w:gridCol w:w="1837"/>
        <w:gridCol w:w="1808"/>
        <w:gridCol w:w="3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7245" w:type="dxa"/>
            <w:vMerge w:val="restart"/>
            <w:noWrap/>
            <w:vAlign w:val="center"/>
          </w:tcPr>
          <w:p>
            <w:pPr>
              <w:spacing w:line="300" w:lineRule="exact"/>
              <w:jc w:val="center"/>
              <w:rPr>
                <w:rFonts w:ascii="方正仿宋简体" w:hAnsi="宋体" w:eastAsia="方正仿宋简体" w:cs="宋体"/>
                <w:b/>
                <w:bCs/>
                <w:sz w:val="28"/>
                <w:szCs w:val="28"/>
              </w:rPr>
            </w:pPr>
            <w:r>
              <w:rPr>
                <w:rFonts w:hint="eastAsia" w:ascii="方正仿宋简体" w:hAnsi="宋体" w:eastAsia="方正仿宋简体" w:cs="宋体"/>
                <w:b/>
                <w:bCs/>
                <w:sz w:val="28"/>
                <w:szCs w:val="28"/>
              </w:rPr>
              <w:t>单位名称</w:t>
            </w:r>
          </w:p>
        </w:tc>
        <w:tc>
          <w:tcPr>
            <w:tcW w:w="1837" w:type="dxa"/>
            <w:vMerge w:val="restart"/>
            <w:noWrap/>
            <w:vAlign w:val="center"/>
          </w:tcPr>
          <w:p>
            <w:pPr>
              <w:spacing w:line="300" w:lineRule="exact"/>
              <w:jc w:val="center"/>
              <w:rPr>
                <w:rFonts w:ascii="方正仿宋简体" w:hAnsi="宋体" w:eastAsia="方正仿宋简体" w:cs="宋体"/>
                <w:b/>
                <w:bCs/>
                <w:sz w:val="28"/>
                <w:szCs w:val="28"/>
              </w:rPr>
            </w:pPr>
            <w:r>
              <w:rPr>
                <w:rFonts w:hint="eastAsia" w:ascii="方正仿宋简体" w:hAnsi="宋体" w:eastAsia="方正仿宋简体" w:cs="宋体"/>
                <w:b/>
                <w:bCs/>
                <w:sz w:val="28"/>
                <w:szCs w:val="28"/>
              </w:rPr>
              <w:t>单位性质</w:t>
            </w:r>
          </w:p>
        </w:tc>
        <w:tc>
          <w:tcPr>
            <w:tcW w:w="1808" w:type="dxa"/>
            <w:vMerge w:val="restart"/>
            <w:noWrap/>
            <w:vAlign w:val="center"/>
          </w:tcPr>
          <w:p>
            <w:pPr>
              <w:spacing w:line="300" w:lineRule="exact"/>
              <w:jc w:val="center"/>
              <w:rPr>
                <w:rFonts w:ascii="方正仿宋简体" w:hAnsi="宋体" w:eastAsia="方正仿宋简体" w:cs="宋体"/>
                <w:b/>
                <w:bCs/>
                <w:sz w:val="28"/>
                <w:szCs w:val="28"/>
              </w:rPr>
            </w:pPr>
            <w:r>
              <w:rPr>
                <w:rFonts w:hint="eastAsia" w:ascii="方正仿宋简体" w:hAnsi="宋体" w:eastAsia="方正仿宋简体" w:cs="宋体"/>
                <w:b/>
                <w:bCs/>
                <w:sz w:val="28"/>
                <w:szCs w:val="28"/>
              </w:rPr>
              <w:t>单位规格</w:t>
            </w:r>
          </w:p>
        </w:tc>
        <w:tc>
          <w:tcPr>
            <w:tcW w:w="3850" w:type="dxa"/>
            <w:vMerge w:val="restart"/>
            <w:noWrap/>
            <w:vAlign w:val="center"/>
          </w:tcPr>
          <w:p>
            <w:pPr>
              <w:spacing w:line="300" w:lineRule="exact"/>
              <w:jc w:val="center"/>
              <w:rPr>
                <w:rFonts w:ascii="方正仿宋简体" w:hAnsi="宋体" w:eastAsia="方正仿宋简体" w:cs="宋体"/>
                <w:b/>
                <w:bCs/>
                <w:sz w:val="28"/>
                <w:szCs w:val="28"/>
              </w:rPr>
            </w:pPr>
            <w:r>
              <w:rPr>
                <w:rFonts w:hint="eastAsia" w:ascii="方正仿宋简体" w:hAnsi="宋体" w:eastAsia="方正仿宋简体" w:cs="宋体"/>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7245" w:type="dxa"/>
            <w:vMerge w:val="continue"/>
            <w:noWrap/>
            <w:vAlign w:val="center"/>
          </w:tcPr>
          <w:p>
            <w:pPr>
              <w:spacing w:line="300" w:lineRule="exact"/>
              <w:jc w:val="center"/>
              <w:outlineLvl w:val="0"/>
              <w:rPr>
                <w:rFonts w:ascii="方正仿宋简体" w:hAnsi="宋体" w:eastAsia="方正仿宋简体" w:cs="宋体"/>
                <w:sz w:val="28"/>
                <w:szCs w:val="28"/>
              </w:rPr>
            </w:pPr>
          </w:p>
        </w:tc>
        <w:tc>
          <w:tcPr>
            <w:tcW w:w="1837" w:type="dxa"/>
            <w:vMerge w:val="continue"/>
            <w:noWrap/>
            <w:vAlign w:val="center"/>
          </w:tcPr>
          <w:p>
            <w:pPr>
              <w:spacing w:line="300" w:lineRule="exact"/>
              <w:jc w:val="center"/>
              <w:outlineLvl w:val="0"/>
              <w:rPr>
                <w:rFonts w:ascii="方正仿宋简体" w:hAnsi="宋体" w:eastAsia="方正仿宋简体" w:cs="宋体"/>
                <w:sz w:val="28"/>
                <w:szCs w:val="28"/>
              </w:rPr>
            </w:pPr>
          </w:p>
        </w:tc>
        <w:tc>
          <w:tcPr>
            <w:tcW w:w="1808" w:type="dxa"/>
            <w:vMerge w:val="continue"/>
            <w:noWrap/>
            <w:vAlign w:val="center"/>
          </w:tcPr>
          <w:p>
            <w:pPr>
              <w:spacing w:line="300" w:lineRule="exact"/>
              <w:jc w:val="center"/>
              <w:outlineLvl w:val="0"/>
              <w:rPr>
                <w:rFonts w:ascii="方正仿宋简体" w:hAnsi="宋体" w:eastAsia="方正仿宋简体" w:cs="宋体"/>
                <w:sz w:val="28"/>
                <w:szCs w:val="28"/>
              </w:rPr>
            </w:pPr>
          </w:p>
        </w:tc>
        <w:tc>
          <w:tcPr>
            <w:tcW w:w="3850" w:type="dxa"/>
            <w:vMerge w:val="continue"/>
            <w:noWrap/>
            <w:vAlign w:val="center"/>
          </w:tcPr>
          <w:p>
            <w:pPr>
              <w:spacing w:line="300" w:lineRule="exact"/>
              <w:jc w:val="center"/>
              <w:outlineLvl w:val="0"/>
              <w:rPr>
                <w:rFonts w:ascii="方正仿宋简体" w:hAnsi="宋体" w:eastAsia="方正仿宋简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7245" w:type="dxa"/>
            <w:noWrap/>
            <w:vAlign w:val="center"/>
          </w:tcPr>
          <w:p>
            <w:pPr>
              <w:spacing w:line="300" w:lineRule="exact"/>
              <w:jc w:val="center"/>
              <w:rPr>
                <w:rFonts w:ascii="方正仿宋简体" w:hAnsi="宋体" w:eastAsia="方正仿宋简体" w:cs="宋体"/>
                <w:sz w:val="32"/>
                <w:szCs w:val="32"/>
              </w:rPr>
            </w:pPr>
            <w:r>
              <w:rPr>
                <w:rFonts w:hint="eastAsia" w:ascii="方正仿宋简体" w:hAnsi="宋体" w:eastAsia="方正仿宋简体" w:cs="宋体"/>
                <w:sz w:val="32"/>
                <w:szCs w:val="32"/>
              </w:rPr>
              <w:t>遵化市马兰峪镇人民政府</w:t>
            </w:r>
          </w:p>
        </w:tc>
        <w:tc>
          <w:tcPr>
            <w:tcW w:w="1837" w:type="dxa"/>
            <w:noWrap/>
            <w:vAlign w:val="center"/>
          </w:tcPr>
          <w:p>
            <w:pPr>
              <w:spacing w:line="300" w:lineRule="exact"/>
              <w:jc w:val="center"/>
              <w:rPr>
                <w:rFonts w:ascii="方正仿宋简体" w:hAnsi="宋体" w:eastAsia="方正仿宋简体" w:cs="宋体"/>
                <w:sz w:val="32"/>
                <w:szCs w:val="32"/>
              </w:rPr>
            </w:pPr>
            <w:r>
              <w:rPr>
                <w:rFonts w:hint="eastAsia" w:ascii="方正仿宋简体" w:hAnsi="宋体" w:eastAsia="方正仿宋简体" w:cs="宋体"/>
                <w:sz w:val="32"/>
                <w:szCs w:val="32"/>
              </w:rPr>
              <w:t>行政</w:t>
            </w:r>
          </w:p>
        </w:tc>
        <w:tc>
          <w:tcPr>
            <w:tcW w:w="1808" w:type="dxa"/>
            <w:noWrap/>
            <w:vAlign w:val="center"/>
          </w:tcPr>
          <w:p>
            <w:pPr>
              <w:spacing w:line="300" w:lineRule="exact"/>
              <w:jc w:val="center"/>
              <w:rPr>
                <w:rFonts w:ascii="方正仿宋简体" w:hAnsi="宋体" w:eastAsia="方正仿宋简体" w:cs="宋体"/>
                <w:sz w:val="32"/>
                <w:szCs w:val="32"/>
              </w:rPr>
            </w:pPr>
            <w:r>
              <w:rPr>
                <w:rFonts w:hint="eastAsia" w:ascii="方正仿宋简体" w:hAnsi="宋体" w:eastAsia="方正仿宋简体" w:cs="宋体"/>
                <w:sz w:val="32"/>
                <w:szCs w:val="32"/>
              </w:rPr>
              <w:t>正科级</w:t>
            </w:r>
          </w:p>
        </w:tc>
        <w:tc>
          <w:tcPr>
            <w:tcW w:w="3850" w:type="dxa"/>
            <w:noWrap/>
            <w:vAlign w:val="center"/>
          </w:tcPr>
          <w:p>
            <w:pPr>
              <w:spacing w:line="300" w:lineRule="exact"/>
              <w:jc w:val="center"/>
              <w:rPr>
                <w:rFonts w:ascii="方正仿宋简体" w:hAnsi="宋体" w:eastAsia="方正仿宋简体" w:cs="宋体"/>
                <w:sz w:val="32"/>
                <w:szCs w:val="32"/>
              </w:rPr>
            </w:pPr>
            <w:r>
              <w:rPr>
                <w:rFonts w:hint="eastAsia" w:ascii="方正仿宋简体" w:hAnsi="宋体" w:eastAsia="方正仿宋简体" w:cs="宋体"/>
                <w:sz w:val="32"/>
                <w:szCs w:val="32"/>
              </w:rPr>
              <w:t>财政拨款</w:t>
            </w:r>
          </w:p>
        </w:tc>
      </w:tr>
    </w:tbl>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黑体简体" w:hAnsi="宋体" w:eastAsia="方正黑体简体" w:cs="宋体"/>
          <w:bCs/>
          <w:sz w:val="32"/>
          <w:szCs w:val="32"/>
        </w:rPr>
      </w:pPr>
      <w:r>
        <w:rPr>
          <w:rFonts w:hint="eastAsia" w:ascii="方正黑体简体" w:hAnsi="宋体" w:eastAsia="方正黑体简体" w:cs="宋体"/>
          <w:bCs/>
          <w:sz w:val="32"/>
          <w:szCs w:val="32"/>
        </w:rPr>
        <w:t>二、</w:t>
      </w:r>
      <w:r>
        <w:rPr>
          <w:rFonts w:hint="eastAsia" w:ascii="方正黑体简体" w:hAnsi="宋体" w:eastAsia="方正黑体简体" w:cs="宋体"/>
          <w:bCs/>
          <w:sz w:val="32"/>
          <w:szCs w:val="32"/>
          <w:lang w:eastAsia="zh-CN"/>
        </w:rPr>
        <w:t>本级</w:t>
      </w:r>
      <w:r>
        <w:rPr>
          <w:rFonts w:hint="eastAsia" w:ascii="方正黑体简体" w:hAnsi="宋体" w:eastAsia="方正黑体简体" w:cs="宋体"/>
          <w:bCs/>
          <w:sz w:val="32"/>
          <w:szCs w:val="32"/>
        </w:rPr>
        <w:t>预算安排的总体情况</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按照预算管理有关规定，目前我市</w:t>
      </w:r>
      <w:r>
        <w:rPr>
          <w:rFonts w:hint="eastAsia" w:ascii="方正仿宋简体" w:hAnsi="宋体" w:eastAsia="方正仿宋简体" w:cs="宋体"/>
          <w:sz w:val="32"/>
          <w:szCs w:val="32"/>
          <w:lang w:eastAsia="zh-CN"/>
        </w:rPr>
        <w:t>本级</w:t>
      </w:r>
      <w:r>
        <w:rPr>
          <w:rFonts w:hint="eastAsia" w:ascii="方正仿宋简体" w:hAnsi="宋体" w:eastAsia="方正仿宋简体" w:cs="宋体"/>
          <w:sz w:val="32"/>
          <w:szCs w:val="32"/>
        </w:rPr>
        <w:t>预算的编制实行综合预算制度，即全部收入和支出都反映在预算中。</w:t>
      </w:r>
    </w:p>
    <w:p>
      <w:pPr>
        <w:keepNext w:val="0"/>
        <w:keepLines w:val="0"/>
        <w:pageBreakBefore w:val="0"/>
        <w:widowControl w:val="0"/>
        <w:kinsoku/>
        <w:wordWrap/>
        <w:overflowPunct/>
        <w:topLinePunct w:val="0"/>
        <w:autoSpaceDE/>
        <w:autoSpaceDN/>
        <w:bidi w:val="0"/>
        <w:adjustRightInd/>
        <w:spacing w:line="570" w:lineRule="exact"/>
        <w:ind w:firstLine="64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eastAsia="zh-CN"/>
        </w:rPr>
        <w:t>（一）</w:t>
      </w:r>
      <w:r>
        <w:rPr>
          <w:rFonts w:hint="eastAsia" w:ascii="方正仿宋简体" w:hAnsi="方正仿宋简体" w:eastAsia="方正仿宋简体" w:cs="方正仿宋简体"/>
          <w:b w:val="0"/>
          <w:bCs w:val="0"/>
          <w:sz w:val="32"/>
          <w:szCs w:val="32"/>
        </w:rPr>
        <w:t>收入说明</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反映本</w:t>
      </w:r>
      <w:r>
        <w:rPr>
          <w:rFonts w:hint="eastAsia" w:ascii="方正仿宋简体" w:hAnsi="宋体" w:eastAsia="方正仿宋简体" w:cs="宋体"/>
          <w:sz w:val="32"/>
          <w:szCs w:val="32"/>
          <w:lang w:eastAsia="zh-CN"/>
        </w:rPr>
        <w:t>本级</w:t>
      </w:r>
      <w:r>
        <w:rPr>
          <w:rFonts w:hint="eastAsia" w:ascii="方正仿宋简体" w:hAnsi="宋体" w:eastAsia="方正仿宋简体" w:cs="宋体"/>
          <w:sz w:val="32"/>
          <w:szCs w:val="32"/>
        </w:rPr>
        <w:t>当年全部收入。2022年预算收入842.2万元，其中：一般公共预算收入842.2万元，基金预算收入0万元，财政专户核拨收入0万元，其他来源收入0万元。</w:t>
      </w:r>
    </w:p>
    <w:p>
      <w:pPr>
        <w:keepNext w:val="0"/>
        <w:keepLines w:val="0"/>
        <w:pageBreakBefore w:val="0"/>
        <w:widowControl w:val="0"/>
        <w:kinsoku/>
        <w:wordWrap/>
        <w:overflowPunct/>
        <w:topLinePunct w:val="0"/>
        <w:autoSpaceDE/>
        <w:autoSpaceDN/>
        <w:bidi w:val="0"/>
        <w:adjustRightIn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支出说明</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收支预算总表支出栏、基本支出表、项目支出表按经济分类和支出功能分类科目编制，反映遵化市马兰峪镇人民政府2022年度</w:t>
      </w:r>
      <w:r>
        <w:rPr>
          <w:rFonts w:hint="eastAsia" w:ascii="方正仿宋简体" w:hAnsi="宋体" w:eastAsia="方正仿宋简体" w:cs="宋体"/>
          <w:sz w:val="32"/>
          <w:szCs w:val="32"/>
          <w:lang w:eastAsia="zh-CN"/>
        </w:rPr>
        <w:t>本级</w:t>
      </w:r>
      <w:r>
        <w:rPr>
          <w:rFonts w:hint="eastAsia" w:ascii="方正仿宋简体" w:hAnsi="宋体" w:eastAsia="方正仿宋简体" w:cs="宋体"/>
          <w:sz w:val="32"/>
          <w:szCs w:val="32"/>
        </w:rPr>
        <w:t>预算中支出预算的总体情况。2022年支出预算842.2万元，其中基本支出717.2万元，包括人员经费632.64万元和日常公用经费84.56万元；项目支出125万元</w:t>
      </w:r>
      <w:r>
        <w:rPr>
          <w:rFonts w:hint="eastAsia" w:ascii="方正仿宋简体" w:hAnsi="宋体" w:eastAsia="方正仿宋简体" w:cs="宋体"/>
          <w:sz w:val="32"/>
          <w:szCs w:val="32"/>
          <w:lang w:eastAsia="zh-CN"/>
        </w:rPr>
        <w:t>，</w:t>
      </w:r>
      <w:r>
        <w:rPr>
          <w:rFonts w:hint="eastAsia" w:ascii="方正仿宋简体" w:hAnsi="黑体" w:eastAsia="方正仿宋简体" w:cs="黑体"/>
          <w:sz w:val="32"/>
          <w:szCs w:val="32"/>
          <w:lang w:val="en-US" w:eastAsia="zh-CN"/>
        </w:rPr>
        <w:t>主要是乡镇服务群众经费</w:t>
      </w:r>
      <w:r>
        <w:rPr>
          <w:rFonts w:hint="eastAsia" w:ascii="方正仿宋简体" w:hAnsi="宋体" w:eastAsia="方正仿宋简体" w:cs="宋体"/>
          <w:sz w:val="32"/>
          <w:szCs w:val="32"/>
        </w:rPr>
        <w:t>。</w:t>
      </w:r>
    </w:p>
    <w:p>
      <w:pPr>
        <w:keepNext w:val="0"/>
        <w:keepLines w:val="0"/>
        <w:pageBreakBefore w:val="0"/>
        <w:widowControl w:val="0"/>
        <w:kinsoku/>
        <w:wordWrap/>
        <w:overflowPunct/>
        <w:topLinePunct w:val="0"/>
        <w:autoSpaceDE/>
        <w:autoSpaceDN/>
        <w:bidi w:val="0"/>
        <w:adjustRightIn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（三）</w:t>
      </w:r>
      <w:r>
        <w:rPr>
          <w:rFonts w:hint="eastAsia" w:ascii="方正仿宋简体" w:hAnsi="方正仿宋简体" w:eastAsia="方正仿宋简体" w:cs="方正仿宋简体"/>
          <w:sz w:val="32"/>
          <w:szCs w:val="32"/>
        </w:rPr>
        <w:t>比上年增减情况</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2022年预算收支安排842.2万元，较20</w:t>
      </w:r>
      <w:r>
        <w:rPr>
          <w:rFonts w:ascii="方正仿宋简体" w:hAnsi="宋体" w:eastAsia="方正仿宋简体" w:cs="宋体"/>
          <w:sz w:val="32"/>
          <w:szCs w:val="32"/>
        </w:rPr>
        <w:t>2</w:t>
      </w:r>
      <w:r>
        <w:rPr>
          <w:rFonts w:hint="eastAsia" w:ascii="方正仿宋简体" w:hAnsi="宋体" w:eastAsia="方正仿宋简体" w:cs="宋体"/>
          <w:sz w:val="32"/>
          <w:szCs w:val="32"/>
        </w:rPr>
        <w:t>1年预算665.32万元增加176.88万元，其中：基本支出增加78.88万元，主要为增加人员经费支出76.85万元（增加的主要原因为人员增加及补贴正常提标）；日常公用经费增加2.03万元（增加的主要原因为人员增加）。项目支出125万元，比上年度增加98万元（增加的主要原因为加大民生工程投入力度）。</w:t>
      </w:r>
    </w:p>
    <w:p>
      <w:pPr>
        <w:keepNext w:val="0"/>
        <w:keepLines w:val="0"/>
        <w:pageBreakBefore w:val="0"/>
        <w:widowControl w:val="0"/>
        <w:kinsoku/>
        <w:wordWrap/>
        <w:overflowPunct/>
        <w:topLinePunct w:val="0"/>
        <w:autoSpaceDE/>
        <w:autoSpaceDN/>
        <w:bidi w:val="0"/>
        <w:adjustRightInd/>
        <w:spacing w:line="570" w:lineRule="exact"/>
        <w:ind w:firstLine="800" w:firstLineChars="250"/>
        <w:textAlignment w:val="auto"/>
        <w:rPr>
          <w:rFonts w:ascii="方正黑体简体" w:hAnsi="宋体" w:eastAsia="方正黑体简体" w:cs="宋体"/>
          <w:bCs/>
          <w:sz w:val="32"/>
          <w:szCs w:val="32"/>
        </w:rPr>
      </w:pPr>
      <w:r>
        <w:rPr>
          <w:rFonts w:hint="eastAsia" w:ascii="方正黑体简体" w:hAnsi="宋体" w:eastAsia="方正黑体简体" w:cs="宋体"/>
          <w:bCs/>
          <w:sz w:val="32"/>
          <w:szCs w:val="32"/>
        </w:rPr>
        <w:t>三、机关运行经费安排情况</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2022年，我镇机关运行经费共计安排84.56万元，主要用于：2022年机关办公费</w:t>
      </w:r>
      <w:r>
        <w:rPr>
          <w:rFonts w:hint="eastAsia" w:ascii="方正仿宋简体" w:hAnsi="宋体" w:eastAsia="方正仿宋简体" w:cs="宋体"/>
          <w:sz w:val="32"/>
          <w:szCs w:val="32"/>
          <w:lang w:eastAsia="zh-CN"/>
        </w:rPr>
        <w:t>、</w:t>
      </w:r>
      <w:r>
        <w:rPr>
          <w:rFonts w:hint="eastAsia" w:ascii="方正仿宋简体" w:hAnsi="宋体" w:eastAsia="方正仿宋简体" w:cs="宋体"/>
          <w:sz w:val="32"/>
          <w:szCs w:val="32"/>
        </w:rPr>
        <w:t>电费</w:t>
      </w:r>
      <w:r>
        <w:rPr>
          <w:rFonts w:hint="eastAsia" w:ascii="方正仿宋简体" w:hAnsi="宋体" w:eastAsia="方正仿宋简体" w:cs="宋体"/>
          <w:sz w:val="32"/>
          <w:szCs w:val="32"/>
          <w:lang w:eastAsia="zh-CN"/>
        </w:rPr>
        <w:t>、</w:t>
      </w:r>
      <w:r>
        <w:rPr>
          <w:rFonts w:hint="eastAsia" w:ascii="方正仿宋简体" w:hAnsi="宋体" w:eastAsia="方正仿宋简体" w:cs="宋体"/>
          <w:sz w:val="32"/>
          <w:szCs w:val="32"/>
        </w:rPr>
        <w:t>培训费</w:t>
      </w:r>
      <w:r>
        <w:rPr>
          <w:rFonts w:hint="eastAsia" w:ascii="方正仿宋简体" w:hAnsi="宋体" w:eastAsia="方正仿宋简体" w:cs="宋体"/>
          <w:sz w:val="32"/>
          <w:szCs w:val="32"/>
          <w:lang w:eastAsia="zh-CN"/>
        </w:rPr>
        <w:t>、</w:t>
      </w:r>
      <w:r>
        <w:rPr>
          <w:rFonts w:hint="eastAsia" w:ascii="方正仿宋简体" w:hAnsi="宋体" w:eastAsia="方正仿宋简体" w:cs="宋体"/>
          <w:sz w:val="32"/>
          <w:szCs w:val="32"/>
        </w:rPr>
        <w:t>公务用车运行维护费</w:t>
      </w:r>
      <w:r>
        <w:rPr>
          <w:rFonts w:hint="eastAsia" w:ascii="方正仿宋简体" w:hAnsi="宋体" w:eastAsia="方正仿宋简体" w:cs="宋体"/>
          <w:sz w:val="32"/>
          <w:szCs w:val="32"/>
          <w:lang w:eastAsia="zh-CN"/>
        </w:rPr>
        <w:t>、</w:t>
      </w:r>
      <w:r>
        <w:rPr>
          <w:rFonts w:hint="eastAsia" w:ascii="方正仿宋简体" w:hAnsi="宋体" w:eastAsia="方正仿宋简体" w:cs="宋体"/>
          <w:sz w:val="32"/>
          <w:szCs w:val="32"/>
        </w:rPr>
        <w:t>退休干部公用经费</w:t>
      </w:r>
      <w:r>
        <w:rPr>
          <w:rFonts w:hint="eastAsia" w:ascii="方正仿宋简体" w:hAnsi="宋体" w:eastAsia="方正仿宋简体" w:cs="宋体"/>
          <w:sz w:val="32"/>
          <w:szCs w:val="32"/>
          <w:lang w:eastAsia="zh-CN"/>
        </w:rPr>
        <w:t>、</w:t>
      </w:r>
      <w:r>
        <w:rPr>
          <w:rFonts w:hint="eastAsia" w:ascii="方正仿宋简体" w:hAnsi="宋体" w:eastAsia="方正仿宋简体" w:cs="宋体"/>
          <w:sz w:val="32"/>
          <w:szCs w:val="32"/>
        </w:rPr>
        <w:t>公务接待费</w:t>
      </w:r>
      <w:r>
        <w:rPr>
          <w:rFonts w:hint="eastAsia" w:ascii="方正仿宋简体" w:hAnsi="宋体" w:eastAsia="方正仿宋简体" w:cs="宋体"/>
          <w:sz w:val="32"/>
          <w:szCs w:val="32"/>
          <w:lang w:eastAsia="zh-CN"/>
        </w:rPr>
        <w:t>、</w:t>
      </w:r>
      <w:r>
        <w:rPr>
          <w:rFonts w:hint="eastAsia" w:ascii="方正仿宋简体" w:hAnsi="宋体" w:eastAsia="方正仿宋简体" w:cs="宋体"/>
          <w:sz w:val="32"/>
          <w:szCs w:val="32"/>
        </w:rPr>
        <w:t>公务交通补贴</w:t>
      </w:r>
      <w:r>
        <w:rPr>
          <w:rFonts w:hint="eastAsia" w:ascii="方正仿宋简体" w:hAnsi="宋体" w:eastAsia="方正仿宋简体" w:cs="宋体"/>
          <w:sz w:val="32"/>
          <w:szCs w:val="32"/>
          <w:lang w:eastAsia="zh-CN"/>
        </w:rPr>
        <w:t>、</w:t>
      </w:r>
      <w:r>
        <w:rPr>
          <w:rFonts w:hint="eastAsia" w:ascii="方正仿宋简体" w:hAnsi="宋体" w:eastAsia="方正仿宋简体" w:cs="宋体"/>
          <w:sz w:val="32"/>
          <w:szCs w:val="32"/>
        </w:rPr>
        <w:t>其他商品和服务支出</w:t>
      </w:r>
      <w:r>
        <w:rPr>
          <w:rFonts w:hint="eastAsia" w:ascii="方正仿宋简体" w:hAnsi="宋体" w:eastAsia="方正仿宋简体" w:cs="宋体"/>
          <w:sz w:val="32"/>
          <w:szCs w:val="32"/>
          <w:lang w:eastAsia="zh-CN"/>
        </w:rPr>
        <w:t>、</w:t>
      </w:r>
      <w:r>
        <w:rPr>
          <w:rFonts w:hint="eastAsia" w:ascii="方正仿宋简体" w:hAnsi="宋体" w:eastAsia="方正仿宋简体" w:cs="宋体"/>
          <w:sz w:val="32"/>
          <w:szCs w:val="32"/>
        </w:rPr>
        <w:t>工会经费</w:t>
      </w:r>
      <w:r>
        <w:rPr>
          <w:rFonts w:hint="eastAsia" w:ascii="方正仿宋简体" w:hAnsi="宋体" w:eastAsia="方正仿宋简体" w:cs="宋体"/>
          <w:sz w:val="32"/>
          <w:szCs w:val="32"/>
          <w:lang w:val="en-US" w:eastAsia="zh-CN"/>
        </w:rPr>
        <w:t>和</w:t>
      </w:r>
      <w:r>
        <w:rPr>
          <w:rFonts w:hint="eastAsia" w:ascii="方正仿宋简体" w:hAnsi="宋体" w:eastAsia="方正仿宋简体" w:cs="宋体"/>
          <w:sz w:val="32"/>
          <w:szCs w:val="32"/>
        </w:rPr>
        <w:t>福利费</w:t>
      </w:r>
      <w:r>
        <w:rPr>
          <w:rFonts w:hint="eastAsia" w:ascii="方正仿宋简体" w:hAnsi="宋体" w:eastAsia="方正仿宋简体" w:cs="宋体"/>
          <w:sz w:val="32"/>
          <w:szCs w:val="32"/>
          <w:lang w:val="en-US" w:eastAsia="zh-CN"/>
        </w:rPr>
        <w:t>等支出</w:t>
      </w:r>
      <w:r>
        <w:rPr>
          <w:rFonts w:hint="eastAsia" w:ascii="方正仿宋简体" w:hAnsi="宋体" w:eastAsia="方正仿宋简体" w:cs="宋体"/>
          <w:sz w:val="32"/>
          <w:szCs w:val="32"/>
        </w:rPr>
        <w:t>。</w:t>
      </w:r>
    </w:p>
    <w:p>
      <w:pPr>
        <w:keepNext w:val="0"/>
        <w:keepLines w:val="0"/>
        <w:pageBreakBefore w:val="0"/>
        <w:widowControl w:val="0"/>
        <w:kinsoku/>
        <w:wordWrap/>
        <w:overflowPunct/>
        <w:topLinePunct w:val="0"/>
        <w:autoSpaceDE/>
        <w:autoSpaceDN/>
        <w:bidi w:val="0"/>
        <w:adjustRightInd/>
        <w:spacing w:line="570" w:lineRule="exact"/>
        <w:ind w:firstLine="800" w:firstLineChars="250"/>
        <w:textAlignment w:val="auto"/>
        <w:rPr>
          <w:rFonts w:ascii="方正黑体简体" w:hAnsi="宋体" w:eastAsia="方正黑体简体" w:cs="宋体"/>
          <w:bCs/>
          <w:sz w:val="32"/>
          <w:szCs w:val="32"/>
        </w:rPr>
      </w:pPr>
      <w:r>
        <w:rPr>
          <w:rFonts w:hint="eastAsia" w:ascii="方正黑体简体" w:hAnsi="宋体" w:eastAsia="方正黑体简体" w:cs="宋体"/>
          <w:bCs/>
          <w:sz w:val="32"/>
          <w:szCs w:val="32"/>
        </w:rPr>
        <w:t>四、财政拨款“三公”经费预算情况及增减变化原因</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宋体"/>
          <w:sz w:val="32"/>
          <w:szCs w:val="32"/>
        </w:rPr>
      </w:pPr>
      <w:r>
        <w:rPr>
          <w:rFonts w:hint="eastAsia" w:ascii="方正仿宋简体" w:hAnsi="宋体" w:eastAsia="方正仿宋简体" w:cs="宋体"/>
          <w:sz w:val="32"/>
          <w:szCs w:val="32"/>
        </w:rPr>
        <w:t>2022年我镇“三公”经费预算安排</w:t>
      </w:r>
      <w:r>
        <w:rPr>
          <w:rFonts w:hint="eastAsia" w:ascii="方正仿宋简体" w:hAnsi="宋体" w:eastAsia="方正仿宋简体" w:cs="宋体"/>
          <w:sz w:val="32"/>
          <w:szCs w:val="32"/>
          <w:lang w:val="en-US" w:eastAsia="zh-CN"/>
        </w:rPr>
        <w:t>15.7</w:t>
      </w:r>
      <w:r>
        <w:rPr>
          <w:rFonts w:hint="eastAsia" w:ascii="方正仿宋简体" w:hAnsi="宋体" w:eastAsia="方正仿宋简体" w:cs="宋体"/>
          <w:sz w:val="32"/>
          <w:szCs w:val="32"/>
        </w:rPr>
        <w:t>万元，比2021年19.89万元减少</w:t>
      </w:r>
      <w:r>
        <w:rPr>
          <w:rFonts w:hint="eastAsia" w:ascii="方正仿宋简体" w:hAnsi="宋体" w:eastAsia="方正仿宋简体" w:cs="宋体"/>
          <w:sz w:val="32"/>
          <w:szCs w:val="32"/>
          <w:lang w:val="en-US" w:eastAsia="zh-CN"/>
        </w:rPr>
        <w:t>4.19</w:t>
      </w:r>
      <w:r>
        <w:rPr>
          <w:rFonts w:hint="eastAsia" w:ascii="方正仿宋简体" w:hAnsi="宋体" w:eastAsia="方正仿宋简体" w:cs="宋体"/>
          <w:sz w:val="32"/>
          <w:szCs w:val="32"/>
        </w:rPr>
        <w:t xml:space="preserve">万元，减少原因为按照上级要求，我镇无偿调出公务用车1辆。具体安排情况为： </w:t>
      </w:r>
    </w:p>
    <w:p>
      <w:pPr>
        <w:keepNext w:val="0"/>
        <w:keepLines w:val="0"/>
        <w:pageBreakBefore w:val="0"/>
        <w:widowControl w:val="0"/>
        <w:kinsoku/>
        <w:wordWrap/>
        <w:overflowPunct/>
        <w:topLinePunct w:val="0"/>
        <w:autoSpaceDE/>
        <w:autoSpaceDN/>
        <w:bidi w:val="0"/>
        <w:adjustRightInd/>
        <w:spacing w:line="570" w:lineRule="exact"/>
        <w:ind w:firstLine="320" w:firstLineChars="1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 xml:space="preserve"> （一）公务用车购置及运行费。2022年共计安排15.20万元，比2021年19.30万元减少4.10万元，减少原因为按照上级要求，我镇无偿调出公务用车1辆。其中：1、公务用车购置安排0万元，与2021年持平，无增减变化；2、公车运行维护经费安排15.20万元，比2021年19.30万元减少4.1万元。减少原因为按照上级要求，我镇无偿调出公务用车1辆。</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（二）公务接待费。2022年共计安排0.50万元，</w:t>
      </w:r>
      <w:r>
        <w:rPr>
          <w:rFonts w:hint="eastAsia" w:ascii="方正仿宋简体" w:hAnsi="宋体" w:eastAsia="方正仿宋简体" w:cs="宋体"/>
          <w:sz w:val="32"/>
          <w:szCs w:val="32"/>
          <w:lang w:val="en-US" w:eastAsia="zh-CN"/>
        </w:rPr>
        <w:t>比</w:t>
      </w:r>
      <w:r>
        <w:rPr>
          <w:rFonts w:hint="eastAsia" w:ascii="方正仿宋简体" w:hAnsi="宋体" w:eastAsia="方正仿宋简体" w:cs="宋体"/>
          <w:sz w:val="32"/>
          <w:szCs w:val="32"/>
        </w:rPr>
        <w:t>2021年0.59</w:t>
      </w:r>
      <w:r>
        <w:rPr>
          <w:rFonts w:hint="eastAsia" w:ascii="方正仿宋简体" w:hAnsi="宋体" w:eastAsia="方正仿宋简体" w:cs="宋体"/>
          <w:sz w:val="32"/>
          <w:szCs w:val="32"/>
          <w:lang w:val="en-US" w:eastAsia="zh-CN"/>
        </w:rPr>
        <w:t>万</w:t>
      </w:r>
      <w:r>
        <w:rPr>
          <w:rFonts w:hint="eastAsia" w:ascii="方正仿宋简体" w:hAnsi="宋体" w:eastAsia="方正仿宋简体" w:cs="宋体"/>
          <w:sz w:val="32"/>
          <w:szCs w:val="32"/>
        </w:rPr>
        <w:t>元减少0.09万元，主要是压缩开支，厉行节约。</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方正仿宋简体" w:hAnsi="宋体" w:eastAsia="方正仿宋简体" w:cs="宋体"/>
          <w:sz w:val="32"/>
          <w:szCs w:val="32"/>
          <w:lang w:val="en-US" w:eastAsia="zh-CN"/>
        </w:rPr>
      </w:pPr>
      <w:r>
        <w:rPr>
          <w:rFonts w:hint="eastAsia" w:ascii="方正仿宋简体" w:hAnsi="宋体" w:eastAsia="方正仿宋简体" w:cs="宋体"/>
          <w:sz w:val="32"/>
          <w:szCs w:val="32"/>
        </w:rPr>
        <w:t>（三）因公出国（境）费。2022年共计安排0万元，与2021年持平，无增减变化</w:t>
      </w:r>
      <w:r>
        <w:rPr>
          <w:rFonts w:hint="eastAsia" w:ascii="方正仿宋简体" w:hAnsi="宋体" w:eastAsia="方正仿宋简体" w:cs="宋体"/>
          <w:sz w:val="32"/>
          <w:szCs w:val="32"/>
          <w:lang w:eastAsia="zh-CN"/>
        </w:rPr>
        <w:t>，</w:t>
      </w:r>
      <w:r>
        <w:rPr>
          <w:rFonts w:hint="eastAsia" w:ascii="方正仿宋简体" w:hAnsi="宋体" w:eastAsia="方正仿宋简体" w:cs="宋体"/>
          <w:sz w:val="32"/>
          <w:szCs w:val="32"/>
          <w:lang w:val="en-US" w:eastAsia="zh-CN"/>
        </w:rPr>
        <w:t>主要没有因公出国安排，所以未安排因公出国费。</w:t>
      </w:r>
    </w:p>
    <w:p>
      <w:pPr>
        <w:pStyle w:val="2"/>
        <w:keepNext w:val="0"/>
        <w:keepLines w:val="0"/>
        <w:pageBreakBefore w:val="0"/>
        <w:widowControl w:val="0"/>
        <w:kinsoku/>
        <w:wordWrap/>
        <w:overflowPunct/>
        <w:topLinePunct w:val="0"/>
        <w:autoSpaceDE/>
        <w:autoSpaceDN/>
        <w:bidi w:val="0"/>
        <w:adjustRightInd/>
        <w:spacing w:line="570" w:lineRule="exact"/>
        <w:ind w:left="0" w:leftChars="0" w:firstLine="640" w:firstLineChars="200"/>
        <w:textAlignment w:val="auto"/>
        <w:rPr>
          <w:rFonts w:ascii="宋体" w:hAnsi="宋体" w:cs="宋体"/>
          <w:b/>
          <w:sz w:val="32"/>
          <w:szCs w:val="32"/>
        </w:rPr>
      </w:pPr>
      <w:r>
        <w:rPr>
          <w:rFonts w:hint="eastAsia" w:ascii="方正黑体简体" w:hAnsi="宋体" w:eastAsia="方正黑体简体" w:cs="宋体"/>
          <w:bCs/>
          <w:sz w:val="32"/>
          <w:szCs w:val="32"/>
        </w:rPr>
        <w:t>五、绩效预算信息情况</w:t>
      </w:r>
      <w:r>
        <w:rPr>
          <w:rFonts w:hint="eastAsia" w:ascii="宋体" w:hAnsi="宋体" w:cs="宋体"/>
          <w:b/>
          <w:sz w:val="32"/>
          <w:szCs w:val="32"/>
        </w:rPr>
        <w:tab/>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rPr>
      </w:pPr>
      <w:bookmarkStart w:id="0" w:name="_Toc_2_2_0000000001"/>
      <w:r>
        <w:rPr>
          <w:rFonts w:hint="eastAsia" w:ascii="方正楷体简体" w:hAnsi="方正楷体简体" w:eastAsia="方正楷体简体" w:cs="方正楷体简体"/>
          <w:sz w:val="32"/>
          <w:szCs w:val="32"/>
        </w:rPr>
        <w:t xml:space="preserve">第一部分 </w:t>
      </w:r>
      <w:r>
        <w:rPr>
          <w:rFonts w:hint="eastAsia" w:ascii="方正楷体简体" w:hAnsi="方正楷体简体" w:eastAsia="方正楷体简体" w:cs="方正楷体简体"/>
          <w:sz w:val="32"/>
          <w:szCs w:val="32"/>
          <w:lang w:eastAsia="zh-CN"/>
        </w:rPr>
        <w:t>本级</w:t>
      </w:r>
      <w:r>
        <w:rPr>
          <w:rFonts w:hint="eastAsia" w:ascii="方正楷体简体" w:hAnsi="方正楷体简体" w:eastAsia="方正楷体简体" w:cs="方正楷体简体"/>
          <w:sz w:val="32"/>
          <w:szCs w:val="32"/>
        </w:rPr>
        <w:t>整体绩效目标</w:t>
      </w:r>
    </w:p>
    <w:bookmarkEnd w:id="0"/>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总体绩效目标</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负责政务信息的收集、整理、反馈工作；组织对市政府重要工作、重大决策的调查研究，及时向市政府领导提出建议，当好参谋。负责镇政府各种会议及活动的准备和服务工作以及议定事项的落实。负责镇政府机关的档案、印章、信件管理和机要保密工作。围绕镇政府中心工作和上级政府经济社会发展的重要问题，开展调查研究，为领导决策提供有针对性、实用性、可操作性和超前性的对策和建议，并对决策执行情况进行跟踪调查和反馈。协调镇政府各</w:t>
      </w:r>
      <w:r>
        <w:rPr>
          <w:rFonts w:hint="eastAsia" w:ascii="方正仿宋简体" w:hAnsi="宋体" w:eastAsia="方正仿宋简体" w:cs="宋体"/>
          <w:sz w:val="32"/>
          <w:szCs w:val="32"/>
          <w:lang w:eastAsia="zh-CN"/>
        </w:rPr>
        <w:t>本级</w:t>
      </w:r>
      <w:r>
        <w:rPr>
          <w:rFonts w:hint="eastAsia" w:ascii="方正仿宋简体" w:hAnsi="宋体" w:eastAsia="方正仿宋简体" w:cs="宋体"/>
          <w:sz w:val="32"/>
          <w:szCs w:val="32"/>
        </w:rPr>
        <w:t>之间的关系。负责对上级重要文件、市政府会议精神传达、决定事项及市政府领导批示的执行落实情况。负责镇政府机关值班和处理群众来信、来访的接待及应急管理工作，处理突发事件、重大灾情和重大事故，并负责向上级报告。负责行政审批上报服务工作。负责全镇农业和农村工作的综合、协调、指导。负责全镇小城镇建设、工业发展、环保、交通、拆迁等工作的综合、协调、督导。负责全镇财税、流通、市场建设、金融等工作的综合、协调、督导。负责档案行政管理工作。</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lang w:eastAsia="zh-CN"/>
        </w:rPr>
      </w:pPr>
      <w:bookmarkStart w:id="1" w:name="_Toc_2_2_0000000002"/>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lang w:eastAsia="zh-CN"/>
        </w:rPr>
        <w:t>）分项绩效目标</w:t>
      </w:r>
      <w:bookmarkEnd w:id="1"/>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完成乡镇服务群众专项经费（马兰峪镇）项目，主要用于乡镇服务群众工作。</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绩效目标：保障我镇主干道等区域配齐环卫设施，推进户分类、组收集、村运转、乡镇处理垃圾集中收集，改善25个村生态环境。</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绩效指标：生活垃圾无害化处理及受益群众满意度的提升率≥90%。</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三</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工作保障措施</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w:t>
      </w:r>
      <w:r>
        <w:rPr>
          <w:rFonts w:hint="eastAsia" w:ascii="方正仿宋简体" w:hAnsi="宋体" w:eastAsia="方正仿宋简体" w:cs="宋体"/>
          <w:sz w:val="32"/>
          <w:szCs w:val="32"/>
          <w:lang w:val="en-US" w:eastAsia="zh-CN"/>
        </w:rPr>
        <w:t>1</w:t>
      </w:r>
      <w:r>
        <w:rPr>
          <w:rFonts w:hint="eastAsia" w:ascii="方正仿宋简体" w:hAnsi="宋体" w:eastAsia="方正仿宋简体" w:cs="宋体"/>
          <w:sz w:val="32"/>
          <w:szCs w:val="32"/>
        </w:rPr>
        <w:t>）完善制度建设。制定完善预算绩效管理制度、资金管理办法、工作保障制度等，为全年预算绩效目标的实现奠定制度基础。</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w:t>
      </w:r>
      <w:r>
        <w:rPr>
          <w:rFonts w:hint="eastAsia" w:ascii="方正仿宋简体" w:hAnsi="宋体" w:eastAsia="方正仿宋简体" w:cs="宋体"/>
          <w:sz w:val="32"/>
          <w:szCs w:val="32"/>
          <w:lang w:val="en-US" w:eastAsia="zh-CN"/>
        </w:rPr>
        <w:t>2</w:t>
      </w:r>
      <w:r>
        <w:rPr>
          <w:rFonts w:hint="eastAsia" w:ascii="方正仿宋简体" w:hAnsi="宋体" w:eastAsia="方正仿宋简体" w:cs="宋体"/>
          <w:sz w:val="32"/>
          <w:szCs w:val="32"/>
        </w:rPr>
        <w:t>）加强支出管理。通过优化支出结构、编细编实预算、加快履行政府采购手续、尽快启动项目、及时支付资金、6月底前细化代编预算、按规定及时下达资金等多种措施，确保支出进度达标。</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w:t>
      </w:r>
      <w:r>
        <w:rPr>
          <w:rFonts w:hint="eastAsia" w:ascii="方正仿宋简体" w:hAnsi="宋体" w:eastAsia="方正仿宋简体" w:cs="宋体"/>
          <w:sz w:val="32"/>
          <w:szCs w:val="32"/>
          <w:lang w:val="en-US" w:eastAsia="zh-CN"/>
        </w:rPr>
        <w:t>3</w:t>
      </w:r>
      <w:r>
        <w:rPr>
          <w:rFonts w:hint="eastAsia" w:ascii="方正仿宋简体" w:hAnsi="宋体" w:eastAsia="方正仿宋简体" w:cs="宋体"/>
          <w:sz w:val="32"/>
          <w:szCs w:val="32"/>
        </w:rPr>
        <w:t>）加强绩效运行监控。按要求开展绩效运行监控，发现问题及时采取措施，确保绩效目标如期保质实现。</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w:t>
      </w:r>
      <w:r>
        <w:rPr>
          <w:rFonts w:hint="eastAsia" w:ascii="方正仿宋简体" w:hAnsi="宋体" w:eastAsia="方正仿宋简体" w:cs="宋体"/>
          <w:sz w:val="32"/>
          <w:szCs w:val="32"/>
          <w:lang w:val="en-US" w:eastAsia="zh-CN"/>
        </w:rPr>
        <w:t>4</w:t>
      </w:r>
      <w:r>
        <w:rPr>
          <w:rFonts w:hint="eastAsia" w:ascii="方正仿宋简体" w:hAnsi="宋体" w:eastAsia="方正仿宋简体" w:cs="宋体"/>
          <w:sz w:val="32"/>
          <w:szCs w:val="32"/>
        </w:rPr>
        <w:t>）做好绩效自评。按要求开展上年度</w:t>
      </w:r>
      <w:r>
        <w:rPr>
          <w:rFonts w:hint="eastAsia" w:ascii="方正仿宋简体" w:hAnsi="宋体" w:eastAsia="方正仿宋简体" w:cs="宋体"/>
          <w:sz w:val="32"/>
          <w:szCs w:val="32"/>
          <w:lang w:eastAsia="zh-CN"/>
        </w:rPr>
        <w:t>本级</w:t>
      </w:r>
      <w:r>
        <w:rPr>
          <w:rFonts w:hint="eastAsia" w:ascii="方正仿宋简体" w:hAnsi="宋体" w:eastAsia="方正仿宋简体" w:cs="宋体"/>
          <w:sz w:val="32"/>
          <w:szCs w:val="32"/>
        </w:rPr>
        <w:t>预算绩效自评和重点评价工作，对评价中发现的问题及时整改，调整优化支出结构，提高财政资金使用效益。</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w:t>
      </w:r>
      <w:r>
        <w:rPr>
          <w:rFonts w:hint="eastAsia" w:ascii="方正仿宋简体" w:hAnsi="宋体" w:eastAsia="方正仿宋简体" w:cs="宋体"/>
          <w:sz w:val="32"/>
          <w:szCs w:val="32"/>
          <w:lang w:val="en-US" w:eastAsia="zh-CN"/>
        </w:rPr>
        <w:t>5</w:t>
      </w:r>
      <w:r>
        <w:rPr>
          <w:rFonts w:hint="eastAsia" w:ascii="方正仿宋简体" w:hAnsi="宋体" w:eastAsia="方正仿宋简体" w:cs="宋体"/>
          <w:sz w:val="32"/>
          <w:szCs w:val="32"/>
        </w:rPr>
        <w:t>）规范财务资产管理。完善财务管理制度，严格审批程序，加强固定资产登记、使用和报废处置管理，做到支出合理，物尽其用。</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w:t>
      </w:r>
      <w:r>
        <w:rPr>
          <w:rFonts w:hint="eastAsia" w:ascii="方正仿宋简体" w:hAnsi="宋体" w:eastAsia="方正仿宋简体" w:cs="宋体"/>
          <w:sz w:val="32"/>
          <w:szCs w:val="32"/>
          <w:lang w:val="en-US" w:eastAsia="zh-CN"/>
        </w:rPr>
        <w:t>6</w:t>
      </w:r>
      <w:r>
        <w:rPr>
          <w:rFonts w:hint="eastAsia" w:ascii="方正仿宋简体" w:hAnsi="宋体" w:eastAsia="方正仿宋简体" w:cs="宋体"/>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w:t>
      </w:r>
      <w:r>
        <w:rPr>
          <w:rFonts w:hint="eastAsia" w:ascii="方正仿宋简体" w:hAnsi="宋体" w:eastAsia="方正仿宋简体" w:cs="宋体"/>
          <w:sz w:val="32"/>
          <w:szCs w:val="32"/>
          <w:lang w:val="en-US" w:eastAsia="zh-CN"/>
        </w:rPr>
        <w:t>7</w:t>
      </w:r>
      <w:r>
        <w:rPr>
          <w:rFonts w:hint="eastAsia" w:ascii="方正仿宋简体" w:hAnsi="宋体" w:eastAsia="方正仿宋简体" w:cs="宋体"/>
          <w:sz w:val="32"/>
          <w:szCs w:val="32"/>
        </w:rPr>
        <w:t>）加强宣传培训调研等。加强人员培训，提高本</w:t>
      </w:r>
      <w:r>
        <w:rPr>
          <w:rFonts w:hint="eastAsia" w:ascii="方正仿宋简体" w:hAnsi="宋体" w:eastAsia="方正仿宋简体" w:cs="宋体"/>
          <w:sz w:val="32"/>
          <w:szCs w:val="32"/>
          <w:lang w:eastAsia="zh-CN"/>
        </w:rPr>
        <w:t>本级</w:t>
      </w:r>
      <w:r>
        <w:rPr>
          <w:rFonts w:hint="eastAsia" w:ascii="方正仿宋简体" w:hAnsi="宋体" w:eastAsia="方正仿宋简体" w:cs="宋体"/>
          <w:sz w:val="32"/>
          <w:szCs w:val="32"/>
        </w:rPr>
        <w:t>职工业务素质；加强调研，提出优化财政资金配置、提高资金使用效益的意见意见；加大宣传力度，强化预算绩效管理意识，促进预算绩效管理水平进一步提升。</w:t>
      </w:r>
    </w:p>
    <w:p>
      <w:pPr>
        <w:pStyle w:val="2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方正仿宋简体" w:hAnsi="方正仿宋简体" w:eastAsia="方正仿宋简体" w:cs="方正仿宋简体"/>
          <w:sz w:val="32"/>
          <w:szCs w:val="32"/>
        </w:rPr>
      </w:pPr>
      <w:bookmarkStart w:id="2" w:name="_Toc_4_4_0000000004"/>
      <w:r>
        <w:rPr>
          <w:rFonts w:hint="eastAsia" w:ascii="方正仿宋简体" w:hAnsi="方正仿宋简体" w:eastAsia="方正仿宋简体" w:cs="方正仿宋简体"/>
          <w:sz w:val="32"/>
          <w:szCs w:val="32"/>
          <w:lang w:val="en-US" w:eastAsia="zh-CN"/>
        </w:rPr>
        <w:t>第二部分 本级</w:t>
      </w:r>
      <w:r>
        <w:rPr>
          <w:rFonts w:hint="eastAsia" w:ascii="方正仿宋简体" w:hAnsi="方正仿宋简体" w:eastAsia="方正仿宋简体" w:cs="方正仿宋简体"/>
          <w:sz w:val="32"/>
          <w:szCs w:val="32"/>
        </w:rPr>
        <w:t>预算项目绩效目标</w:t>
      </w:r>
    </w:p>
    <w:p>
      <w:pPr>
        <w:spacing w:line="57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以下为本单位</w:t>
      </w:r>
      <w:r>
        <w:rPr>
          <w:rFonts w:hint="eastAsia" w:ascii="方正仿宋简体" w:hAnsi="方正仿宋简体" w:eastAsia="方正仿宋简体" w:cs="方正仿宋简体"/>
          <w:sz w:val="32"/>
          <w:szCs w:val="32"/>
        </w:rPr>
        <w:t>服务群众专项经费绩效目标表</w:t>
      </w:r>
      <w:bookmarkEnd w:id="2"/>
      <w:r>
        <w:rPr>
          <w:rFonts w:hint="eastAsia" w:ascii="方正仿宋简体" w:hAnsi="方正仿宋简体" w:eastAsia="方正仿宋简体" w:cs="方正仿宋简体"/>
          <w:sz w:val="32"/>
          <w:szCs w:val="32"/>
          <w:lang w:eastAsia="zh-CN"/>
        </w:rPr>
        <w:t>：</w:t>
      </w:r>
    </w:p>
    <w:tbl>
      <w:tblPr>
        <w:tblStyle w:val="12"/>
        <w:tblpPr w:leftFromText="180" w:rightFromText="180" w:vertAnchor="text" w:horzAnchor="page" w:tblpXSpec="center" w:tblpY="-185"/>
        <w:tblOverlap w:val="never"/>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26"/>
        <w:gridCol w:w="2087"/>
        <w:gridCol w:w="2627"/>
        <w:gridCol w:w="2098"/>
        <w:gridCol w:w="1139"/>
        <w:gridCol w:w="1315"/>
        <w:gridCol w:w="20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4250" w:type="pct"/>
            <w:gridSpan w:val="6"/>
            <w:tcBorders>
              <w:top w:val="single" w:color="FFFFFF" w:sz="6" w:space="0"/>
              <w:left w:val="single" w:color="FFFFFF" w:sz="6" w:space="0"/>
              <w:right w:val="single" w:color="FFFFFF" w:sz="6" w:space="0"/>
            </w:tcBorders>
            <w:noWrap/>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val="0"/>
                <w:bCs/>
                <w:sz w:val="24"/>
                <w:szCs w:val="24"/>
              </w:rPr>
              <w:t>637001遵化市马兰峪镇人民政府本级</w:t>
            </w:r>
          </w:p>
        </w:tc>
        <w:tc>
          <w:tcPr>
            <w:tcW w:w="749" w:type="pct"/>
            <w:tcBorders>
              <w:top w:val="single" w:color="FFFFFF" w:sz="6" w:space="0"/>
              <w:left w:val="single" w:color="FFFFFF" w:sz="6" w:space="0"/>
              <w:right w:val="single" w:color="FFFFFF" w:sz="6" w:space="0"/>
            </w:tcBorders>
            <w:noWrap/>
            <w:vAlign w:val="center"/>
          </w:tcPr>
          <w:p>
            <w:pPr>
              <w:pStyle w:val="2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39" w:type="pc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项目编码</w:t>
            </w:r>
          </w:p>
        </w:tc>
        <w:tc>
          <w:tcPr>
            <w:tcW w:w="1685" w:type="pct"/>
            <w:gridSpan w:val="2"/>
            <w:noWrap/>
            <w:vAlign w:val="center"/>
          </w:tcPr>
          <w:p>
            <w:pPr>
              <w:pStyle w:val="2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13028122P002416100018</w:t>
            </w:r>
          </w:p>
        </w:tc>
        <w:tc>
          <w:tcPr>
            <w:tcW w:w="750" w:type="pc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项目名称</w:t>
            </w:r>
          </w:p>
        </w:tc>
        <w:tc>
          <w:tcPr>
            <w:tcW w:w="1625" w:type="pct"/>
            <w:gridSpan w:val="3"/>
            <w:noWrap/>
            <w:vAlign w:val="center"/>
          </w:tcPr>
          <w:p>
            <w:pPr>
              <w:pStyle w:val="2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exact"/>
          <w:jc w:val="center"/>
        </w:trPr>
        <w:tc>
          <w:tcPr>
            <w:tcW w:w="939" w:type="pct"/>
            <w:vMerge w:val="restar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预算规模及资金用途</w:t>
            </w:r>
          </w:p>
        </w:tc>
        <w:tc>
          <w:tcPr>
            <w:tcW w:w="746" w:type="pc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938" w:type="pct"/>
            <w:noWrap/>
            <w:vAlign w:val="center"/>
          </w:tcPr>
          <w:p>
            <w:pPr>
              <w:pStyle w:val="2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125.00</w:t>
            </w:r>
          </w:p>
        </w:tc>
        <w:tc>
          <w:tcPr>
            <w:tcW w:w="750" w:type="pc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其中：财政资金</w:t>
            </w:r>
          </w:p>
        </w:tc>
        <w:tc>
          <w:tcPr>
            <w:tcW w:w="407" w:type="pct"/>
            <w:noWrap/>
            <w:vAlign w:val="center"/>
          </w:tcPr>
          <w:p>
            <w:pPr>
              <w:pStyle w:val="2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125.00</w:t>
            </w:r>
          </w:p>
        </w:tc>
        <w:tc>
          <w:tcPr>
            <w:tcW w:w="468" w:type="pc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其他资金</w:t>
            </w:r>
          </w:p>
        </w:tc>
        <w:tc>
          <w:tcPr>
            <w:tcW w:w="749" w:type="pct"/>
            <w:noWrap/>
            <w:vAlign w:val="center"/>
          </w:tcPr>
          <w:p>
            <w:pPr>
              <w:pStyle w:val="2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exact"/>
          <w:jc w:val="center"/>
        </w:trPr>
        <w:tc>
          <w:tcPr>
            <w:tcW w:w="939" w:type="pct"/>
            <w:vMerge w:val="continue"/>
            <w:noWrap/>
          </w:tcPr>
          <w:p>
            <w:pPr>
              <w:rPr>
                <w:rFonts w:hint="eastAsia" w:ascii="方正仿宋简体" w:hAnsi="方正仿宋简体" w:eastAsia="方正仿宋简体" w:cs="方正仿宋简体"/>
                <w:b w:val="0"/>
                <w:bCs/>
                <w:sz w:val="24"/>
                <w:szCs w:val="24"/>
              </w:rPr>
            </w:pPr>
          </w:p>
        </w:tc>
        <w:tc>
          <w:tcPr>
            <w:tcW w:w="4060" w:type="pct"/>
            <w:gridSpan w:val="6"/>
            <w:noWrap/>
            <w:vAlign w:val="center"/>
          </w:tcPr>
          <w:p>
            <w:pPr>
              <w:pStyle w:val="2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此项资金用于我镇各村集体环境质量达标，防治病毒蔓延，保障农村环境提升等。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exact"/>
          <w:jc w:val="center"/>
        </w:trPr>
        <w:tc>
          <w:tcPr>
            <w:tcW w:w="939" w:type="pct"/>
            <w:vMerge w:val="restar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资金支出计划（%）</w:t>
            </w:r>
          </w:p>
        </w:tc>
        <w:tc>
          <w:tcPr>
            <w:tcW w:w="1685" w:type="pct"/>
            <w:gridSpan w:val="2"/>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3月底</w:t>
            </w:r>
          </w:p>
        </w:tc>
        <w:tc>
          <w:tcPr>
            <w:tcW w:w="750" w:type="pc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6月底</w:t>
            </w:r>
          </w:p>
        </w:tc>
        <w:tc>
          <w:tcPr>
            <w:tcW w:w="407" w:type="pc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9</w:t>
            </w:r>
            <w:r>
              <w:rPr>
                <w:rFonts w:hint="eastAsia" w:ascii="方正仿宋简体" w:hAnsi="方正仿宋简体" w:eastAsia="方正仿宋简体" w:cs="方正仿宋简体"/>
                <w:b w:val="0"/>
                <w:bCs/>
                <w:sz w:val="24"/>
                <w:szCs w:val="24"/>
              </w:rPr>
              <w:t>月底</w:t>
            </w:r>
          </w:p>
        </w:tc>
        <w:tc>
          <w:tcPr>
            <w:tcW w:w="1218" w:type="pct"/>
            <w:gridSpan w:val="2"/>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exact"/>
          <w:jc w:val="center"/>
        </w:trPr>
        <w:tc>
          <w:tcPr>
            <w:tcW w:w="939" w:type="pct"/>
            <w:vMerge w:val="continue"/>
            <w:noWrap/>
          </w:tcPr>
          <w:p>
            <w:pPr>
              <w:rPr>
                <w:rFonts w:hint="eastAsia" w:ascii="方正仿宋简体" w:hAnsi="方正仿宋简体" w:eastAsia="方正仿宋简体" w:cs="方正仿宋简体"/>
                <w:b w:val="0"/>
                <w:bCs/>
                <w:sz w:val="24"/>
                <w:szCs w:val="24"/>
              </w:rPr>
            </w:pPr>
          </w:p>
        </w:tc>
        <w:tc>
          <w:tcPr>
            <w:tcW w:w="1685" w:type="pct"/>
            <w:gridSpan w:val="2"/>
            <w:noWrap/>
            <w:vAlign w:val="center"/>
          </w:tcPr>
          <w:p>
            <w:pPr>
              <w:pStyle w:val="2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30</w:t>
            </w:r>
            <w:r>
              <w:rPr>
                <w:rFonts w:hint="eastAsia" w:ascii="方正仿宋简体" w:hAnsi="方正仿宋简体" w:eastAsia="方正仿宋简体" w:cs="方正仿宋简体"/>
                <w:b w:val="0"/>
                <w:bCs/>
                <w:sz w:val="24"/>
                <w:szCs w:val="24"/>
              </w:rPr>
              <w:t>%</w:t>
            </w:r>
          </w:p>
        </w:tc>
        <w:tc>
          <w:tcPr>
            <w:tcW w:w="750" w:type="pct"/>
            <w:noWrap/>
            <w:vAlign w:val="center"/>
          </w:tcPr>
          <w:p>
            <w:pPr>
              <w:pStyle w:val="2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60</w:t>
            </w:r>
            <w:r>
              <w:rPr>
                <w:rFonts w:hint="eastAsia" w:ascii="方正仿宋简体" w:hAnsi="方正仿宋简体" w:eastAsia="方正仿宋简体" w:cs="方正仿宋简体"/>
                <w:b w:val="0"/>
                <w:bCs/>
                <w:sz w:val="24"/>
                <w:szCs w:val="24"/>
              </w:rPr>
              <w:t>%</w:t>
            </w:r>
          </w:p>
        </w:tc>
        <w:tc>
          <w:tcPr>
            <w:tcW w:w="407" w:type="pct"/>
            <w:noWrap/>
            <w:vAlign w:val="center"/>
          </w:tcPr>
          <w:p>
            <w:pPr>
              <w:pStyle w:val="2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lang w:val="en-US" w:eastAsia="zh-CN"/>
              </w:rPr>
              <w:t>90</w:t>
            </w:r>
            <w:r>
              <w:rPr>
                <w:rFonts w:hint="eastAsia" w:ascii="方正仿宋简体" w:hAnsi="方正仿宋简体" w:eastAsia="方正仿宋简体" w:cs="方正仿宋简体"/>
                <w:b w:val="0"/>
                <w:bCs/>
                <w:sz w:val="24"/>
                <w:szCs w:val="24"/>
              </w:rPr>
              <w:t>%</w:t>
            </w:r>
          </w:p>
        </w:tc>
        <w:tc>
          <w:tcPr>
            <w:tcW w:w="1218" w:type="pct"/>
            <w:gridSpan w:val="2"/>
            <w:noWrap/>
            <w:vAlign w:val="center"/>
          </w:tcPr>
          <w:p>
            <w:pPr>
              <w:pStyle w:val="2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exact"/>
          <w:jc w:val="center"/>
        </w:trPr>
        <w:tc>
          <w:tcPr>
            <w:tcW w:w="939" w:type="pc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绩效目标</w:t>
            </w:r>
          </w:p>
        </w:tc>
        <w:tc>
          <w:tcPr>
            <w:tcW w:w="4060" w:type="pct"/>
            <w:gridSpan w:val="6"/>
            <w:noWrap/>
            <w:vAlign w:val="center"/>
          </w:tcPr>
          <w:p>
            <w:pPr>
              <w:pStyle w:val="26"/>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1.环境质量达标，防治病毒蔓延。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exact"/>
          <w:tblHeader/>
          <w:jc w:val="center"/>
        </w:trPr>
        <w:tc>
          <w:tcPr>
            <w:tcW w:w="939" w:type="pc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一级指标</w:t>
            </w:r>
          </w:p>
        </w:tc>
        <w:tc>
          <w:tcPr>
            <w:tcW w:w="746" w:type="pc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二级指标</w:t>
            </w:r>
          </w:p>
        </w:tc>
        <w:tc>
          <w:tcPr>
            <w:tcW w:w="938" w:type="pc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三级指标</w:t>
            </w:r>
          </w:p>
        </w:tc>
        <w:tc>
          <w:tcPr>
            <w:tcW w:w="1157" w:type="pct"/>
            <w:gridSpan w:val="2"/>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绩效指标描述</w:t>
            </w:r>
          </w:p>
        </w:tc>
        <w:tc>
          <w:tcPr>
            <w:tcW w:w="468" w:type="pc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w:t>
            </w:r>
          </w:p>
        </w:tc>
        <w:tc>
          <w:tcPr>
            <w:tcW w:w="749" w:type="pct"/>
            <w:noWrap/>
            <w:vAlign w:val="center"/>
          </w:tcPr>
          <w:p>
            <w:pPr>
              <w:pStyle w:val="2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939" w:type="pct"/>
            <w:vMerge w:val="restart"/>
            <w:noWrap/>
            <w:vAlign w:val="center"/>
          </w:tcPr>
          <w:p>
            <w:pPr>
              <w:pStyle w:val="2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746"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93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村人居环境整治个数</w:t>
            </w:r>
          </w:p>
        </w:tc>
        <w:tc>
          <w:tcPr>
            <w:tcW w:w="1157" w:type="pct"/>
            <w:gridSpan w:val="2"/>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辖区25个村</w:t>
            </w:r>
          </w:p>
        </w:tc>
        <w:tc>
          <w:tcPr>
            <w:tcW w:w="46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25个村</w:t>
            </w:r>
          </w:p>
        </w:tc>
        <w:tc>
          <w:tcPr>
            <w:tcW w:w="749"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939" w:type="pct"/>
            <w:vMerge w:val="continue"/>
            <w:noWrap/>
            <w:vAlign w:val="center"/>
          </w:tcPr>
          <w:p>
            <w:pPr>
              <w:rPr>
                <w:rFonts w:hint="eastAsia" w:ascii="方正仿宋简体" w:hAnsi="方正仿宋简体" w:eastAsia="方正仿宋简体" w:cs="方正仿宋简体"/>
                <w:sz w:val="24"/>
                <w:szCs w:val="24"/>
              </w:rPr>
            </w:pPr>
          </w:p>
        </w:tc>
        <w:tc>
          <w:tcPr>
            <w:tcW w:w="746"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93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提高环境卫生状况</w:t>
            </w:r>
          </w:p>
        </w:tc>
        <w:tc>
          <w:tcPr>
            <w:tcW w:w="1157" w:type="pct"/>
            <w:gridSpan w:val="2"/>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环境卫生质量得到提升</w:t>
            </w:r>
          </w:p>
        </w:tc>
        <w:tc>
          <w:tcPr>
            <w:tcW w:w="46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749"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939" w:type="pct"/>
            <w:vMerge w:val="continue"/>
            <w:noWrap/>
            <w:vAlign w:val="center"/>
          </w:tcPr>
          <w:p>
            <w:pPr>
              <w:rPr>
                <w:rFonts w:hint="eastAsia" w:ascii="方正仿宋简体" w:hAnsi="方正仿宋简体" w:eastAsia="方正仿宋简体" w:cs="方正仿宋简体"/>
                <w:sz w:val="24"/>
                <w:szCs w:val="24"/>
              </w:rPr>
            </w:pPr>
          </w:p>
        </w:tc>
        <w:tc>
          <w:tcPr>
            <w:tcW w:w="746"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93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设施正常使用率</w:t>
            </w:r>
          </w:p>
        </w:tc>
        <w:tc>
          <w:tcPr>
            <w:tcW w:w="1157" w:type="pct"/>
            <w:gridSpan w:val="2"/>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垃圾桶正常使用</w:t>
            </w:r>
          </w:p>
        </w:tc>
        <w:tc>
          <w:tcPr>
            <w:tcW w:w="46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749"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939" w:type="pct"/>
            <w:vMerge w:val="continue"/>
            <w:noWrap/>
            <w:vAlign w:val="center"/>
          </w:tcPr>
          <w:p>
            <w:pPr>
              <w:rPr>
                <w:rFonts w:hint="eastAsia" w:ascii="方正仿宋简体" w:hAnsi="方正仿宋简体" w:eastAsia="方正仿宋简体" w:cs="方正仿宋简体"/>
                <w:sz w:val="24"/>
                <w:szCs w:val="24"/>
              </w:rPr>
            </w:pPr>
          </w:p>
        </w:tc>
        <w:tc>
          <w:tcPr>
            <w:tcW w:w="746"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93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资金成本</w:t>
            </w:r>
          </w:p>
        </w:tc>
        <w:tc>
          <w:tcPr>
            <w:tcW w:w="1157" w:type="pct"/>
            <w:gridSpan w:val="2"/>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资金成本</w:t>
            </w:r>
          </w:p>
        </w:tc>
        <w:tc>
          <w:tcPr>
            <w:tcW w:w="46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c>
          <w:tcPr>
            <w:tcW w:w="749"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939" w:type="pct"/>
            <w:vMerge w:val="restart"/>
            <w:noWrap/>
            <w:vAlign w:val="center"/>
          </w:tcPr>
          <w:p>
            <w:pPr>
              <w:pStyle w:val="2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746"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93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经济影响力</w:t>
            </w:r>
          </w:p>
        </w:tc>
        <w:tc>
          <w:tcPr>
            <w:tcW w:w="1157" w:type="pct"/>
            <w:gridSpan w:val="2"/>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带动经济发展</w:t>
            </w:r>
          </w:p>
        </w:tc>
        <w:tc>
          <w:tcPr>
            <w:tcW w:w="46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749"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939" w:type="pct"/>
            <w:vMerge w:val="continue"/>
            <w:noWrap/>
            <w:vAlign w:val="center"/>
          </w:tcPr>
          <w:p>
            <w:pPr>
              <w:rPr>
                <w:rFonts w:hint="eastAsia" w:ascii="方正仿宋简体" w:hAnsi="方正仿宋简体" w:eastAsia="方正仿宋简体" w:cs="方正仿宋简体"/>
                <w:sz w:val="24"/>
                <w:szCs w:val="24"/>
              </w:rPr>
            </w:pPr>
          </w:p>
        </w:tc>
        <w:tc>
          <w:tcPr>
            <w:tcW w:w="746"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93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生活垃圾处理</w:t>
            </w:r>
          </w:p>
        </w:tc>
        <w:tc>
          <w:tcPr>
            <w:tcW w:w="1157" w:type="pct"/>
            <w:gridSpan w:val="2"/>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垃圾收集及运输</w:t>
            </w:r>
          </w:p>
        </w:tc>
        <w:tc>
          <w:tcPr>
            <w:tcW w:w="46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749"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939" w:type="pct"/>
            <w:vMerge w:val="continue"/>
            <w:noWrap/>
            <w:vAlign w:val="center"/>
          </w:tcPr>
          <w:p>
            <w:pPr>
              <w:rPr>
                <w:rFonts w:hint="eastAsia" w:ascii="方正仿宋简体" w:hAnsi="方正仿宋简体" w:eastAsia="方正仿宋简体" w:cs="方正仿宋简体"/>
                <w:sz w:val="24"/>
                <w:szCs w:val="24"/>
              </w:rPr>
            </w:pPr>
          </w:p>
        </w:tc>
        <w:tc>
          <w:tcPr>
            <w:tcW w:w="746"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93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生态环境质量改善</w:t>
            </w:r>
          </w:p>
        </w:tc>
        <w:tc>
          <w:tcPr>
            <w:tcW w:w="1157" w:type="pct"/>
            <w:gridSpan w:val="2"/>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生态环境质量改善</w:t>
            </w:r>
          </w:p>
        </w:tc>
        <w:tc>
          <w:tcPr>
            <w:tcW w:w="46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749"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939" w:type="pct"/>
            <w:vMerge w:val="continue"/>
            <w:noWrap/>
            <w:vAlign w:val="center"/>
          </w:tcPr>
          <w:p>
            <w:pPr>
              <w:rPr>
                <w:rFonts w:hint="eastAsia" w:ascii="方正仿宋简体" w:hAnsi="方正仿宋简体" w:eastAsia="方正仿宋简体" w:cs="方正仿宋简体"/>
                <w:sz w:val="24"/>
                <w:szCs w:val="24"/>
              </w:rPr>
            </w:pPr>
          </w:p>
        </w:tc>
        <w:tc>
          <w:tcPr>
            <w:tcW w:w="746"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93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人居环境整体水平</w:t>
            </w:r>
          </w:p>
        </w:tc>
        <w:tc>
          <w:tcPr>
            <w:tcW w:w="1157" w:type="pct"/>
            <w:gridSpan w:val="2"/>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人居生活环境得到改善</w:t>
            </w:r>
          </w:p>
        </w:tc>
        <w:tc>
          <w:tcPr>
            <w:tcW w:w="46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749"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939" w:type="pct"/>
            <w:noWrap/>
            <w:vAlign w:val="center"/>
          </w:tcPr>
          <w:p>
            <w:pPr>
              <w:pStyle w:val="2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746"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w:t>
            </w:r>
          </w:p>
        </w:tc>
        <w:tc>
          <w:tcPr>
            <w:tcW w:w="93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观众满意度</w:t>
            </w:r>
          </w:p>
        </w:tc>
        <w:tc>
          <w:tcPr>
            <w:tcW w:w="1157" w:type="pct"/>
            <w:gridSpan w:val="2"/>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观众满意度</w:t>
            </w:r>
          </w:p>
        </w:tc>
        <w:tc>
          <w:tcPr>
            <w:tcW w:w="468"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749" w:type="pct"/>
            <w:noWrap/>
            <w:vAlign w:val="center"/>
          </w:tcPr>
          <w:p>
            <w:pPr>
              <w:pStyle w:val="2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招投标服务合同</w:t>
            </w:r>
          </w:p>
        </w:tc>
      </w:tr>
    </w:tbl>
    <w:p>
      <w:pPr>
        <w:spacing w:line="14" w:lineRule="exact"/>
        <w:ind w:firstLine="420" w:firstLineChars="200"/>
        <w:jc w:val="center"/>
        <w:rPr>
          <w:rFonts w:hint="eastAsia" w:ascii="方正仿宋简体" w:hAnsi="方正仿宋简体" w:eastAsia="方正仿宋简体" w:cs="方正仿宋简体"/>
        </w:rPr>
        <w:sectPr>
          <w:footerReference r:id="rId6" w:type="default"/>
          <w:pgSz w:w="16839" w:h="11907" w:orient="landscape"/>
          <w:pgMar w:top="1304" w:right="1474" w:bottom="1304" w:left="1588" w:header="624" w:footer="624" w:gutter="0"/>
          <w:pgNumType w:start="1"/>
          <w:cols w:space="720" w:num="1"/>
          <w:docGrid w:type="lines" w:linePitch="312" w:charSpace="0"/>
        </w:sectPr>
      </w:pPr>
    </w:p>
    <w:p>
      <w:pPr>
        <w:ind w:firstLine="800" w:firstLineChars="250"/>
        <w:rPr>
          <w:rFonts w:ascii="方正黑体简体" w:hAnsi="宋体" w:eastAsia="方正黑体简体" w:cs="宋体"/>
          <w:bCs/>
          <w:sz w:val="32"/>
          <w:szCs w:val="32"/>
        </w:rPr>
      </w:pPr>
      <w:r>
        <w:rPr>
          <w:rFonts w:hint="eastAsia" w:ascii="方正黑体简体" w:hAnsi="宋体" w:eastAsia="方正黑体简体" w:cs="宋体"/>
          <w:bCs/>
          <w:sz w:val="32"/>
          <w:szCs w:val="32"/>
        </w:rPr>
        <w:t>六、政府采购预算情况</w:t>
      </w:r>
    </w:p>
    <w:p>
      <w:pPr>
        <w:spacing w:line="570" w:lineRule="exact"/>
        <w:ind w:firstLine="960" w:firstLineChars="300"/>
        <w:rPr>
          <w:rFonts w:hint="eastAsia" w:ascii="方正仿宋简体" w:hAnsi="宋体" w:eastAsia="方正仿宋简体" w:cs="宋体"/>
          <w:sz w:val="32"/>
          <w:szCs w:val="32"/>
        </w:rPr>
      </w:pPr>
      <w:r>
        <w:rPr>
          <w:rFonts w:hint="eastAsia" w:ascii="方正仿宋简体" w:hAnsi="宋体" w:eastAsia="方正仿宋简体" w:cs="宋体"/>
          <w:sz w:val="32"/>
          <w:szCs w:val="32"/>
          <w:lang w:val="en-US" w:eastAsia="zh-CN"/>
        </w:rPr>
        <w:t>2022年，马兰峪镇人民</w:t>
      </w:r>
      <w:r>
        <w:rPr>
          <w:rFonts w:hint="eastAsia" w:ascii="方正仿宋简体" w:hAnsi="宋体" w:eastAsia="方正仿宋简体" w:cs="宋体"/>
          <w:sz w:val="32"/>
          <w:szCs w:val="32"/>
        </w:rPr>
        <w:t>政府采购预算安排</w:t>
      </w:r>
      <w:r>
        <w:rPr>
          <w:rFonts w:hint="eastAsia" w:ascii="方正仿宋简体" w:hAnsi="宋体" w:eastAsia="方正仿宋简体" w:cs="宋体"/>
          <w:sz w:val="32"/>
          <w:szCs w:val="32"/>
          <w:lang w:val="en-US" w:eastAsia="zh-CN"/>
        </w:rPr>
        <w:t>0</w:t>
      </w:r>
      <w:r>
        <w:rPr>
          <w:rFonts w:hint="eastAsia" w:ascii="方正仿宋简体" w:hAnsi="宋体" w:eastAsia="方正仿宋简体" w:cs="宋体"/>
          <w:sz w:val="32"/>
          <w:szCs w:val="32"/>
        </w:rPr>
        <w:t>万元。</w:t>
      </w:r>
    </w:p>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政府采购预算</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96"/>
        <w:gridCol w:w="1322"/>
        <w:gridCol w:w="1225"/>
        <w:gridCol w:w="1508"/>
        <w:gridCol w:w="943"/>
        <w:gridCol w:w="660"/>
        <w:gridCol w:w="665"/>
        <w:gridCol w:w="660"/>
        <w:gridCol w:w="1508"/>
        <w:gridCol w:w="1225"/>
        <w:gridCol w:w="1791"/>
        <w:gridCol w:w="1225"/>
        <w:gridCol w:w="9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1" w:hRule="atLeast"/>
          <w:tblHeader/>
          <w:jc w:val="center"/>
        </w:trPr>
        <w:tc>
          <w:tcPr>
            <w:tcW w:w="6799" w:type="dxa"/>
            <w:gridSpan w:val="7"/>
            <w:tcBorders>
              <w:top w:val="single" w:color="FFFFFF" w:sz="6" w:space="0"/>
              <w:left w:val="single" w:color="FFFFFF" w:sz="6" w:space="0"/>
              <w:right w:val="single" w:color="FFFFFF" w:sz="6" w:space="0"/>
            </w:tcBorders>
            <w:noWrap w:val="0"/>
            <w:vAlign w:val="center"/>
          </w:tcPr>
          <w:p>
            <w:pPr>
              <w:spacing w:line="560" w:lineRule="exact"/>
              <w:jc w:val="left"/>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val="en-US" w:eastAsia="zh-CN"/>
              </w:rPr>
              <w:t>637001</w:t>
            </w:r>
            <w:r>
              <w:rPr>
                <w:rFonts w:hint="eastAsia" w:ascii="方正仿宋简体" w:hAnsi="方正仿宋简体" w:eastAsia="方正仿宋简体" w:cs="方正仿宋简体"/>
                <w:sz w:val="28"/>
                <w:szCs w:val="28"/>
              </w:rPr>
              <w:t>遵化市</w:t>
            </w:r>
            <w:r>
              <w:rPr>
                <w:rFonts w:hint="eastAsia" w:ascii="方正仿宋简体" w:hAnsi="方正仿宋简体" w:eastAsia="方正仿宋简体" w:cs="方正仿宋简体"/>
                <w:sz w:val="28"/>
                <w:szCs w:val="28"/>
                <w:lang w:eastAsia="zh-CN"/>
              </w:rPr>
              <w:t>马兰峪镇人民政府本级</w:t>
            </w:r>
          </w:p>
        </w:tc>
        <w:tc>
          <w:tcPr>
            <w:tcW w:w="7358" w:type="dxa"/>
            <w:gridSpan w:val="6"/>
            <w:tcBorders>
              <w:top w:val="single" w:color="FFFFFF" w:sz="6" w:space="0"/>
              <w:left w:val="single" w:color="FFFFFF" w:sz="6" w:space="0"/>
              <w:right w:val="single" w:color="FFFFFF" w:sz="6" w:space="0"/>
            </w:tcBorders>
            <w:noWrap w:val="0"/>
            <w:vAlign w:val="center"/>
          </w:tcPr>
          <w:p>
            <w:pPr>
              <w:spacing w:line="560" w:lineRule="exact"/>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8" w:hRule="atLeast"/>
          <w:tblHeader/>
          <w:jc w:val="center"/>
        </w:trPr>
        <w:tc>
          <w:tcPr>
            <w:tcW w:w="179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政府采购项目来源</w:t>
            </w:r>
          </w:p>
        </w:tc>
        <w:tc>
          <w:tcPr>
            <w:tcW w:w="12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采购物品名称</w:t>
            </w:r>
          </w:p>
        </w:tc>
        <w:tc>
          <w:tcPr>
            <w:tcW w:w="15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政府采购目录序号</w:t>
            </w:r>
          </w:p>
        </w:tc>
        <w:tc>
          <w:tcPr>
            <w:tcW w:w="9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28"/>
                <w:szCs w:val="28"/>
                <w:lang w:eastAsia="zh-CN"/>
              </w:rPr>
            </w:pPr>
            <w:r>
              <w:rPr>
                <w:rFonts w:hint="eastAsia" w:ascii="方正仿宋简体" w:hAnsi="方正仿宋简体" w:eastAsia="方正仿宋简体" w:cs="方正仿宋简体"/>
                <w:b w:val="0"/>
                <w:bCs/>
                <w:sz w:val="28"/>
                <w:szCs w:val="28"/>
                <w:lang w:eastAsia="zh-CN"/>
              </w:rPr>
              <w:t>计量单位</w:t>
            </w:r>
          </w:p>
        </w:tc>
        <w:tc>
          <w:tcPr>
            <w:tcW w:w="6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数量</w:t>
            </w:r>
          </w:p>
        </w:tc>
        <w:tc>
          <w:tcPr>
            <w:tcW w:w="6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单价</w:t>
            </w:r>
          </w:p>
        </w:tc>
        <w:tc>
          <w:tcPr>
            <w:tcW w:w="735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政府采购金额（当年</w:t>
            </w:r>
            <w:r>
              <w:rPr>
                <w:rFonts w:hint="eastAsia" w:ascii="方正仿宋简体" w:hAnsi="方正仿宋简体" w:eastAsia="方正仿宋简体" w:cs="方正仿宋简体"/>
                <w:b w:val="0"/>
                <w:bCs/>
                <w:sz w:val="28"/>
                <w:szCs w:val="28"/>
                <w:lang w:eastAsia="zh-CN"/>
              </w:rPr>
              <w:t>本级</w:t>
            </w:r>
            <w:r>
              <w:rPr>
                <w:rFonts w:hint="eastAsia" w:ascii="方正仿宋简体" w:hAnsi="方正仿宋简体" w:eastAsia="方正仿宋简体" w:cs="方正仿宋简体"/>
                <w:b w:val="0"/>
                <w:bCs/>
                <w:sz w:val="28"/>
                <w:szCs w:val="28"/>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36" w:hRule="atLeast"/>
          <w:tblHeader/>
          <w:jc w:val="center"/>
        </w:trPr>
        <w:tc>
          <w:tcPr>
            <w:tcW w:w="4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项目名称</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预算资金</w:t>
            </w:r>
          </w:p>
        </w:tc>
        <w:tc>
          <w:tcPr>
            <w:tcW w:w="12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val="0"/>
                <w:bCs/>
                <w:sz w:val="28"/>
                <w:szCs w:val="28"/>
              </w:rPr>
            </w:pPr>
          </w:p>
        </w:tc>
        <w:tc>
          <w:tcPr>
            <w:tcW w:w="15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val="0"/>
                <w:bCs/>
                <w:sz w:val="28"/>
                <w:szCs w:val="28"/>
              </w:rPr>
            </w:pPr>
          </w:p>
        </w:tc>
        <w:tc>
          <w:tcPr>
            <w:tcW w:w="9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val="0"/>
                <w:bCs/>
                <w:sz w:val="28"/>
                <w:szCs w:val="28"/>
              </w:rPr>
            </w:pPr>
          </w:p>
        </w:tc>
        <w:tc>
          <w:tcPr>
            <w:tcW w:w="6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val="0"/>
                <w:bCs/>
                <w:sz w:val="28"/>
                <w:szCs w:val="28"/>
              </w:rPr>
            </w:pPr>
          </w:p>
        </w:tc>
        <w:tc>
          <w:tcPr>
            <w:tcW w:w="6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val="0"/>
                <w:bCs/>
                <w:sz w:val="28"/>
                <w:szCs w:val="28"/>
              </w:rPr>
            </w:pP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合计</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方正仿宋简体" w:hAnsi="方正仿宋简体" w:eastAsia="方正仿宋简体" w:cs="方正仿宋简体"/>
                <w:b w:val="0"/>
                <w:bCs/>
                <w:sz w:val="28"/>
                <w:szCs w:val="28"/>
                <w:lang w:val="en-US" w:eastAsia="zh-CN"/>
              </w:rPr>
            </w:pPr>
            <w:r>
              <w:rPr>
                <w:rFonts w:hint="eastAsia" w:ascii="方正仿宋简体" w:hAnsi="方正仿宋简体" w:eastAsia="方正仿宋简体" w:cs="方正仿宋简体"/>
                <w:b w:val="0"/>
                <w:bCs/>
                <w:sz w:val="28"/>
                <w:szCs w:val="28"/>
                <w:lang w:val="en-US" w:eastAsia="zh-CN"/>
              </w:rPr>
              <w:t>一般公共预算拨款</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基金预算拨款</w:t>
            </w:r>
          </w:p>
        </w:tc>
        <w:tc>
          <w:tcPr>
            <w:tcW w:w="17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国有资本经营预算拨款</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财政专户核拨</w:t>
            </w:r>
          </w:p>
        </w:tc>
        <w:tc>
          <w:tcPr>
            <w:tcW w:w="9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28"/>
                <w:szCs w:val="28"/>
              </w:rPr>
            </w:pPr>
            <w:r>
              <w:rPr>
                <w:rFonts w:hint="eastAsia" w:ascii="方正仿宋简体" w:hAnsi="方正仿宋简体" w:eastAsia="方正仿宋简体" w:cs="方正仿宋简体"/>
                <w:b w:val="0"/>
                <w:bCs/>
                <w:sz w:val="28"/>
                <w:szCs w:val="28"/>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7" w:hRule="atLeast"/>
          <w:jc w:val="center"/>
        </w:trPr>
        <w:tc>
          <w:tcPr>
            <w:tcW w:w="476" w:type="dxa"/>
            <w:noWrap w:val="0"/>
            <w:vAlign w:val="center"/>
          </w:tcPr>
          <w:p>
            <w:pPr>
              <w:spacing w:line="560" w:lineRule="exact"/>
              <w:jc w:val="center"/>
              <w:rPr>
                <w:rFonts w:hint="eastAsia" w:ascii="方正仿宋简体" w:hAnsi="方正仿宋简体" w:eastAsia="方正仿宋简体" w:cs="方正仿宋简体"/>
                <w:b w:val="0"/>
                <w:bCs/>
                <w:sz w:val="24"/>
                <w:szCs w:val="24"/>
                <w:highlight w:val="red"/>
                <w:lang w:eastAsia="zh-CN"/>
              </w:rPr>
            </w:pPr>
          </w:p>
        </w:tc>
        <w:tc>
          <w:tcPr>
            <w:tcW w:w="1322" w:type="dxa"/>
            <w:noWrap w:val="0"/>
            <w:vAlign w:val="center"/>
          </w:tcPr>
          <w:p>
            <w:pPr>
              <w:spacing w:line="560" w:lineRule="exact"/>
              <w:jc w:val="right"/>
              <w:rPr>
                <w:rFonts w:hint="default" w:ascii="方正仿宋简体" w:hAnsi="方正仿宋简体" w:eastAsia="方正仿宋简体" w:cs="方正仿宋简体"/>
                <w:b w:val="0"/>
                <w:bCs/>
                <w:sz w:val="24"/>
                <w:szCs w:val="24"/>
                <w:highlight w:val="red"/>
                <w:lang w:val="en-US" w:eastAsia="zh-CN"/>
              </w:rPr>
            </w:pPr>
          </w:p>
        </w:tc>
        <w:tc>
          <w:tcPr>
            <w:tcW w:w="1225" w:type="dxa"/>
            <w:noWrap w:val="0"/>
            <w:vAlign w:val="center"/>
          </w:tcPr>
          <w:p>
            <w:pPr>
              <w:spacing w:line="560" w:lineRule="exact"/>
              <w:jc w:val="left"/>
              <w:rPr>
                <w:rFonts w:hint="eastAsia" w:ascii="方正仿宋简体" w:hAnsi="方正仿宋简体" w:eastAsia="方正仿宋简体" w:cs="方正仿宋简体"/>
                <w:b w:val="0"/>
                <w:bCs/>
                <w:sz w:val="24"/>
                <w:szCs w:val="24"/>
                <w:highlight w:val="red"/>
              </w:rPr>
            </w:pPr>
          </w:p>
        </w:tc>
        <w:tc>
          <w:tcPr>
            <w:tcW w:w="1508" w:type="dxa"/>
            <w:noWrap w:val="0"/>
            <w:vAlign w:val="center"/>
          </w:tcPr>
          <w:p>
            <w:pPr>
              <w:spacing w:line="560" w:lineRule="exact"/>
              <w:jc w:val="left"/>
              <w:rPr>
                <w:rFonts w:hint="eastAsia" w:ascii="方正仿宋简体" w:hAnsi="方正仿宋简体" w:eastAsia="方正仿宋简体" w:cs="方正仿宋简体"/>
                <w:b w:val="0"/>
                <w:bCs/>
                <w:sz w:val="24"/>
                <w:szCs w:val="24"/>
                <w:highlight w:val="red"/>
              </w:rPr>
            </w:pPr>
          </w:p>
        </w:tc>
        <w:tc>
          <w:tcPr>
            <w:tcW w:w="943" w:type="dxa"/>
            <w:noWrap w:val="0"/>
            <w:vAlign w:val="center"/>
          </w:tcPr>
          <w:p>
            <w:pPr>
              <w:spacing w:line="560" w:lineRule="exact"/>
              <w:jc w:val="center"/>
              <w:rPr>
                <w:rFonts w:hint="eastAsia" w:ascii="方正仿宋简体" w:hAnsi="方正仿宋简体" w:eastAsia="方正仿宋简体" w:cs="方正仿宋简体"/>
                <w:b w:val="0"/>
                <w:bCs/>
                <w:sz w:val="24"/>
                <w:szCs w:val="24"/>
                <w:highlight w:val="red"/>
              </w:rPr>
            </w:pPr>
          </w:p>
        </w:tc>
        <w:tc>
          <w:tcPr>
            <w:tcW w:w="660" w:type="dxa"/>
            <w:noWrap w:val="0"/>
            <w:vAlign w:val="center"/>
          </w:tcPr>
          <w:p>
            <w:pPr>
              <w:spacing w:line="560" w:lineRule="exact"/>
              <w:jc w:val="right"/>
              <w:rPr>
                <w:rFonts w:hint="eastAsia" w:ascii="方正仿宋简体" w:hAnsi="方正仿宋简体" w:eastAsia="方正仿宋简体" w:cs="方正仿宋简体"/>
                <w:b w:val="0"/>
                <w:bCs/>
                <w:sz w:val="24"/>
                <w:szCs w:val="24"/>
                <w:highlight w:val="red"/>
              </w:rPr>
            </w:pPr>
          </w:p>
        </w:tc>
        <w:tc>
          <w:tcPr>
            <w:tcW w:w="665" w:type="dxa"/>
            <w:noWrap w:val="0"/>
            <w:vAlign w:val="center"/>
          </w:tcPr>
          <w:p>
            <w:pPr>
              <w:spacing w:line="560" w:lineRule="exact"/>
              <w:jc w:val="right"/>
              <w:rPr>
                <w:rFonts w:hint="eastAsia" w:ascii="方正仿宋简体" w:hAnsi="方正仿宋简体" w:eastAsia="方正仿宋简体" w:cs="方正仿宋简体"/>
                <w:b w:val="0"/>
                <w:bCs/>
                <w:sz w:val="24"/>
                <w:szCs w:val="24"/>
                <w:highlight w:val="red"/>
              </w:rPr>
            </w:pPr>
          </w:p>
        </w:tc>
        <w:tc>
          <w:tcPr>
            <w:tcW w:w="660" w:type="dxa"/>
            <w:noWrap w:val="0"/>
            <w:vAlign w:val="center"/>
          </w:tcPr>
          <w:p>
            <w:pPr>
              <w:spacing w:line="560" w:lineRule="exact"/>
              <w:jc w:val="right"/>
              <w:rPr>
                <w:rFonts w:hint="default" w:ascii="方正仿宋简体" w:hAnsi="方正仿宋简体" w:eastAsia="方正仿宋简体" w:cs="方正仿宋简体"/>
                <w:b w:val="0"/>
                <w:bCs/>
                <w:sz w:val="24"/>
                <w:szCs w:val="24"/>
                <w:highlight w:val="red"/>
                <w:lang w:val="en-US" w:eastAsia="zh-CN"/>
              </w:rPr>
            </w:pPr>
          </w:p>
        </w:tc>
        <w:tc>
          <w:tcPr>
            <w:tcW w:w="1508" w:type="dxa"/>
            <w:noWrap w:val="0"/>
            <w:vAlign w:val="center"/>
          </w:tcPr>
          <w:p>
            <w:pPr>
              <w:spacing w:line="560" w:lineRule="exact"/>
              <w:jc w:val="right"/>
              <w:rPr>
                <w:rFonts w:hint="default" w:ascii="方正仿宋简体" w:hAnsi="方正仿宋简体" w:eastAsia="方正仿宋简体" w:cs="方正仿宋简体"/>
                <w:b w:val="0"/>
                <w:bCs/>
                <w:sz w:val="24"/>
                <w:szCs w:val="24"/>
                <w:highlight w:val="red"/>
                <w:lang w:val="en-US" w:eastAsia="zh-CN"/>
              </w:rPr>
            </w:pPr>
          </w:p>
        </w:tc>
        <w:tc>
          <w:tcPr>
            <w:tcW w:w="1225" w:type="dxa"/>
            <w:noWrap w:val="0"/>
            <w:vAlign w:val="center"/>
          </w:tcPr>
          <w:p>
            <w:pPr>
              <w:spacing w:line="560" w:lineRule="exact"/>
              <w:jc w:val="right"/>
              <w:rPr>
                <w:rFonts w:hint="eastAsia" w:ascii="方正仿宋简体" w:hAnsi="方正仿宋简体" w:eastAsia="方正仿宋简体" w:cs="方正仿宋简体"/>
                <w:b w:val="0"/>
                <w:bCs/>
                <w:sz w:val="24"/>
                <w:szCs w:val="24"/>
                <w:highlight w:val="red"/>
              </w:rPr>
            </w:pPr>
          </w:p>
        </w:tc>
        <w:tc>
          <w:tcPr>
            <w:tcW w:w="1791" w:type="dxa"/>
            <w:noWrap w:val="0"/>
            <w:vAlign w:val="center"/>
          </w:tcPr>
          <w:p>
            <w:pPr>
              <w:spacing w:line="560" w:lineRule="exact"/>
              <w:jc w:val="right"/>
              <w:rPr>
                <w:rFonts w:hint="eastAsia" w:ascii="方正仿宋简体" w:hAnsi="方正仿宋简体" w:eastAsia="方正仿宋简体" w:cs="方正仿宋简体"/>
                <w:b w:val="0"/>
                <w:bCs/>
                <w:sz w:val="24"/>
                <w:szCs w:val="24"/>
                <w:highlight w:val="red"/>
              </w:rPr>
            </w:pPr>
          </w:p>
        </w:tc>
        <w:tc>
          <w:tcPr>
            <w:tcW w:w="1225" w:type="dxa"/>
            <w:noWrap w:val="0"/>
            <w:vAlign w:val="center"/>
          </w:tcPr>
          <w:p>
            <w:pPr>
              <w:spacing w:line="560" w:lineRule="exact"/>
              <w:jc w:val="right"/>
              <w:rPr>
                <w:rFonts w:hint="eastAsia" w:ascii="方正仿宋简体" w:hAnsi="方正仿宋简体" w:eastAsia="方正仿宋简体" w:cs="方正仿宋简体"/>
                <w:b w:val="0"/>
                <w:bCs/>
                <w:sz w:val="24"/>
                <w:szCs w:val="24"/>
                <w:highlight w:val="red"/>
              </w:rPr>
            </w:pPr>
          </w:p>
        </w:tc>
        <w:tc>
          <w:tcPr>
            <w:tcW w:w="949" w:type="dxa"/>
            <w:noWrap w:val="0"/>
            <w:vAlign w:val="center"/>
          </w:tcPr>
          <w:p>
            <w:pPr>
              <w:spacing w:line="560" w:lineRule="exact"/>
              <w:jc w:val="right"/>
              <w:rPr>
                <w:rFonts w:hint="eastAsia" w:ascii="方正仿宋简体" w:hAnsi="方正仿宋简体" w:eastAsia="方正仿宋简体" w:cs="方正仿宋简体"/>
                <w:b w:val="0"/>
                <w:bCs/>
                <w:sz w:val="24"/>
                <w:szCs w:val="24"/>
                <w:highlight w:val="red"/>
              </w:rPr>
            </w:pPr>
          </w:p>
        </w:tc>
      </w:tr>
    </w:tbl>
    <w:p>
      <w:pPr>
        <w:spacing w:line="560" w:lineRule="exact"/>
        <w:ind w:firstLine="280" w:firstLineChars="10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注：无政府采购预算</w:t>
      </w:r>
      <w:r>
        <w:rPr>
          <w:rFonts w:hint="eastAsia" w:ascii="方正仿宋简体" w:hAnsi="方正仿宋简体" w:eastAsia="方正仿宋简体" w:cs="方正仿宋简体"/>
          <w:sz w:val="28"/>
          <w:szCs w:val="28"/>
          <w:lang w:eastAsia="zh-CN"/>
        </w:rPr>
        <w:t>财政拨款预算，</w:t>
      </w:r>
      <w:r>
        <w:rPr>
          <w:rFonts w:hint="eastAsia" w:ascii="方正仿宋简体" w:hAnsi="方正仿宋简体" w:eastAsia="方正仿宋简体" w:cs="方正仿宋简体"/>
          <w:sz w:val="28"/>
          <w:szCs w:val="28"/>
        </w:rPr>
        <w:t>空表列示。</w:t>
      </w:r>
    </w:p>
    <w:p>
      <w:pPr>
        <w:pStyle w:val="2"/>
      </w:pPr>
    </w:p>
    <w:p>
      <w:pPr>
        <w:ind w:firstLine="800" w:firstLineChars="250"/>
        <w:rPr>
          <w:rFonts w:ascii="方正黑体简体" w:hAnsi="黑体" w:eastAsia="方正黑体简体" w:cs="黑体"/>
          <w:b/>
          <w:sz w:val="32"/>
          <w:szCs w:val="32"/>
        </w:rPr>
      </w:pPr>
      <w:r>
        <w:rPr>
          <w:rFonts w:hint="eastAsia" w:ascii="方正黑体简体" w:hAnsi="宋体" w:eastAsia="方正黑体简体" w:cs="宋体"/>
          <w:bCs/>
          <w:sz w:val="32"/>
          <w:szCs w:val="32"/>
        </w:rPr>
        <w:t>七、国有资产信息情况</w:t>
      </w:r>
      <w:r>
        <w:rPr>
          <w:rFonts w:hint="eastAsia" w:ascii="方正黑体简体" w:hAnsi="黑体" w:eastAsia="方正黑体简体" w:cs="黑体"/>
          <w:b/>
          <w:sz w:val="32"/>
          <w:szCs w:val="32"/>
        </w:rPr>
        <w:tab/>
      </w:r>
    </w:p>
    <w:p>
      <w:pPr>
        <w:spacing w:line="570" w:lineRule="exact"/>
        <w:ind w:firstLine="640" w:firstLineChars="200"/>
        <w:rPr>
          <w:rFonts w:ascii="方正仿宋简体" w:hAnsi="黑体" w:eastAsia="方正仿宋简体" w:cs="黑体"/>
          <w:sz w:val="32"/>
          <w:szCs w:val="32"/>
        </w:rPr>
      </w:pPr>
      <w:r>
        <w:rPr>
          <w:rFonts w:hint="eastAsia" w:ascii="方正仿宋简体" w:hAnsi="宋体" w:eastAsia="方正仿宋简体" w:cs="宋体"/>
          <w:sz w:val="32"/>
          <w:szCs w:val="32"/>
        </w:rPr>
        <w:t>我镇上年末固定资产金额为207.36万元（详见下表）。本年度无国有资产购置安排。</w:t>
      </w:r>
    </w:p>
    <w:tbl>
      <w:tblPr>
        <w:tblStyle w:val="12"/>
        <w:tblpPr w:leftFromText="180" w:rightFromText="180" w:vertAnchor="text" w:horzAnchor="page" w:tblpX="1861" w:tblpY="205"/>
        <w:tblOverlap w:val="never"/>
        <w:tblW w:w="0" w:type="auto"/>
        <w:tblInd w:w="0"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99" w:hRule="atLeast"/>
        </w:trPr>
        <w:tc>
          <w:tcPr>
            <w:tcW w:w="13482" w:type="dxa"/>
            <w:gridSpan w:val="3"/>
            <w:tcBorders>
              <w:top w:val="nil"/>
              <w:left w:val="nil"/>
              <w:bottom w:val="nil"/>
              <w:right w:val="nil"/>
            </w:tcBorders>
            <w:noWrap/>
            <w:vAlign w:val="center"/>
          </w:tcPr>
          <w:p>
            <w:pPr>
              <w:widowControl/>
              <w:ind w:left="218" w:leftChars="104" w:firstLine="230" w:firstLineChars="72"/>
              <w:jc w:val="center"/>
              <w:rPr>
                <w:rFonts w:ascii="方正仿宋简体" w:hAnsi="黑体" w:eastAsia="方正仿宋简体" w:cs="黑体"/>
                <w:b/>
                <w:bCs/>
                <w:kern w:val="0"/>
                <w:sz w:val="32"/>
                <w:szCs w:val="32"/>
              </w:rPr>
            </w:pPr>
            <w:r>
              <w:rPr>
                <w:rFonts w:hint="eastAsia" w:ascii="方正仿宋简体" w:hAnsi="黑体" w:eastAsia="方正仿宋简体" w:cs="黑体"/>
                <w:b w:val="0"/>
                <w:bCs w:val="0"/>
                <w:kern w:val="0"/>
                <w:sz w:val="32"/>
                <w:szCs w:val="32"/>
              </w:rPr>
              <w:t>固定资产占用情况表</w:t>
            </w:r>
          </w:p>
        </w:tc>
      </w:tr>
      <w:tr>
        <w:tblPrEx>
          <w:tblCellMar>
            <w:top w:w="0" w:type="dxa"/>
            <w:left w:w="108" w:type="dxa"/>
            <w:bottom w:w="0" w:type="dxa"/>
            <w:right w:w="108" w:type="dxa"/>
          </w:tblCellMar>
        </w:tblPrEx>
        <w:trPr>
          <w:trHeight w:val="353" w:hRule="atLeast"/>
        </w:trPr>
        <w:tc>
          <w:tcPr>
            <w:tcW w:w="8379" w:type="dxa"/>
            <w:gridSpan w:val="2"/>
            <w:tcBorders>
              <w:top w:val="nil"/>
              <w:left w:val="nil"/>
              <w:bottom w:val="nil"/>
              <w:right w:val="nil"/>
            </w:tcBorders>
            <w:noWrap/>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编制</w:t>
            </w:r>
            <w:r>
              <w:rPr>
                <w:rFonts w:hint="eastAsia" w:ascii="方正仿宋简体" w:hAnsi="黑体" w:eastAsia="方正仿宋简体" w:cs="黑体"/>
                <w:kern w:val="0"/>
                <w:sz w:val="28"/>
                <w:szCs w:val="28"/>
                <w:lang w:eastAsia="zh-CN"/>
              </w:rPr>
              <w:t>本级</w:t>
            </w:r>
            <w:r>
              <w:rPr>
                <w:rFonts w:hint="eastAsia" w:ascii="方正仿宋简体" w:hAnsi="黑体" w:eastAsia="方正仿宋简体" w:cs="黑体"/>
                <w:kern w:val="0"/>
                <w:sz w:val="28"/>
                <w:szCs w:val="28"/>
              </w:rPr>
              <w:t>：遵化市马兰峪镇人民政府</w:t>
            </w:r>
          </w:p>
        </w:tc>
        <w:tc>
          <w:tcPr>
            <w:tcW w:w="5103" w:type="dxa"/>
            <w:tcBorders>
              <w:top w:val="nil"/>
              <w:left w:val="nil"/>
              <w:bottom w:val="nil"/>
              <w:right w:val="nil"/>
            </w:tcBorders>
            <w:noWrap/>
            <w:vAlign w:val="center"/>
          </w:tcPr>
          <w:p>
            <w:pPr>
              <w:widowControl/>
              <w:ind w:firstLine="840" w:firstLineChars="300"/>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截止时间：2021年12月31日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项   目</w:t>
            </w:r>
          </w:p>
        </w:tc>
        <w:tc>
          <w:tcPr>
            <w:tcW w:w="3155" w:type="dxa"/>
            <w:tcBorders>
              <w:top w:val="single" w:color="auto" w:sz="4" w:space="0"/>
              <w:left w:val="nil"/>
              <w:bottom w:val="single" w:color="auto" w:sz="4" w:space="0"/>
              <w:right w:val="single" w:color="auto" w:sz="4" w:space="0"/>
            </w:tcBorders>
            <w:noWrap/>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数量</w:t>
            </w:r>
          </w:p>
        </w:tc>
        <w:tc>
          <w:tcPr>
            <w:tcW w:w="5103" w:type="dxa"/>
            <w:tcBorders>
              <w:top w:val="single" w:color="auto" w:sz="4" w:space="0"/>
              <w:left w:val="nil"/>
              <w:bottom w:val="single" w:color="auto" w:sz="4" w:space="0"/>
              <w:right w:val="single" w:color="auto" w:sz="4" w:space="0"/>
            </w:tcBorders>
            <w:noWrap/>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价值（金额单位：万元）</w:t>
            </w:r>
          </w:p>
        </w:tc>
      </w:tr>
      <w:tr>
        <w:tblPrEx>
          <w:tblCellMar>
            <w:top w:w="0" w:type="dxa"/>
            <w:left w:w="108" w:type="dxa"/>
            <w:bottom w:w="0" w:type="dxa"/>
            <w:right w:w="108" w:type="dxa"/>
          </w:tblCellMar>
        </w:tblPrEx>
        <w:trPr>
          <w:trHeight w:val="552" w:hRule="exact"/>
        </w:trPr>
        <w:tc>
          <w:tcPr>
            <w:tcW w:w="5224" w:type="dxa"/>
            <w:tcBorders>
              <w:top w:val="nil"/>
              <w:left w:val="single" w:color="auto" w:sz="4" w:space="0"/>
              <w:bottom w:val="single" w:color="auto" w:sz="4" w:space="0"/>
              <w:right w:val="single" w:color="auto" w:sz="4" w:space="0"/>
            </w:tcBorders>
            <w:noWrap/>
            <w:vAlign w:val="center"/>
          </w:tcPr>
          <w:p>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资产总额</w:t>
            </w:r>
          </w:p>
        </w:tc>
        <w:tc>
          <w:tcPr>
            <w:tcW w:w="3155" w:type="dxa"/>
            <w:tcBorders>
              <w:top w:val="nil"/>
              <w:left w:val="nil"/>
              <w:bottom w:val="single" w:color="auto" w:sz="4" w:space="0"/>
              <w:right w:val="single" w:color="auto" w:sz="4" w:space="0"/>
            </w:tcBorders>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w:t>
            </w:r>
          </w:p>
        </w:tc>
        <w:tc>
          <w:tcPr>
            <w:tcW w:w="5103" w:type="dxa"/>
            <w:tcBorders>
              <w:top w:val="nil"/>
              <w:left w:val="nil"/>
              <w:bottom w:val="single" w:color="auto" w:sz="4" w:space="0"/>
              <w:right w:val="single" w:color="auto" w:sz="4" w:space="0"/>
            </w:tcBorders>
            <w:noWrap/>
            <w:vAlign w:val="center"/>
          </w:tcPr>
          <w:p>
            <w:pPr>
              <w:jc w:val="center"/>
              <w:rPr>
                <w:rFonts w:ascii="方正仿宋简体" w:hAnsi="黑体" w:cs="黑体"/>
                <w:sz w:val="28"/>
                <w:szCs w:val="28"/>
              </w:rPr>
            </w:pPr>
            <w:r>
              <w:rPr>
                <w:rFonts w:hint="eastAsia" w:ascii="方正仿宋简体" w:hAnsi="黑体" w:cs="黑体"/>
                <w:sz w:val="28"/>
                <w:szCs w:val="28"/>
              </w:rPr>
              <w:t>207.36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1、房屋（平方米）</w:t>
            </w:r>
          </w:p>
        </w:tc>
        <w:tc>
          <w:tcPr>
            <w:tcW w:w="3155" w:type="dxa"/>
            <w:tcBorders>
              <w:top w:val="nil"/>
              <w:left w:val="nil"/>
              <w:bottom w:val="single" w:color="auto" w:sz="4" w:space="0"/>
              <w:right w:val="single" w:color="auto" w:sz="4" w:space="0"/>
            </w:tcBorders>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3700</w:t>
            </w:r>
          </w:p>
        </w:tc>
        <w:tc>
          <w:tcPr>
            <w:tcW w:w="5103" w:type="dxa"/>
            <w:tcBorders>
              <w:top w:val="nil"/>
              <w:left w:val="nil"/>
              <w:bottom w:val="single" w:color="auto" w:sz="4" w:space="0"/>
              <w:right w:val="single" w:color="auto" w:sz="4" w:space="0"/>
            </w:tcBorders>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63.38</w:t>
            </w:r>
          </w:p>
        </w:tc>
      </w:tr>
      <w:tr>
        <w:tblPrEx>
          <w:tblCellMar>
            <w:top w:w="0" w:type="dxa"/>
            <w:left w:w="108" w:type="dxa"/>
            <w:bottom w:w="0" w:type="dxa"/>
            <w:right w:w="108" w:type="dxa"/>
          </w:tblCellMar>
        </w:tblPrEx>
        <w:trPr>
          <w:trHeight w:val="510"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   其中：办公用房（平方米）</w:t>
            </w:r>
          </w:p>
        </w:tc>
        <w:tc>
          <w:tcPr>
            <w:tcW w:w="3155" w:type="dxa"/>
            <w:tcBorders>
              <w:top w:val="nil"/>
              <w:left w:val="nil"/>
              <w:bottom w:val="single" w:color="auto" w:sz="4" w:space="0"/>
              <w:right w:val="single" w:color="auto" w:sz="4" w:space="0"/>
            </w:tcBorders>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3700</w:t>
            </w:r>
          </w:p>
        </w:tc>
        <w:tc>
          <w:tcPr>
            <w:tcW w:w="5103" w:type="dxa"/>
            <w:tcBorders>
              <w:top w:val="nil"/>
              <w:left w:val="nil"/>
              <w:bottom w:val="single" w:color="auto" w:sz="4" w:space="0"/>
              <w:right w:val="single" w:color="auto" w:sz="4" w:space="0"/>
            </w:tcBorders>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63.38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2、车辆（台、辆）</w:t>
            </w:r>
          </w:p>
        </w:tc>
        <w:tc>
          <w:tcPr>
            <w:tcW w:w="3155" w:type="dxa"/>
            <w:tcBorders>
              <w:top w:val="nil"/>
              <w:left w:val="nil"/>
              <w:bottom w:val="single" w:color="auto" w:sz="4" w:space="0"/>
              <w:right w:val="single" w:color="auto" w:sz="4" w:space="0"/>
            </w:tcBorders>
            <w:noWrap/>
            <w:vAlign w:val="center"/>
          </w:tcPr>
          <w:p>
            <w:pPr>
              <w:jc w:val="center"/>
              <w:rPr>
                <w:rFonts w:ascii="方正仿宋简体" w:hAnsi="黑体" w:cs="黑体"/>
                <w:sz w:val="28"/>
                <w:szCs w:val="28"/>
              </w:rPr>
            </w:pPr>
            <w:r>
              <w:rPr>
                <w:rFonts w:hint="eastAsia" w:ascii="方正仿宋简体" w:hAnsi="黑体" w:cs="黑体"/>
                <w:sz w:val="28"/>
                <w:szCs w:val="28"/>
              </w:rPr>
              <w:t>2</w:t>
            </w:r>
          </w:p>
        </w:tc>
        <w:tc>
          <w:tcPr>
            <w:tcW w:w="5103" w:type="dxa"/>
            <w:tcBorders>
              <w:top w:val="nil"/>
              <w:left w:val="nil"/>
              <w:bottom w:val="single" w:color="auto" w:sz="4" w:space="0"/>
              <w:right w:val="single" w:color="auto" w:sz="4" w:space="0"/>
            </w:tcBorders>
            <w:noWrap/>
            <w:vAlign w:val="center"/>
          </w:tcPr>
          <w:p>
            <w:pPr>
              <w:jc w:val="center"/>
              <w:rPr>
                <w:rFonts w:ascii="方正仿宋简体" w:hAnsi="黑体" w:cs="黑体"/>
                <w:sz w:val="28"/>
                <w:szCs w:val="28"/>
              </w:rPr>
            </w:pPr>
            <w:r>
              <w:rPr>
                <w:rFonts w:hint="eastAsia" w:ascii="方正仿宋简体" w:hAnsi="黑体" w:cs="黑体"/>
                <w:sz w:val="28"/>
                <w:szCs w:val="28"/>
              </w:rPr>
              <w:t>36.46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3、单价在20万元以上的设备</w:t>
            </w:r>
          </w:p>
        </w:tc>
        <w:tc>
          <w:tcPr>
            <w:tcW w:w="3155" w:type="dxa"/>
            <w:tcBorders>
              <w:top w:val="nil"/>
              <w:left w:val="nil"/>
              <w:bottom w:val="single" w:color="auto" w:sz="4" w:space="0"/>
              <w:right w:val="single" w:color="auto" w:sz="4" w:space="0"/>
            </w:tcBorders>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0　</w:t>
            </w:r>
          </w:p>
        </w:tc>
        <w:tc>
          <w:tcPr>
            <w:tcW w:w="5103" w:type="dxa"/>
            <w:tcBorders>
              <w:top w:val="nil"/>
              <w:left w:val="nil"/>
              <w:bottom w:val="single" w:color="auto" w:sz="4" w:space="0"/>
              <w:right w:val="single" w:color="auto" w:sz="4" w:space="0"/>
            </w:tcBorders>
            <w:noWrap/>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0</w:t>
            </w:r>
          </w:p>
        </w:tc>
      </w:tr>
      <w:tr>
        <w:tblPrEx>
          <w:tblCellMar>
            <w:top w:w="0" w:type="dxa"/>
            <w:left w:w="108" w:type="dxa"/>
            <w:bottom w:w="0" w:type="dxa"/>
            <w:right w:w="108" w:type="dxa"/>
          </w:tblCellMar>
        </w:tblPrEx>
        <w:trPr>
          <w:trHeight w:val="524"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4、其他固定资产</w:t>
            </w:r>
          </w:p>
        </w:tc>
        <w:tc>
          <w:tcPr>
            <w:tcW w:w="3155" w:type="dxa"/>
            <w:tcBorders>
              <w:top w:val="single" w:color="auto" w:sz="4" w:space="0"/>
              <w:left w:val="nil"/>
              <w:bottom w:val="single" w:color="auto" w:sz="4" w:space="0"/>
              <w:right w:val="single" w:color="auto" w:sz="4" w:space="0"/>
            </w:tcBorders>
            <w:noWrap/>
            <w:vAlign w:val="center"/>
          </w:tcPr>
          <w:p>
            <w:pPr>
              <w:jc w:val="center"/>
              <w:rPr>
                <w:rFonts w:ascii="方正仿宋简体" w:hAnsi="黑体" w:cs="黑体"/>
                <w:sz w:val="28"/>
                <w:szCs w:val="28"/>
              </w:rPr>
            </w:pPr>
            <w:r>
              <w:rPr>
                <w:rFonts w:hint="eastAsia" w:ascii="方正仿宋简体" w:hAnsi="黑体" w:cs="黑体"/>
                <w:sz w:val="28"/>
                <w:szCs w:val="28"/>
              </w:rPr>
              <w:t>132</w:t>
            </w:r>
          </w:p>
        </w:tc>
        <w:tc>
          <w:tcPr>
            <w:tcW w:w="5103" w:type="dxa"/>
            <w:tcBorders>
              <w:top w:val="single" w:color="auto" w:sz="4" w:space="0"/>
              <w:left w:val="nil"/>
              <w:bottom w:val="single" w:color="auto" w:sz="4" w:space="0"/>
              <w:right w:val="single" w:color="auto" w:sz="4" w:space="0"/>
            </w:tcBorders>
            <w:noWrap/>
            <w:vAlign w:val="center"/>
          </w:tcPr>
          <w:p>
            <w:pPr>
              <w:jc w:val="center"/>
              <w:rPr>
                <w:rFonts w:ascii="方正仿宋简体" w:hAnsi="黑体" w:cs="黑体"/>
                <w:sz w:val="28"/>
                <w:szCs w:val="28"/>
              </w:rPr>
            </w:pPr>
            <w:r>
              <w:rPr>
                <w:rFonts w:hint="eastAsia" w:ascii="方正仿宋简体" w:hAnsi="黑体" w:cs="黑体"/>
                <w:sz w:val="28"/>
                <w:szCs w:val="28"/>
              </w:rPr>
              <w:t>107.52</w:t>
            </w:r>
          </w:p>
        </w:tc>
      </w:tr>
    </w:tbl>
    <w:p>
      <w:pPr>
        <w:ind w:firstLine="640"/>
        <w:rPr>
          <w:rFonts w:ascii="黑体" w:hAnsi="黑体" w:eastAsia="黑体" w:cs="黑体"/>
          <w:sz w:val="28"/>
          <w:szCs w:val="28"/>
        </w:rPr>
      </w:pPr>
    </w:p>
    <w:p>
      <w:pPr>
        <w:ind w:firstLine="800" w:firstLineChars="250"/>
        <w:rPr>
          <w:rFonts w:hint="eastAsia" w:ascii="方正黑体简体" w:hAnsi="宋体" w:eastAsia="方正黑体简体" w:cs="宋体"/>
          <w:bCs/>
          <w:sz w:val="32"/>
          <w:szCs w:val="32"/>
        </w:rPr>
      </w:pPr>
    </w:p>
    <w:p>
      <w:pPr>
        <w:ind w:firstLine="800" w:firstLineChars="250"/>
        <w:rPr>
          <w:rFonts w:hint="eastAsia" w:ascii="方正黑体简体" w:hAnsi="宋体" w:eastAsia="方正黑体简体" w:cs="宋体"/>
          <w:bCs/>
          <w:sz w:val="32"/>
          <w:szCs w:val="32"/>
        </w:rPr>
      </w:pPr>
    </w:p>
    <w:p>
      <w:pPr>
        <w:ind w:firstLine="800" w:firstLineChars="250"/>
        <w:rPr>
          <w:rFonts w:hint="eastAsia" w:ascii="方正黑体简体" w:hAnsi="宋体" w:eastAsia="方正黑体简体" w:cs="宋体"/>
          <w:bCs/>
          <w:sz w:val="32"/>
          <w:szCs w:val="32"/>
        </w:rPr>
      </w:pPr>
    </w:p>
    <w:p>
      <w:pPr>
        <w:ind w:firstLine="800" w:firstLineChars="250"/>
        <w:rPr>
          <w:rFonts w:hint="eastAsia" w:ascii="方正黑体简体" w:hAnsi="宋体" w:eastAsia="方正黑体简体" w:cs="宋体"/>
          <w:bCs/>
          <w:sz w:val="32"/>
          <w:szCs w:val="32"/>
        </w:rPr>
      </w:pPr>
    </w:p>
    <w:p>
      <w:pPr>
        <w:ind w:firstLine="800" w:firstLineChars="250"/>
        <w:rPr>
          <w:rFonts w:hint="eastAsia" w:ascii="方正黑体简体" w:hAnsi="宋体" w:eastAsia="方正黑体简体" w:cs="宋体"/>
          <w:bCs/>
          <w:sz w:val="32"/>
          <w:szCs w:val="32"/>
        </w:rPr>
      </w:pPr>
    </w:p>
    <w:p>
      <w:pPr>
        <w:ind w:firstLine="800" w:firstLineChars="250"/>
        <w:rPr>
          <w:rFonts w:hint="eastAsia" w:ascii="方正黑体简体" w:hAnsi="宋体" w:eastAsia="方正黑体简体" w:cs="宋体"/>
          <w:bCs/>
          <w:sz w:val="32"/>
          <w:szCs w:val="32"/>
        </w:rPr>
      </w:pPr>
    </w:p>
    <w:p>
      <w:pPr>
        <w:ind w:firstLine="800" w:firstLineChars="250"/>
        <w:rPr>
          <w:rFonts w:hint="eastAsia" w:ascii="方正黑体简体" w:hAnsi="宋体" w:eastAsia="方正黑体简体" w:cs="宋体"/>
          <w:bCs/>
          <w:sz w:val="32"/>
          <w:szCs w:val="32"/>
        </w:rPr>
      </w:pPr>
    </w:p>
    <w:p>
      <w:pPr>
        <w:ind w:firstLine="800" w:firstLineChars="250"/>
        <w:rPr>
          <w:rFonts w:hint="eastAsia" w:ascii="方正黑体简体" w:hAnsi="宋体" w:eastAsia="方正黑体简体" w:cs="宋体"/>
          <w:bCs/>
          <w:sz w:val="32"/>
          <w:szCs w:val="32"/>
        </w:rPr>
      </w:pPr>
    </w:p>
    <w:p>
      <w:pPr>
        <w:pStyle w:val="3"/>
        <w:ind w:left="0" w:leftChars="0" w:firstLine="0" w:firstLineChars="0"/>
        <w:rPr>
          <w:rFonts w:hint="eastAsia"/>
        </w:rPr>
      </w:pPr>
    </w:p>
    <w:p>
      <w:pPr>
        <w:ind w:firstLine="800" w:firstLineChars="250"/>
        <w:rPr>
          <w:rFonts w:ascii="方正黑体简体" w:hAnsi="宋体" w:eastAsia="方正黑体简体" w:cs="宋体"/>
          <w:bCs/>
          <w:sz w:val="32"/>
          <w:szCs w:val="32"/>
        </w:rPr>
      </w:pPr>
      <w:r>
        <w:rPr>
          <w:rFonts w:hint="eastAsia" w:ascii="方正黑体简体" w:hAnsi="宋体" w:eastAsia="方正黑体简体" w:cs="宋体"/>
          <w:bCs/>
          <w:sz w:val="32"/>
          <w:szCs w:val="32"/>
        </w:rPr>
        <w:t>八、专业名词解释</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lang w:eastAsia="zh-CN"/>
        </w:rPr>
        <w:t>（一）</w:t>
      </w:r>
      <w:r>
        <w:rPr>
          <w:rFonts w:hint="eastAsia" w:ascii="方正仿宋简体" w:hAnsi="宋体" w:eastAsia="方正仿宋简体" w:cs="宋体"/>
          <w:sz w:val="32"/>
          <w:szCs w:val="32"/>
        </w:rPr>
        <w:t>一般公共预算拨款收入：指财政当年拨付的资金。</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lang w:eastAsia="zh-CN"/>
        </w:rPr>
        <w:t>（二）</w:t>
      </w:r>
      <w:r>
        <w:rPr>
          <w:rFonts w:hint="eastAsia" w:ascii="方正仿宋简体" w:hAnsi="宋体" w:eastAsia="方正仿宋简体" w:cs="宋体"/>
          <w:sz w:val="32"/>
          <w:szCs w:val="32"/>
        </w:rPr>
        <w:t>事业收入：指事业单位开展专业业务活动及辅助活动所取得的收入。</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lang w:eastAsia="zh-CN"/>
        </w:rPr>
        <w:t>（三）</w:t>
      </w:r>
      <w:r>
        <w:rPr>
          <w:rFonts w:hint="eastAsia" w:ascii="方正仿宋简体" w:hAnsi="宋体" w:eastAsia="方正仿宋简体" w:cs="宋体"/>
          <w:sz w:val="32"/>
          <w:szCs w:val="32"/>
        </w:rPr>
        <w:t>其他收入：指除上述“财政拨款收入”、“事业收入”等以外的收入。主要是按规定动用的租房收入、存款利息收入等。</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lang w:eastAsia="zh-CN"/>
        </w:rPr>
        <w:t>（四）</w:t>
      </w:r>
      <w:r>
        <w:rPr>
          <w:rFonts w:hint="eastAsia" w:ascii="方正仿宋简体" w:hAnsi="宋体" w:eastAsia="方正仿宋简体" w:cs="宋体"/>
          <w:sz w:val="32"/>
          <w:szCs w:val="32"/>
        </w:rPr>
        <w:t>基本支出：指为保障机构正常运转、完成日常工作任务而发生的人员支出和公用支出。</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lang w:eastAsia="zh-CN"/>
        </w:rPr>
        <w:t>（五）</w:t>
      </w:r>
      <w:r>
        <w:rPr>
          <w:rFonts w:hint="eastAsia" w:ascii="方正仿宋简体" w:hAnsi="宋体" w:eastAsia="方正仿宋简体" w:cs="宋体"/>
          <w:sz w:val="32"/>
          <w:szCs w:val="32"/>
        </w:rPr>
        <w:t>项目支出：指在基本支出之外为完成特定行政任务和事业发展目标所发生的支出。</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lang w:eastAsia="zh-CN"/>
        </w:rPr>
        <w:t>（六）</w:t>
      </w:r>
      <w:r>
        <w:rPr>
          <w:rFonts w:hint="eastAsia" w:ascii="方正仿宋简体" w:hAnsi="宋体" w:eastAsia="方正仿宋简体" w:cs="宋体"/>
          <w:sz w:val="32"/>
          <w:szCs w:val="32"/>
        </w:rPr>
        <w:t>上缴上级支出：指所属单位上缴上级的支出。</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lang w:eastAsia="zh-CN"/>
        </w:rPr>
        <w:t>（七）</w:t>
      </w:r>
      <w:r>
        <w:rPr>
          <w:rFonts w:hint="eastAsia" w:ascii="方正仿宋简体" w:hAnsi="宋体" w:eastAsia="方正仿宋简体" w:cs="宋体"/>
          <w:sz w:val="32"/>
          <w:szCs w:val="32"/>
        </w:rPr>
        <w:t>“三公”经费：纳入财政预算管理的“三公”经费，是指各</w:t>
      </w:r>
      <w:r>
        <w:rPr>
          <w:rFonts w:hint="eastAsia" w:ascii="方正仿宋简体" w:hAnsi="宋体" w:eastAsia="方正仿宋简体" w:cs="宋体"/>
          <w:sz w:val="32"/>
          <w:szCs w:val="32"/>
          <w:lang w:eastAsia="zh-CN"/>
        </w:rPr>
        <w:t>本级</w:t>
      </w:r>
      <w:r>
        <w:rPr>
          <w:rFonts w:hint="eastAsia" w:ascii="方正仿宋简体" w:hAnsi="宋体" w:eastAsia="方正仿宋简体" w:cs="宋体"/>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ind w:firstLine="640" w:firstLineChars="200"/>
        <w:rPr>
          <w:rFonts w:ascii="方正仿宋简体" w:hAnsi="黑体" w:eastAsia="方正仿宋简体" w:cs="黑体"/>
          <w:sz w:val="32"/>
          <w:szCs w:val="32"/>
        </w:rPr>
      </w:pPr>
      <w:r>
        <w:rPr>
          <w:rFonts w:hint="eastAsia" w:ascii="方正仿宋简体" w:hAnsi="宋体" w:eastAsia="方正仿宋简体" w:cs="宋体"/>
          <w:sz w:val="32"/>
          <w:szCs w:val="32"/>
          <w:lang w:eastAsia="zh-CN"/>
        </w:rPr>
        <w:t>（八）</w:t>
      </w:r>
      <w:r>
        <w:rPr>
          <w:rFonts w:hint="eastAsia" w:ascii="方正仿宋简体" w:hAnsi="宋体" w:eastAsia="方正仿宋简体" w:cs="宋体"/>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0" w:firstLineChars="250"/>
        <w:rPr>
          <w:rFonts w:ascii="方正黑体简体" w:hAnsi="宋体" w:eastAsia="方正黑体简体" w:cs="宋体"/>
          <w:bCs/>
          <w:sz w:val="32"/>
          <w:szCs w:val="32"/>
        </w:rPr>
      </w:pPr>
      <w:r>
        <w:rPr>
          <w:rFonts w:hint="eastAsia" w:ascii="方正黑体简体" w:hAnsi="宋体" w:eastAsia="方正黑体简体" w:cs="宋体"/>
          <w:bCs/>
          <w:sz w:val="32"/>
          <w:szCs w:val="32"/>
        </w:rPr>
        <w:t xml:space="preserve">  九、其他需要说明的事项</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lang w:eastAsia="zh-CN"/>
        </w:rPr>
        <w:t>（一）</w:t>
      </w:r>
      <w:r>
        <w:rPr>
          <w:rFonts w:hint="eastAsia" w:ascii="方正仿宋简体" w:hAnsi="宋体" w:eastAsia="方正仿宋简体" w:cs="宋体"/>
          <w:sz w:val="32"/>
          <w:szCs w:val="32"/>
        </w:rPr>
        <w:t>遵化市马兰峪镇政府2022年</w:t>
      </w:r>
      <w:r>
        <w:rPr>
          <w:rFonts w:hint="eastAsia" w:ascii="方正仿宋简体" w:hAnsi="宋体" w:eastAsia="方正仿宋简体" w:cs="宋体"/>
          <w:sz w:val="32"/>
          <w:szCs w:val="32"/>
          <w:lang w:eastAsia="zh-CN"/>
        </w:rPr>
        <w:t>本级</w:t>
      </w:r>
      <w:r>
        <w:rPr>
          <w:rFonts w:hint="eastAsia" w:ascii="方正仿宋简体" w:hAnsi="宋体" w:eastAsia="方正仿宋简体" w:cs="宋体"/>
          <w:sz w:val="32"/>
          <w:szCs w:val="32"/>
        </w:rPr>
        <w:t>预算中未安排政府性基金预算，故政府性基金预算支出表为空。</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lang w:eastAsia="zh-CN"/>
        </w:rPr>
        <w:t>（二）</w:t>
      </w:r>
      <w:r>
        <w:rPr>
          <w:rFonts w:hint="eastAsia" w:ascii="方正仿宋简体" w:hAnsi="宋体" w:eastAsia="方正仿宋简体" w:cs="宋体"/>
          <w:sz w:val="32"/>
          <w:szCs w:val="32"/>
        </w:rPr>
        <w:t>遵化市马兰峪政府2022年</w:t>
      </w:r>
      <w:r>
        <w:rPr>
          <w:rFonts w:hint="eastAsia" w:ascii="方正仿宋简体" w:hAnsi="宋体" w:eastAsia="方正仿宋简体" w:cs="宋体"/>
          <w:sz w:val="32"/>
          <w:szCs w:val="32"/>
          <w:lang w:eastAsia="zh-CN"/>
        </w:rPr>
        <w:t>本级</w:t>
      </w:r>
      <w:r>
        <w:rPr>
          <w:rFonts w:hint="eastAsia" w:ascii="方正仿宋简体" w:hAnsi="宋体" w:eastAsia="方正仿宋简体" w:cs="宋体"/>
          <w:sz w:val="32"/>
          <w:szCs w:val="32"/>
        </w:rPr>
        <w:t>预算中未安排国有资本经营预算，故国有资本经营预算支出表为空。</w:t>
      </w:r>
    </w:p>
    <w:p>
      <w:pPr>
        <w:spacing w:line="570" w:lineRule="exact"/>
        <w:ind w:firstLine="640" w:firstLineChars="200"/>
        <w:rPr>
          <w:rFonts w:ascii="方正仿宋简体" w:hAnsi="宋体" w:eastAsia="方正仿宋简体" w:cs="宋体"/>
          <w:sz w:val="32"/>
          <w:szCs w:val="32"/>
        </w:rPr>
      </w:pPr>
      <w:r>
        <w:rPr>
          <w:rFonts w:hint="eastAsia" w:ascii="方正仿宋简体" w:hAnsi="宋体" w:eastAsia="方正仿宋简体" w:cs="宋体"/>
          <w:sz w:val="32"/>
          <w:szCs w:val="32"/>
          <w:lang w:eastAsia="zh-CN"/>
        </w:rPr>
        <w:t>（三）</w:t>
      </w:r>
      <w:r>
        <w:rPr>
          <w:rFonts w:hint="eastAsia" w:ascii="方正仿宋简体" w:hAnsi="宋体" w:eastAsia="方正仿宋简体" w:cs="宋体"/>
          <w:sz w:val="32"/>
          <w:szCs w:val="32"/>
        </w:rPr>
        <w:t>遵化市马兰峪政府2022年</w:t>
      </w:r>
      <w:r>
        <w:rPr>
          <w:rFonts w:hint="eastAsia" w:ascii="方正仿宋简体" w:hAnsi="宋体" w:eastAsia="方正仿宋简体" w:cs="宋体"/>
          <w:sz w:val="32"/>
          <w:szCs w:val="32"/>
          <w:lang w:eastAsia="zh-CN"/>
        </w:rPr>
        <w:t>本级</w:t>
      </w:r>
      <w:r>
        <w:rPr>
          <w:rFonts w:hint="eastAsia" w:ascii="方正仿宋简体" w:hAnsi="宋体" w:eastAsia="方正仿宋简体" w:cs="宋体"/>
          <w:sz w:val="32"/>
          <w:szCs w:val="32"/>
        </w:rPr>
        <w:t>预算中未安排固定资产预算，故固定资产占用情况表为空表。</w:t>
      </w:r>
    </w:p>
    <w:p>
      <w:pPr>
        <w:spacing w:line="570" w:lineRule="exact"/>
        <w:ind w:firstLine="640" w:firstLineChars="200"/>
      </w:pPr>
      <w:r>
        <w:rPr>
          <w:rFonts w:hint="eastAsia" w:ascii="方正仿宋简体" w:hAnsi="宋体" w:eastAsia="方正仿宋简体" w:cs="宋体"/>
          <w:sz w:val="32"/>
          <w:szCs w:val="32"/>
          <w:lang w:eastAsia="zh-CN"/>
        </w:rPr>
        <w:t>（四）</w:t>
      </w:r>
      <w:r>
        <w:rPr>
          <w:rFonts w:hint="eastAsia" w:ascii="方正仿宋简体" w:hAnsi="宋体" w:eastAsia="方正仿宋简体" w:cs="宋体"/>
          <w:sz w:val="32"/>
          <w:szCs w:val="32"/>
        </w:rPr>
        <w:t>由于预算公开表格中金额数值应当保留两位小数，公开数据为四舍五入计算结果，个别数据合计项与分项之和存在小数点后差额，特此说明。</w:t>
      </w:r>
    </w:p>
    <w:sectPr>
      <w:headerReference r:id="rId7" w:type="default"/>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14799"/>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7399"/>
        <w:tab w:val="clear" w:pos="4153"/>
        <w:tab w:val="clear" w:pos="8306"/>
      </w:tabs>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firstLineChars="2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firstLineChars="20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D4BDF"/>
    <w:multiLevelType w:val="singleLevel"/>
    <w:tmpl w:val="89ED4BDF"/>
    <w:lvl w:ilvl="0" w:tentative="0">
      <w:start w:val="8"/>
      <w:numFmt w:val="chineseCounting"/>
      <w:suff w:val="nothing"/>
      <w:lvlText w:val="（%1）"/>
      <w:lvlJc w:val="left"/>
      <w:rPr>
        <w:rFonts w:hint="eastAsia"/>
      </w:rPr>
    </w:lvl>
  </w:abstractNum>
  <w:abstractNum w:abstractNumId="1">
    <w:nsid w:val="00000007"/>
    <w:multiLevelType w:val="singleLevel"/>
    <w:tmpl w:val="00000007"/>
    <w:lvl w:ilvl="0" w:tentative="0">
      <w:start w:val="1"/>
      <w:numFmt w:val="chineseCounting"/>
      <w:suff w:val="space"/>
      <w:lvlText w:val="%1、"/>
      <w:lvlJc w:val="left"/>
      <w:pPr>
        <w:ind w:left="420" w:firstLine="0"/>
      </w:pPr>
    </w:lvl>
  </w:abstractNum>
  <w:abstractNum w:abstractNumId="2">
    <w:nsid w:val="6B9DA865"/>
    <w:multiLevelType w:val="singleLevel"/>
    <w:tmpl w:val="6B9DA865"/>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4ZDIwYmYyMmJkOTliNmNkZWM2ZTMxY2QwODY3ODAifQ=="/>
  </w:docVars>
  <w:rsids>
    <w:rsidRoot w:val="009D4D98"/>
    <w:rsid w:val="000B26F5"/>
    <w:rsid w:val="000D6A02"/>
    <w:rsid w:val="00185547"/>
    <w:rsid w:val="001A3995"/>
    <w:rsid w:val="00301D31"/>
    <w:rsid w:val="00337BCC"/>
    <w:rsid w:val="00382CFE"/>
    <w:rsid w:val="004F199E"/>
    <w:rsid w:val="006329BB"/>
    <w:rsid w:val="006925F0"/>
    <w:rsid w:val="00882954"/>
    <w:rsid w:val="008A6435"/>
    <w:rsid w:val="0095391B"/>
    <w:rsid w:val="009D4D98"/>
    <w:rsid w:val="00AF264B"/>
    <w:rsid w:val="00B91AFD"/>
    <w:rsid w:val="00E41243"/>
    <w:rsid w:val="00E92817"/>
    <w:rsid w:val="00EE2E69"/>
    <w:rsid w:val="01B641E4"/>
    <w:rsid w:val="027F645F"/>
    <w:rsid w:val="0291336A"/>
    <w:rsid w:val="037A6BAB"/>
    <w:rsid w:val="041F1798"/>
    <w:rsid w:val="04436C74"/>
    <w:rsid w:val="050B75BE"/>
    <w:rsid w:val="05713DAA"/>
    <w:rsid w:val="061D7AA1"/>
    <w:rsid w:val="0829392F"/>
    <w:rsid w:val="0986643B"/>
    <w:rsid w:val="09D66CEF"/>
    <w:rsid w:val="0A0816AA"/>
    <w:rsid w:val="0ACC3D5E"/>
    <w:rsid w:val="0C6447C1"/>
    <w:rsid w:val="0CB15182"/>
    <w:rsid w:val="0DD310A7"/>
    <w:rsid w:val="0FC358CF"/>
    <w:rsid w:val="12751F59"/>
    <w:rsid w:val="12D92633"/>
    <w:rsid w:val="13532C61"/>
    <w:rsid w:val="1382635F"/>
    <w:rsid w:val="14CE7815"/>
    <w:rsid w:val="16240C7D"/>
    <w:rsid w:val="165027E8"/>
    <w:rsid w:val="16A13733"/>
    <w:rsid w:val="18067EE2"/>
    <w:rsid w:val="18E27916"/>
    <w:rsid w:val="19BE6C44"/>
    <w:rsid w:val="1B5A7ECD"/>
    <w:rsid w:val="21F06B76"/>
    <w:rsid w:val="24E5569E"/>
    <w:rsid w:val="25F33774"/>
    <w:rsid w:val="267F4B14"/>
    <w:rsid w:val="269A7A44"/>
    <w:rsid w:val="27492FD5"/>
    <w:rsid w:val="286C558F"/>
    <w:rsid w:val="2BAD2AC1"/>
    <w:rsid w:val="2FBE03B0"/>
    <w:rsid w:val="2FEA4E51"/>
    <w:rsid w:val="2FEC137B"/>
    <w:rsid w:val="309976B3"/>
    <w:rsid w:val="34757C18"/>
    <w:rsid w:val="36E72F94"/>
    <w:rsid w:val="3A8345DD"/>
    <w:rsid w:val="3AB54680"/>
    <w:rsid w:val="3BE8391D"/>
    <w:rsid w:val="3D692250"/>
    <w:rsid w:val="450569E9"/>
    <w:rsid w:val="45E375CE"/>
    <w:rsid w:val="4748635E"/>
    <w:rsid w:val="47C240A1"/>
    <w:rsid w:val="47FA489D"/>
    <w:rsid w:val="4A147FD5"/>
    <w:rsid w:val="4D526247"/>
    <w:rsid w:val="4DB21698"/>
    <w:rsid w:val="508F2D43"/>
    <w:rsid w:val="51D11470"/>
    <w:rsid w:val="5203093B"/>
    <w:rsid w:val="53484D36"/>
    <w:rsid w:val="569476BE"/>
    <w:rsid w:val="571F52AF"/>
    <w:rsid w:val="576E66F6"/>
    <w:rsid w:val="57852F1D"/>
    <w:rsid w:val="57EF1FE3"/>
    <w:rsid w:val="596166E9"/>
    <w:rsid w:val="59E81FBA"/>
    <w:rsid w:val="5A6B5367"/>
    <w:rsid w:val="5BDE7D75"/>
    <w:rsid w:val="5F24787B"/>
    <w:rsid w:val="621A730F"/>
    <w:rsid w:val="658C4B11"/>
    <w:rsid w:val="66E32546"/>
    <w:rsid w:val="679E4254"/>
    <w:rsid w:val="680F57CB"/>
    <w:rsid w:val="681D00AA"/>
    <w:rsid w:val="684D6D14"/>
    <w:rsid w:val="68910B89"/>
    <w:rsid w:val="68C221F6"/>
    <w:rsid w:val="6A154A4F"/>
    <w:rsid w:val="6ABC29B1"/>
    <w:rsid w:val="6C5004C7"/>
    <w:rsid w:val="6C7E454E"/>
    <w:rsid w:val="6CED1BDC"/>
    <w:rsid w:val="6D474496"/>
    <w:rsid w:val="6D4A6C76"/>
    <w:rsid w:val="6F491593"/>
    <w:rsid w:val="6FAC5A46"/>
    <w:rsid w:val="70244ABB"/>
    <w:rsid w:val="72B607C5"/>
    <w:rsid w:val="7399429F"/>
    <w:rsid w:val="739E3F63"/>
    <w:rsid w:val="741C14D5"/>
    <w:rsid w:val="747F7B95"/>
    <w:rsid w:val="76106B47"/>
    <w:rsid w:val="768A358E"/>
    <w:rsid w:val="76C123FB"/>
    <w:rsid w:val="76CA5674"/>
    <w:rsid w:val="76EB72C7"/>
    <w:rsid w:val="771221A0"/>
    <w:rsid w:val="775C0830"/>
    <w:rsid w:val="79FC1049"/>
    <w:rsid w:val="7A91719D"/>
    <w:rsid w:val="7ACF2EE5"/>
    <w:rsid w:val="7C4F0B69"/>
    <w:rsid w:val="7CBB6C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keepNext/>
      <w:keepLines/>
      <w:spacing w:line="576" w:lineRule="auto"/>
      <w:outlineLvl w:val="0"/>
    </w:pPr>
    <w:rPr>
      <w:b/>
      <w:kern w:val="44"/>
      <w:sz w:val="44"/>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basedOn w:val="1"/>
    <w:next w:val="3"/>
    <w:autoRedefine/>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cs="宋体"/>
      <w:sz w:val="28"/>
      <w:szCs w:val="20"/>
    </w:rPr>
  </w:style>
  <w:style w:type="paragraph" w:styleId="5">
    <w:name w:val="toc 3"/>
    <w:basedOn w:val="1"/>
    <w:next w:val="1"/>
    <w:unhideWhenUsed/>
    <w:qFormat/>
    <w:uiPriority w:val="39"/>
    <w:pPr>
      <w:ind w:left="840" w:leftChars="400"/>
    </w:pPr>
  </w:style>
  <w:style w:type="paragraph" w:styleId="6">
    <w:name w:val="Balloon Text"/>
    <w:basedOn w:val="1"/>
    <w:link w:val="30"/>
    <w:qFormat/>
    <w:uiPriority w:val="0"/>
    <w:rPr>
      <w:sz w:val="18"/>
      <w:szCs w:val="18"/>
    </w:rPr>
  </w:style>
  <w:style w:type="paragraph" w:styleId="7">
    <w:name w:val="footer"/>
    <w:basedOn w:val="1"/>
    <w:link w:val="28"/>
    <w:autoRedefine/>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0">
    <w:name w:val="toc 4"/>
    <w:basedOn w:val="1"/>
    <w:next w:val="1"/>
    <w:autoRedefine/>
    <w:unhideWhenUsed/>
    <w:qFormat/>
    <w:uiPriority w:val="39"/>
    <w:pPr>
      <w:ind w:left="1260" w:leftChars="600"/>
    </w:pPr>
  </w:style>
  <w:style w:type="paragraph" w:styleId="11">
    <w:name w:val="toc 2"/>
    <w:basedOn w:val="1"/>
    <w:next w:val="1"/>
    <w:unhideWhenUsed/>
    <w:qFormat/>
    <w:uiPriority w:val="39"/>
    <w:pPr>
      <w:ind w:left="420" w:leftChars="200"/>
    </w:pPr>
  </w:style>
  <w:style w:type="character" w:styleId="14">
    <w:name w:val="page number"/>
    <w:basedOn w:val="13"/>
    <w:qFormat/>
    <w:uiPriority w:val="99"/>
    <w:rPr>
      <w:rFonts w:cs="Times New Roman"/>
    </w:rPr>
  </w:style>
  <w:style w:type="character" w:styleId="15">
    <w:name w:val="Hyperlink"/>
    <w:basedOn w:val="13"/>
    <w:unhideWhenUsed/>
    <w:qFormat/>
    <w:uiPriority w:val="99"/>
    <w:rPr>
      <w:color w:val="0000FF"/>
      <w:u w:val="single"/>
    </w:rPr>
  </w:style>
  <w:style w:type="character" w:customStyle="1" w:styleId="16">
    <w:name w:val="font11"/>
    <w:basedOn w:val="13"/>
    <w:autoRedefine/>
    <w:qFormat/>
    <w:uiPriority w:val="0"/>
    <w:rPr>
      <w:rFonts w:hint="default" w:ascii="方正书宋_GBK" w:hAnsi="方正书宋_GBK" w:eastAsia="方正书宋_GBK" w:cs="方正书宋_GBK"/>
      <w:b/>
      <w:color w:val="000000"/>
      <w:sz w:val="21"/>
      <w:szCs w:val="21"/>
      <w:u w:val="none"/>
    </w:rPr>
  </w:style>
  <w:style w:type="character" w:customStyle="1" w:styleId="17">
    <w:name w:val="font31"/>
    <w:basedOn w:val="13"/>
    <w:qFormat/>
    <w:uiPriority w:val="0"/>
    <w:rPr>
      <w:rFonts w:hint="default" w:ascii="方正书宋_GBK" w:hAnsi="方正书宋_GBK" w:eastAsia="方正书宋_GBK" w:cs="方正书宋_GBK"/>
      <w:b/>
      <w:color w:val="000000"/>
      <w:sz w:val="21"/>
      <w:szCs w:val="21"/>
      <w:u w:val="none"/>
    </w:rPr>
  </w:style>
  <w:style w:type="character" w:customStyle="1" w:styleId="18">
    <w:name w:val="font81"/>
    <w:basedOn w:val="13"/>
    <w:qFormat/>
    <w:uiPriority w:val="0"/>
    <w:rPr>
      <w:rFonts w:hint="default" w:ascii="Times New Roman" w:hAnsi="Times New Roman" w:cs="Times New Roman"/>
      <w:b/>
      <w:color w:val="000000"/>
      <w:sz w:val="22"/>
      <w:szCs w:val="22"/>
      <w:u w:val="none"/>
    </w:rPr>
  </w:style>
  <w:style w:type="character" w:customStyle="1" w:styleId="19">
    <w:name w:val="font21"/>
    <w:basedOn w:val="13"/>
    <w:autoRedefine/>
    <w:qFormat/>
    <w:uiPriority w:val="0"/>
    <w:rPr>
      <w:rFonts w:hint="default" w:ascii="Times New Roman" w:hAnsi="Times New Roman" w:cs="Times New Roman"/>
      <w:b/>
      <w:color w:val="000000"/>
      <w:sz w:val="22"/>
      <w:szCs w:val="22"/>
      <w:u w:val="none"/>
    </w:rPr>
  </w:style>
  <w:style w:type="paragraph" w:customStyle="1" w:styleId="20">
    <w:name w:val="插入文本样式-插入总体目标文件"/>
    <w:basedOn w:val="1"/>
    <w:qFormat/>
    <w:uiPriority w:val="0"/>
    <w:pPr>
      <w:spacing w:line="500" w:lineRule="exact"/>
      <w:ind w:firstLine="560"/>
      <w:jc w:val="left"/>
    </w:pPr>
    <w:rPr>
      <w:rFonts w:ascii="Times New Roman" w:hAnsi="Times New Roman" w:eastAsia="方正仿宋_GBK"/>
      <w:sz w:val="28"/>
    </w:rPr>
  </w:style>
  <w:style w:type="paragraph" w:customStyle="1" w:styleId="21">
    <w:name w:val="插入文本样式-插入职责分类绩效目标文件"/>
    <w:basedOn w:val="1"/>
    <w:qFormat/>
    <w:uiPriority w:val="0"/>
    <w:pPr>
      <w:spacing w:line="500" w:lineRule="exact"/>
      <w:ind w:firstLine="560"/>
      <w:jc w:val="left"/>
    </w:pPr>
    <w:rPr>
      <w:rFonts w:ascii="Times New Roman" w:hAnsi="Times New Roman" w:eastAsia="方正仿宋_GBK"/>
      <w:sz w:val="28"/>
    </w:rPr>
  </w:style>
  <w:style w:type="paragraph" w:customStyle="1" w:styleId="22">
    <w:name w:val="插入文本样式-插入实现年度发展规划目标的保障措施文件"/>
    <w:basedOn w:val="1"/>
    <w:autoRedefine/>
    <w:qFormat/>
    <w:uiPriority w:val="0"/>
    <w:pPr>
      <w:spacing w:line="500" w:lineRule="exact"/>
      <w:ind w:firstLine="560"/>
      <w:jc w:val="left"/>
    </w:pPr>
    <w:rPr>
      <w:rFonts w:ascii="Times New Roman" w:hAnsi="Times New Roman" w:eastAsia="方正仿宋_GBK"/>
      <w:sz w:val="28"/>
    </w:rPr>
  </w:style>
  <w:style w:type="paragraph" w:customStyle="1" w:styleId="23">
    <w:name w:val="单元格样式5"/>
    <w:basedOn w:val="1"/>
    <w:qFormat/>
    <w:uiPriority w:val="0"/>
    <w:pPr>
      <w:jc w:val="left"/>
    </w:pPr>
    <w:rPr>
      <w:rFonts w:ascii="方正书宋_GBK" w:hAnsi="方正书宋_GBK" w:eastAsia="方正书宋_GBK" w:cs="方正书宋_GBK"/>
      <w:b/>
    </w:rPr>
  </w:style>
  <w:style w:type="paragraph" w:customStyle="1" w:styleId="24">
    <w:name w:val="单元格样式4"/>
    <w:basedOn w:val="1"/>
    <w:qFormat/>
    <w:uiPriority w:val="0"/>
    <w:pPr>
      <w:jc w:val="right"/>
    </w:pPr>
    <w:rPr>
      <w:rFonts w:ascii="方正书宋_GBK" w:hAnsi="方正书宋_GBK" w:eastAsia="方正书宋_GBK" w:cs="方正书宋_GBK"/>
    </w:rPr>
  </w:style>
  <w:style w:type="paragraph" w:customStyle="1" w:styleId="25">
    <w:name w:val="单元格样式1"/>
    <w:basedOn w:val="1"/>
    <w:autoRedefine/>
    <w:qFormat/>
    <w:uiPriority w:val="0"/>
    <w:pPr>
      <w:jc w:val="center"/>
    </w:pPr>
    <w:rPr>
      <w:rFonts w:ascii="方正书宋_GBK" w:hAnsi="方正书宋_GBK" w:eastAsia="方正书宋_GBK" w:cs="方正书宋_GBK"/>
      <w:b/>
    </w:rPr>
  </w:style>
  <w:style w:type="paragraph" w:customStyle="1" w:styleId="26">
    <w:name w:val="单元格样式2"/>
    <w:basedOn w:val="1"/>
    <w:qFormat/>
    <w:uiPriority w:val="0"/>
    <w:pPr>
      <w:jc w:val="left"/>
    </w:pPr>
    <w:rPr>
      <w:rFonts w:ascii="方正书宋_GBK" w:hAnsi="方正书宋_GBK" w:eastAsia="方正书宋_GBK" w:cs="方正书宋_GBK"/>
    </w:rPr>
  </w:style>
  <w:style w:type="paragraph" w:customStyle="1" w:styleId="27">
    <w:name w:val="单元格样式3"/>
    <w:basedOn w:val="1"/>
    <w:qFormat/>
    <w:uiPriority w:val="0"/>
    <w:pPr>
      <w:jc w:val="center"/>
    </w:pPr>
    <w:rPr>
      <w:rFonts w:ascii="方正书宋_GBK" w:hAnsi="方正书宋_GBK" w:eastAsia="方正书宋_GBK" w:cs="方正书宋_GBK"/>
    </w:rPr>
  </w:style>
  <w:style w:type="character" w:customStyle="1" w:styleId="28">
    <w:name w:val="页脚 Char"/>
    <w:basedOn w:val="13"/>
    <w:link w:val="7"/>
    <w:autoRedefine/>
    <w:qFormat/>
    <w:uiPriority w:val="99"/>
    <w:rPr>
      <w:kern w:val="2"/>
      <w:sz w:val="18"/>
      <w:szCs w:val="18"/>
    </w:rPr>
  </w:style>
  <w:style w:type="paragraph" w:customStyle="1" w:styleId="29">
    <w:name w:val="TOC Heading"/>
    <w:basedOn w:val="4"/>
    <w:next w:val="1"/>
    <w:semiHidden/>
    <w:unhideWhenUsed/>
    <w:qFormat/>
    <w:uiPriority w:val="39"/>
    <w:pPr>
      <w:widowControl/>
      <w:spacing w:before="480" w:line="276" w:lineRule="auto"/>
      <w:jc w:val="left"/>
      <w:outlineLvl w:val="9"/>
    </w:pPr>
    <w:rPr>
      <w:rFonts w:asciiTheme="majorHAnsi" w:hAnsiTheme="majorHAnsi" w:eastAsiaTheme="majorEastAsia" w:cstheme="majorBidi"/>
      <w:bCs/>
      <w:color w:val="2E75B5" w:themeColor="accent1" w:themeShade="BF"/>
      <w:kern w:val="0"/>
      <w:sz w:val="28"/>
      <w:szCs w:val="28"/>
    </w:rPr>
  </w:style>
  <w:style w:type="character" w:customStyle="1" w:styleId="30">
    <w:name w:val="批注框文本 Char"/>
    <w:basedOn w:val="13"/>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16627C-5099-4D02-8B2F-D4FE0C151EE1}">
  <ds:schemaRefs/>
</ds:datastoreItem>
</file>

<file path=docProps/app.xml><?xml version="1.0" encoding="utf-8"?>
<Properties xmlns="http://schemas.openxmlformats.org/officeDocument/2006/extended-properties" xmlns:vt="http://schemas.openxmlformats.org/officeDocument/2006/docPropsVTypes">
  <Template>Normal</Template>
  <Pages>37</Pages>
  <Words>11140</Words>
  <Characters>12708</Characters>
  <Lines>85</Lines>
  <Paragraphs>24</Paragraphs>
  <TotalTime>0</TotalTime>
  <ScaleCrop>false</ScaleCrop>
  <LinksUpToDate>false</LinksUpToDate>
  <CharactersWithSpaces>12770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2022-05-22T03:08:00Z</cp:lastPrinted>
  <dcterms:modified xsi:type="dcterms:W3CDTF">2024-03-19T03:02:59Z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605A4E38A82C4B17933F16D302301C63_12</vt:lpwstr>
  </property>
</Properties>
</file>