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cs="方正小标宋_GBK"/>
          <w:b/>
          <w:sz w:val="44"/>
          <w:szCs w:val="44"/>
        </w:rPr>
      </w:pPr>
      <w:bookmarkStart w:id="81" w:name="_GoBack"/>
      <w:bookmarkEnd w:id="81"/>
      <w:r>
        <w:rPr>
          <w:rFonts w:hint="eastAsia" w:ascii="Times New Roman" w:hAnsi="Times New Roman" w:eastAsia="方正小标宋_GBK" w:cs="方正小标宋_GBK"/>
          <w:b/>
          <w:sz w:val="44"/>
          <w:szCs w:val="44"/>
        </w:rPr>
        <w:t>遵化市民政局</w:t>
      </w:r>
    </w:p>
    <w:p>
      <w:pPr>
        <w:ind w:firstLine="883" w:firstLineChars="200"/>
        <w:jc w:val="center"/>
        <w:rPr>
          <w:rFonts w:ascii="Times New Roman" w:hAnsi="Times New Roman" w:eastAsia="方正小标宋_GBK"/>
          <w:b/>
          <w:sz w:val="44"/>
          <w:szCs w:val="44"/>
        </w:rPr>
      </w:pPr>
      <w:r>
        <w:rPr>
          <w:rFonts w:ascii="Times New Roman" w:hAnsi="Times New Roman" w:eastAsia="方正小标宋_GBK"/>
          <w:b/>
          <w:sz w:val="44"/>
          <w:szCs w:val="44"/>
        </w:rPr>
        <w:t>20</w:t>
      </w:r>
      <w:r>
        <w:rPr>
          <w:rFonts w:hint="eastAsia" w:ascii="Times New Roman" w:hAnsi="Times New Roman" w:eastAsia="方正小标宋_GBK"/>
          <w:b/>
          <w:sz w:val="44"/>
          <w:szCs w:val="44"/>
        </w:rPr>
        <w:t>20</w:t>
      </w:r>
      <w:r>
        <w:rPr>
          <w:rFonts w:hint="eastAsia" w:ascii="Times New Roman" w:hAnsi="Times New Roman" w:eastAsia="方正小标宋_GBK" w:cs="方正小标宋_GBK"/>
          <w:b/>
          <w:sz w:val="44"/>
          <w:szCs w:val="44"/>
        </w:rPr>
        <w:t>年部门预算信息公开</w:t>
      </w:r>
    </w:p>
    <w:p>
      <w:pPr>
        <w:ind w:firstLine="640" w:firstLineChars="200"/>
        <w:rPr>
          <w:rFonts w:ascii="Times New Roman" w:hAnsi="Times New Roman" w:eastAsia="方正仿宋_GBK" w:cs="方正仿宋_GBK"/>
          <w:sz w:val="32"/>
          <w:szCs w:val="32"/>
        </w:rPr>
      </w:pPr>
    </w:p>
    <w:p>
      <w:pPr>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《中华人民共和国预算法》</w:t>
      </w:r>
      <w:r>
        <w:rPr>
          <w:rFonts w:hint="eastAsia" w:ascii="Times New Roman" w:hAnsi="Times New Roman" w:eastAsia="方正仿宋_GBK" w:cs="方正仿宋_GBK"/>
          <w:sz w:val="32"/>
          <w:szCs w:val="32"/>
        </w:rPr>
        <w:t>、《地方预决算公开操作规程》和《河北省省级预算公开办法》规定，现将遵化市民政局</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年部门预算公开如下：</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（一）贯彻执行民政事业发展法律法规、政策、规划，拟订全市民政事业发展相关规范性文件和政策、规划并组织实施。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（二）拟订全市社会团体、基金会、社会服务机构等社会组织监督管理办法并组织实施，依法对全市社会组织进行监督检查。承担市社会组织联合党支部日常工作。</w:t>
      </w:r>
    </w:p>
    <w:p>
      <w:pPr>
        <w:spacing w:line="500" w:lineRule="exact"/>
        <w:ind w:firstLine="560" w:firstLineChars="200"/>
        <w:jc w:val="left"/>
        <w:rPr>
          <w:rFonts w:ascii="Times New Roman" w:eastAsia="方正仿宋_GBK"/>
          <w:sz w:val="28"/>
        </w:rPr>
      </w:pPr>
      <w:r>
        <w:rPr>
          <w:rFonts w:ascii="Times New Roman" w:eastAsia="方正仿宋_GBK"/>
          <w:sz w:val="28"/>
        </w:rPr>
        <w:t>（三）拟订全市社会救助政策、标准，统筹社会救助体系建设。负责城乡居民最低生活保障、特困人员救助供养、临时救助、生活无着流浪乞讨人员救助工作。</w:t>
      </w:r>
    </w:p>
    <w:p>
      <w:pPr>
        <w:spacing w:line="500" w:lineRule="exact"/>
        <w:ind w:firstLine="560" w:firstLineChars="200"/>
        <w:jc w:val="left"/>
        <w:rPr>
          <w:rFonts w:ascii="Times New Roman" w:eastAsia="方正仿宋_GBK"/>
          <w:sz w:val="28"/>
        </w:rPr>
      </w:pPr>
      <w:r>
        <w:rPr>
          <w:rFonts w:ascii="Times New Roman" w:eastAsia="方正仿宋_GBK"/>
          <w:sz w:val="28"/>
        </w:rPr>
        <w:t>（四）拟订全市基层群众自治和城乡社区治理政策。指导城乡社区治理体系和能力建设，提出加强和改进基层政权建设的建议，推动基层民主政治建设。</w:t>
      </w:r>
    </w:p>
    <w:p>
      <w:pPr>
        <w:spacing w:line="500" w:lineRule="exact"/>
        <w:ind w:firstLine="560" w:firstLineChars="200"/>
        <w:jc w:val="left"/>
        <w:rPr>
          <w:rFonts w:ascii="Times New Roman" w:eastAsia="方正仿宋_GBK"/>
          <w:sz w:val="28"/>
        </w:rPr>
      </w:pPr>
      <w:r>
        <w:rPr>
          <w:rFonts w:ascii="Times New Roman" w:eastAsia="方正仿宋_GBK"/>
          <w:sz w:val="28"/>
        </w:rPr>
        <w:t>（五）贯彻落实国家、省、唐山市行政区划和行政区域界线管理政策、标准，拟订全市地名管理政策、标准。负责全市行政区域及乡镇、街道办事处的设立、命名、变更和政府驻地迁移的调查论证、管理工作。组织、指导全市行政区域界线的勘定和管理工作。负责标准地名使用、地名标志设置等地名管理工作。</w:t>
      </w:r>
    </w:p>
    <w:p>
      <w:pPr>
        <w:spacing w:line="500" w:lineRule="exact"/>
        <w:ind w:firstLine="560" w:firstLineChars="200"/>
        <w:jc w:val="left"/>
        <w:rPr>
          <w:rFonts w:ascii="Times New Roman" w:eastAsia="方正仿宋_GBK"/>
          <w:sz w:val="28"/>
        </w:rPr>
      </w:pPr>
      <w:r>
        <w:rPr>
          <w:rFonts w:ascii="Times New Roman" w:eastAsia="方正仿宋_GBK"/>
          <w:sz w:val="28"/>
        </w:rPr>
        <w:t>（六）拟定全市婚姻管理政策并组织实施，推进婚俗改革，指导婚姻服务机构管理工作。</w:t>
      </w:r>
    </w:p>
    <w:p>
      <w:pPr>
        <w:spacing w:line="500" w:lineRule="exact"/>
        <w:ind w:firstLine="560" w:firstLineChars="200"/>
        <w:jc w:val="left"/>
        <w:rPr>
          <w:rFonts w:ascii="Times New Roman" w:eastAsia="方正仿宋_GBK"/>
          <w:sz w:val="28"/>
        </w:rPr>
      </w:pPr>
      <w:r>
        <w:rPr>
          <w:rFonts w:ascii="Times New Roman" w:eastAsia="方正仿宋_GBK"/>
          <w:sz w:val="28"/>
        </w:rPr>
        <w:t>（七）拟定全市殡葬管理政策、服务规范并组织实施，推进殡葬改革，指导殡葬服务机构管理工作。</w:t>
      </w:r>
    </w:p>
    <w:p>
      <w:pPr>
        <w:spacing w:line="500" w:lineRule="exact"/>
        <w:ind w:firstLine="560" w:firstLineChars="200"/>
        <w:jc w:val="left"/>
        <w:rPr>
          <w:rFonts w:ascii="Times New Roman" w:eastAsia="方正仿宋_GBK"/>
          <w:sz w:val="28"/>
        </w:rPr>
      </w:pPr>
      <w:r>
        <w:rPr>
          <w:rFonts w:ascii="Times New Roman" w:eastAsia="方正仿宋_GBK"/>
          <w:sz w:val="28"/>
        </w:rPr>
        <w:t>（八）统筹推进、督促指导、监督管理全市养老服务工作。拟订全市养老服务体系建设规划、政策、标准并组织实施，承担老年人福利和特殊困难老年人救助工作。</w:t>
      </w:r>
    </w:p>
    <w:p>
      <w:pPr>
        <w:spacing w:line="500" w:lineRule="exact"/>
        <w:ind w:firstLine="560" w:firstLineChars="200"/>
        <w:jc w:val="left"/>
        <w:rPr>
          <w:rFonts w:ascii="Times New Roman" w:eastAsia="方正仿宋_GBK"/>
          <w:sz w:val="28"/>
        </w:rPr>
      </w:pPr>
      <w:r>
        <w:rPr>
          <w:rFonts w:ascii="Times New Roman" w:eastAsia="方正仿宋_GBK"/>
          <w:sz w:val="28"/>
        </w:rPr>
        <w:t>（九）拟订全市残疾人权益保护政策并组织实施。统筹推进残疾人福利制度建设和康复辅助器具产业发展。</w:t>
      </w:r>
    </w:p>
    <w:p>
      <w:pPr>
        <w:spacing w:line="500" w:lineRule="exact"/>
        <w:ind w:firstLine="560" w:firstLineChars="200"/>
        <w:jc w:val="left"/>
        <w:rPr>
          <w:rFonts w:ascii="Times New Roman" w:eastAsia="方正仿宋_GBK"/>
          <w:sz w:val="28"/>
        </w:rPr>
      </w:pPr>
      <w:r>
        <w:rPr>
          <w:rFonts w:ascii="Times New Roman" w:eastAsia="方正仿宋_GBK"/>
          <w:sz w:val="28"/>
        </w:rPr>
        <w:t>（十）拟订全市儿童福利、孤弃儿童保障、儿童收养、儿童救助保护政策、标准。健全农村留守儿童关爱服务体系和困境儿童保障制度。</w:t>
      </w:r>
    </w:p>
    <w:p>
      <w:pPr>
        <w:spacing w:line="500" w:lineRule="exact"/>
        <w:ind w:firstLine="560" w:firstLineChars="200"/>
        <w:jc w:val="left"/>
        <w:rPr>
          <w:rFonts w:ascii="Times New Roman" w:eastAsia="方正仿宋_GBK"/>
          <w:sz w:val="28"/>
        </w:rPr>
      </w:pPr>
      <w:r>
        <w:rPr>
          <w:rFonts w:ascii="Times New Roman" w:eastAsia="方正仿宋_GBK"/>
          <w:sz w:val="28"/>
        </w:rPr>
        <w:t>（十一）组织拟定促进全市慈善事业发展政策，指导社会捐助工作，负责福利彩票管理工作。</w:t>
      </w:r>
    </w:p>
    <w:p>
      <w:pPr>
        <w:spacing w:line="500" w:lineRule="exact"/>
        <w:ind w:firstLine="560" w:firstLineChars="200"/>
        <w:jc w:val="left"/>
        <w:rPr>
          <w:rFonts w:ascii="Times New Roman" w:eastAsia="方正仿宋_GBK"/>
          <w:sz w:val="28"/>
        </w:rPr>
      </w:pPr>
      <w:r>
        <w:rPr>
          <w:rFonts w:ascii="Times New Roman" w:eastAsia="方正仿宋_GBK"/>
          <w:sz w:val="28"/>
        </w:rPr>
        <w:t>（十二）拟订全市社会工作、志愿服务政策和标准，会同有关部门推进社会工作人才队伍建设和志愿者队伍建设。</w:t>
      </w:r>
    </w:p>
    <w:p>
      <w:pPr>
        <w:spacing w:line="500" w:lineRule="exact"/>
        <w:ind w:firstLine="560" w:firstLineChars="200"/>
        <w:jc w:val="left"/>
        <w:rPr>
          <w:rFonts w:ascii="Times New Roman" w:eastAsia="方正仿宋_GBK"/>
          <w:sz w:val="28"/>
        </w:rPr>
      </w:pPr>
      <w:r>
        <w:rPr>
          <w:rFonts w:ascii="Times New Roman" w:eastAsia="方正仿宋_GBK"/>
          <w:sz w:val="28"/>
        </w:rPr>
        <w:t>（十三）完成市委、市政府交办的其他任务。</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二、部门决算单位构成</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遵化市民政局决算包括：遵化市民政局、殡管所。</w:t>
      </w:r>
    </w:p>
    <w:p>
      <w:pPr>
        <w:spacing w:line="500" w:lineRule="exact"/>
        <w:ind w:firstLine="560" w:firstLineChars="200"/>
        <w:jc w:val="left"/>
        <w:rPr>
          <w:rFonts w:ascii="Times New Roman" w:eastAsia="方正仿宋_GBK"/>
          <w:sz w:val="28"/>
        </w:rPr>
      </w:pPr>
      <w:r>
        <w:rPr>
          <w:rFonts w:ascii="Times New Roman" w:eastAsia="方正仿宋_GBK"/>
          <w:sz w:val="28"/>
        </w:rPr>
        <w:t>部门决算单位职能科室</w:t>
      </w:r>
    </w:p>
    <w:p>
      <w:pPr>
        <w:spacing w:line="500" w:lineRule="exact"/>
        <w:ind w:firstLine="560" w:firstLineChars="200"/>
        <w:jc w:val="left"/>
        <w:rPr>
          <w:rFonts w:ascii="Times New Roman" w:eastAsia="方正仿宋_GBK"/>
          <w:sz w:val="28"/>
        </w:rPr>
      </w:pPr>
      <w:r>
        <w:rPr>
          <w:rFonts w:ascii="Times New Roman" w:eastAsia="方正仿宋_GBK"/>
          <w:sz w:val="28"/>
        </w:rPr>
        <w:t>部门机构设置情况</w:t>
      </w:r>
    </w:p>
    <w:tbl>
      <w:tblPr>
        <w:tblStyle w:val="5"/>
        <w:tblW w:w="12433"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5"/>
        <w:gridCol w:w="2211"/>
        <w:gridCol w:w="2040"/>
        <w:gridCol w:w="3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单位名称</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单位性质</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单位规格</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遵化市民政局办公室</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行政</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遵化市民政局社会事务科</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行政</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遵化市人民政局基层政权科</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行政</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遵化市民政局社会救助科</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行政</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遵化市民政局婚姻登记中心</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遵化市民政局老年人服务中心</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遵化市民政局社会福利企业管理中心</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遵化市民政局低保核查认定中心</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遵化市殡葬管理所</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遵化市人民陵园</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trPr>
        <w:tc>
          <w:tcPr>
            <w:tcW w:w="48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遵化市民政局流浪乞讨人员救助站</w:t>
            </w:r>
          </w:p>
        </w:tc>
        <w:tc>
          <w:tcPr>
            <w:tcW w:w="221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事业</w:t>
            </w:r>
          </w:p>
        </w:tc>
        <w:tc>
          <w:tcPr>
            <w:tcW w:w="20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正股级</w:t>
            </w:r>
          </w:p>
        </w:tc>
        <w:tc>
          <w:tcPr>
            <w:tcW w:w="33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eastAsia="方正仿宋_GBK"/>
                <w:sz w:val="28"/>
              </w:rPr>
            </w:pPr>
            <w:r>
              <w:rPr>
                <w:rFonts w:ascii="Times New Roman" w:eastAsia="方正仿宋_GBK"/>
                <w:sz w:val="28"/>
              </w:rPr>
              <w:t>财政拨款</w:t>
            </w:r>
          </w:p>
        </w:tc>
      </w:tr>
    </w:tbl>
    <w:p>
      <w:pPr>
        <w:ind w:firstLine="640"/>
        <w:rPr>
          <w:rFonts w:ascii="黑体" w:hAnsi="黑体" w:eastAsia="黑体"/>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20年预算总收入</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0334.28万元，其中一般公共预算财政拨款</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0268.28万元，政府性基金预算财政拨款66万元，财政专户核拨收入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cs="方正仿宋_GBK"/>
          <w:b/>
          <w:bCs/>
          <w:sz w:val="32"/>
          <w:szCs w:val="32"/>
        </w:rPr>
        <w:t>、支出说明</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收支预算总表支出栏、基本支出表、项目支出表按经济分类和支出功能分类科目编制，反映遵化市民政局</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年度部门预算中支出预算的总体情况。</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年支出预算</w:t>
      </w:r>
      <w:r>
        <w:rPr>
          <w:rFonts w:ascii="Times New Roman" w:hAnsi="Times New Roman" w:eastAsia="方正仿宋_GBK"/>
          <w:sz w:val="32"/>
          <w:szCs w:val="32"/>
        </w:rPr>
        <w:t>1</w:t>
      </w:r>
      <w:r>
        <w:rPr>
          <w:rFonts w:hint="eastAsia" w:ascii="Times New Roman" w:hAnsi="Times New Roman" w:eastAsia="方正仿宋_GBK"/>
          <w:sz w:val="32"/>
          <w:szCs w:val="32"/>
        </w:rPr>
        <w:t>0334.28</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sz w:val="32"/>
          <w:szCs w:val="32"/>
        </w:rPr>
        <w:t>1390.28</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sz w:val="32"/>
          <w:szCs w:val="32"/>
        </w:rPr>
        <w:t>1360.3</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sz w:val="32"/>
          <w:szCs w:val="32"/>
        </w:rPr>
        <w:t>29.98</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sz w:val="32"/>
          <w:szCs w:val="32"/>
        </w:rPr>
        <w:t>8944</w:t>
      </w:r>
      <w:r>
        <w:rPr>
          <w:rFonts w:hint="eastAsia" w:ascii="Times New Roman" w:hAnsi="Times New Roman" w:eastAsia="方正仿宋_GBK" w:cs="方正仿宋_GBK"/>
          <w:sz w:val="32"/>
          <w:szCs w:val="32"/>
        </w:rPr>
        <w:t>万元，包括本级支出，主要为低保、特困、残疾人两补、临时救助、孤儿等。</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、比上年增减情况</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cs="方正仿宋_GBK"/>
          <w:sz w:val="32"/>
          <w:szCs w:val="32"/>
        </w:rPr>
        <w:t>2</w:t>
      </w:r>
      <w:r>
        <w:rPr>
          <w:rFonts w:ascii="Times New Roman" w:hAnsi="Times New Roman" w:eastAsia="方正仿宋_GBK"/>
          <w:sz w:val="32"/>
          <w:szCs w:val="32"/>
        </w:rPr>
        <w:t>0</w:t>
      </w:r>
      <w:r>
        <w:rPr>
          <w:rFonts w:hint="eastAsia" w:ascii="Times New Roman" w:hAnsi="Times New Roman" w:eastAsia="方正仿宋_GBK"/>
          <w:sz w:val="32"/>
          <w:szCs w:val="32"/>
        </w:rPr>
        <w:t>20年预算总拨款</w:t>
      </w:r>
      <w:r>
        <w:rPr>
          <w:rFonts w:ascii="Times New Roman" w:hAnsi="Times New Roman" w:eastAsia="方正仿宋_GBK"/>
          <w:sz w:val="32"/>
          <w:szCs w:val="32"/>
        </w:rPr>
        <w:t>1</w:t>
      </w:r>
      <w:r>
        <w:rPr>
          <w:rFonts w:hint="eastAsia" w:ascii="Times New Roman" w:hAnsi="Times New Roman" w:eastAsia="方正仿宋_GBK"/>
          <w:sz w:val="32"/>
          <w:szCs w:val="32"/>
        </w:rPr>
        <w:t>0334.28万元，比</w:t>
      </w:r>
      <w:r>
        <w:rPr>
          <w:rFonts w:ascii="Times New Roman" w:hAnsi="Times New Roman" w:eastAsia="方正仿宋_GBK"/>
          <w:sz w:val="32"/>
          <w:szCs w:val="32"/>
        </w:rPr>
        <w:t>201</w:t>
      </w:r>
      <w:r>
        <w:rPr>
          <w:rFonts w:hint="eastAsia" w:ascii="Times New Roman" w:hAnsi="Times New Roman" w:eastAsia="方正仿宋_GBK"/>
          <w:sz w:val="32"/>
          <w:szCs w:val="32"/>
        </w:rPr>
        <w:t>9年18490.28减少8156万元，主要是机构改革职能减少，优抚、救灾、民宗等项目减少。</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我部门机关运行经费共计安排29.98万元，主要用于办公区的日常费用2.4万元、公务用车运行维护费2.05万元、公务员交通补贴9.06万元、办公用房取暖费10.18万元、邮电费0.43万元，工会经费福利费4.62万元，其他培训费、会议经费、老干部福利费等1.24万元。</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经费预算安排</w:t>
      </w:r>
      <w:r>
        <w:rPr>
          <w:rFonts w:hint="eastAsia" w:ascii="Times New Roman" w:hAnsi="Times New Roman" w:eastAsia="方正仿宋_GBK"/>
          <w:sz w:val="32"/>
          <w:szCs w:val="32"/>
        </w:rPr>
        <w:t>2.05</w:t>
      </w:r>
      <w:r>
        <w:rPr>
          <w:rFonts w:hint="eastAsia" w:ascii="Times New Roman" w:hAnsi="Times New Roman" w:eastAsia="方正仿宋_GBK" w:cs="方正仿宋_GBK"/>
          <w:sz w:val="32"/>
          <w:szCs w:val="32"/>
        </w:rPr>
        <w:t>万元，较2019年预算减少，具体情况为：</w:t>
      </w:r>
    </w:p>
    <w:p>
      <w:pPr>
        <w:numPr>
          <w:ilvl w:val="0"/>
          <w:numId w:val="1"/>
        </w:num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公务用车购置及运行费</w:t>
      </w:r>
      <w:r>
        <w:rPr>
          <w:rFonts w:hint="eastAsia" w:ascii="Times New Roman" w:hAnsi="Times New Roman" w:eastAsia="方正仿宋_GBK"/>
          <w:sz w:val="32"/>
          <w:szCs w:val="32"/>
        </w:rPr>
        <w:t>2.05</w:t>
      </w:r>
      <w:r>
        <w:rPr>
          <w:rFonts w:hint="eastAsia" w:ascii="Times New Roman" w:hAnsi="Times New Roman" w:eastAsia="方正仿宋_GBK" w:cs="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万元，公务用车运行费</w:t>
      </w:r>
      <w:r>
        <w:rPr>
          <w:rFonts w:ascii="Times New Roman" w:hAnsi="Times New Roman" w:eastAsia="方正仿宋_GBK"/>
          <w:sz w:val="32"/>
          <w:szCs w:val="32"/>
        </w:rPr>
        <w:t>4.1</w:t>
      </w:r>
      <w:r>
        <w:rPr>
          <w:rFonts w:hint="eastAsia" w:ascii="Times New Roman" w:hAnsi="Times New Roman" w:eastAsia="方正仿宋_GBK" w:cs="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，与</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hint="eastAsia" w:ascii="Times New Roman" w:hAnsi="Times New Roman" w:eastAsia="方正仿宋_GBK" w:cs="方正仿宋_GBK"/>
          <w:sz w:val="32"/>
          <w:szCs w:val="32"/>
        </w:rPr>
        <w:t>年相减少2.05万元；</w:t>
      </w:r>
    </w:p>
    <w:p>
      <w:pPr>
        <w:numPr>
          <w:ilvl w:val="0"/>
          <w:numId w:val="1"/>
        </w:num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公务接待费</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hint="eastAsia" w:ascii="Times New Roman" w:hAnsi="Times New Roman" w:eastAsia="方正仿宋_GBK" w:cs="方正仿宋_GBK"/>
          <w:sz w:val="32"/>
          <w:szCs w:val="32"/>
        </w:rPr>
        <w:t>年相比减少0.38万元。</w:t>
      </w:r>
    </w:p>
    <w:p>
      <w:pPr>
        <w:numPr>
          <w:ilvl w:val="0"/>
          <w:numId w:val="1"/>
        </w:num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因公出国（境）费</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hint="eastAsia" w:ascii="Times New Roman" w:hAnsi="Times New Roman" w:eastAsia="方正仿宋_GBK" w:cs="方正仿宋_GBK"/>
          <w:sz w:val="32"/>
          <w:szCs w:val="32"/>
        </w:rPr>
        <w:t>年相比持平，无增减变化。</w:t>
      </w:r>
    </w:p>
    <w:p>
      <w:pPr>
        <w:autoSpaceDE w:val="0"/>
        <w:autoSpaceDN w:val="0"/>
        <w:adjustRightInd w:val="0"/>
        <w:ind w:firstLine="964" w:firstLineChars="300"/>
        <w:jc w:val="left"/>
        <w:rPr>
          <w:rFonts w:ascii="黑体" w:hAnsi="黑体" w:eastAsia="黑体" w:cs="黑体"/>
          <w:b/>
          <w:bCs/>
          <w:sz w:val="32"/>
          <w:szCs w:val="32"/>
        </w:rPr>
      </w:pPr>
      <w:r>
        <w:rPr>
          <w:rFonts w:hint="eastAsia" w:ascii="黑体" w:hAnsi="黑体" w:eastAsia="黑体" w:cs="黑体"/>
          <w:b/>
          <w:bCs/>
          <w:sz w:val="32"/>
          <w:szCs w:val="32"/>
        </w:rPr>
        <w:t>五、 绩效预算信息</w:t>
      </w:r>
    </w:p>
    <w:p>
      <w:pPr>
        <w:spacing w:line="500" w:lineRule="exact"/>
        <w:ind w:firstLine="640" w:firstLineChars="200"/>
        <w:jc w:val="left"/>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（一）总体绩效目标：</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1、健全城乡一体的救助体系</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（1）、积极推进城乡最低生活保障工作统筹发展。继续保持城乡低保标准全省领先，有效保障好困难群众的基本生活。</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（2）、稳步推进特困人员供养工作。农村五保要逐步提高集中供养能力，增加政府资金投入，改善硬件条件，提高供养质量，特困人员供养标准不低于当地人均生活水平。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（3）、大力开展临时救助。建立区（县）、街道（乡镇）、社区（村）和服务组织“三级联网”的急难对象主动发现、及时救助机制。</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（4）、全面落实困难残疾人生活补贴和重度残疾人护理补贴制度（以下统称残疾人两项补贴）。</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2、推进基层民主政治建设和城乡社区建设</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（1）、进一步加强基层民主政治建设。完善村（居）民自治制度，深化村（居）务公开民主管理实践，建立村民代表会议制度，推进村务监督委员会建设。</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开展农村社区建设试点工作。选择2个农村社区，着力打造管理有序、服务完善、文明祥和、各具特色的农村社区示范点。力争到2020年，农村社区综合服务设施覆盖率达到50%，公共服务综合信息平台覆盖率达到30%。</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进一步健全社区服务体系。加强社区综合服务设施建设，逐步建立起以社区综合服务设施为依托、专项服务设施为补充、服务网点为配套、社区信息平台为支持的社区服务设施网络，努力做到2020年城市社区综合服务设施全覆盖。</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3、加快发展社会福利事业</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（1）、完善养老服务业。推进社会办养老机构建设，到2020年底建设1个社会化养老基地，200张床位以上的社会办示范性养老机构，积极推进“医养结合”模式。</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（2）、加强儿童福利保障工作。加快推进儿童福利机构和设施建设，进一步解决孤儿成长过程中遇到的生活、医疗、康复、教育、就业等问题。</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（3）、加强殡葬管理工作。逐步改造殡葬服务设施，将市殡仪馆建成全国示范基地，力争殡仪馆达到国家二级馆要求。</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（4）、推进婚姻登记处规范化建设。继续保持结婚、离婚登记合格率100％。认真做好婚姻登记机关星级等级创建工作，达到国家3A级标准。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5）、加强救助站管理工作。推进救助机构建设，着力在开展救急难工作中发挥重要作用。持续加大对未成年人保护中心的建设力度，分步骤、分阶段严密组织实施，力争“十三五”末达到制度化、规范化水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4、加强民间组织培育管理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积极培育，大力发展社会组织。坚持培育发展与监督管理并重的方针，重点培育行业协会、农村专业经济协会、社区服务类社会组织、公益性社会组织和科教文卫类社会组织，着力发展民间慈善类社会组织，社会组织年增长率保持在10%；每万人社会组织数2020年达到8个。</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加强社会组织自身建设。健全以社会组织章程为核心的自律和内部管理制度，完善以诚信为重点的信息披露制度，加强社会组织管理人员培训，提高其法律意识和专业水平，建设高素质的社会组织管理队伍。</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加大政府购买社会组织服务的力度。充分发挥社会组织在推进经济社会发展，参与社会事务管理，承担政府职能转移等方面的积极作用，研究完善政府向社会组织购买服务的机制体制。积极完善社会组织承接政府职能的管理制度，扩大政府公共决策中的社会组织参与度。</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（4）、加强社会组织党组织建设。加强与有关部门协调，按照“成熟一个，发展一个；成立一个，规范一个；巩固一个，活跃一个”的思路，加大社会组织党组织的组建力度。扩大社会组织中党组织覆盖面。</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5、提高区划地名管理服务水平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（1）、完善城乡区划布局。支持具备条件的撤乡设镇、撤镇设立街道办事处等乡级区划调整。</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（2）、进一步完善地名管理工作。积极推进地名公共服务工程；加强地名文化建设，丰富地名文化产品和活动。</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（3）、加强行政区域界线管理。开展平安边界活动，通过宣传引导、实地调研、主动协调等措施，落实边界附近地区纠纷应急联席会议制度，确保边界稳定.</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6、大力发展老龄事业</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完善高龄老人生活补贴制度。加强宣传和协调，在制度化、规范化建设上下功夫，提高补助标准。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7、大力培育和发展社会工作者队伍</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 xml:space="preserve">（1）、建立健全社会工作人才培养、评价机制。完善社会工作者教育、培训、考核制度，健全培训登记管理制度，推进社会工作者继续教育，及时、准确掌握社会工作者信息。 </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（2）、科学设置社工岗位，推进社工人才队伍职业化。进一步完善社会工作岗位开发设置政策措施，在有关部门组织、公益性服务类事业单位和社会组织中积极开发社会工作岗位。</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大力扶持各类社会工作机构。指导社会机构积极发挥社会工作服务作用，大力支持社区服务站、社会养老机构等民办机构吸纳社会工作者，“十三五”期末各类社会工作机构拥有社会工作职业资格证书者力争达到20%以上。</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9、积极发展慈善事业</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（1）、大力推行建立冠名基金。重点动员各类企业捐资建立冠名基金，形成以企业捐赠为主、其它捐赠形式为辅的慈善基金募集模式，市属以上企业普遍建立慈善冠名基金。</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（2）、组织开展好品牌救助、捐助项目。不断创新募捐方式，根据社会不同层次的劝募对象，积极策划组织各种形式的义演、义拍、义卖活动，把社会各方面关注、关心慈善事业的热情和积极性调动起来。</w:t>
      </w:r>
    </w:p>
    <w:p>
      <w:pPr>
        <w:spacing w:line="500" w:lineRule="exact"/>
        <w:ind w:firstLine="560" w:firstLineChars="200"/>
        <w:jc w:val="left"/>
        <w:outlineLvl w:val="1"/>
        <w:rPr>
          <w:rFonts w:ascii="Times New Roman" w:hAnsi="Times New Roman" w:eastAsia="方正仿宋_GBK" w:cs="方正仿宋_GBK"/>
          <w:sz w:val="32"/>
          <w:szCs w:val="32"/>
        </w:rPr>
      </w:pPr>
      <w:r>
        <w:rPr>
          <w:rFonts w:hint="eastAsia" w:ascii="Times New Roman" w:hAnsi="方正仿宋_GBK" w:eastAsia="方正仿宋_GBK" w:cs="方正仿宋_GBK"/>
          <w:sz w:val="28"/>
        </w:rPr>
        <w:t>（3）、全面实行阳光慈善。进一步完善经常性社会捐助服务网络，探索创新募捐形式，驻遵企业积极参与公益慈善事业，履行企业的社会责任，参与慈善公益活动率达50%。低保家庭中应届大学新生（含一本在校生）全部得到慈善救助；低保家庭中重症患者在社会救助的基础上进行慈善救助。</w:t>
      </w:r>
    </w:p>
    <w:p>
      <w:pPr>
        <w:spacing w:line="500" w:lineRule="exact"/>
        <w:ind w:firstLine="640" w:firstLineChars="200"/>
        <w:jc w:val="left"/>
        <w:rPr>
          <w:rFonts w:ascii="Times New Roman" w:hAnsi="方正仿宋_GBK" w:eastAsia="方正仿宋_GBK" w:cs="方正仿宋_GBK"/>
          <w:b/>
          <w:bCs/>
          <w:sz w:val="32"/>
          <w:szCs w:val="32"/>
        </w:rPr>
      </w:pPr>
      <w:r>
        <w:rPr>
          <w:rFonts w:hint="eastAsia" w:ascii="Times New Roman" w:hAnsi="Times New Roman" w:eastAsia="方正仿宋_GBK" w:cs="方正仿宋_GBK"/>
          <w:b/>
          <w:bCs/>
          <w:sz w:val="32"/>
          <w:szCs w:val="32"/>
        </w:rPr>
        <w:t>（二）职责分类绩效目标：</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1、社会救助政策及管理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进一步提高城乡低保、特困供养救助补助标准，我市农村低保指导标准逐年提高，确保到2020年，我市农村低保标准能够始终保持在国家扶贫标准以上。</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2、社会福利政策及管理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全面建成以居家为基础、社区为依托、机构为补充，医养结合、功能完善、规模适度、覆盖城乡的养老服务体系，到2020年，居家养老服务中心覆盖所有城市社区和90%以上的乡镇，农村互助幸福院基本实现全覆盖，每千名老年人拥有养老床位35张以上。</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3、社会管理与服务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加强社会组织的登记管理、社会组织年检工作；强化社会组织监管工作，不断加大对不规范社会组织整治力度，坚决取缔非法社会组织。</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4、民政政务管理</w:t>
      </w:r>
    </w:p>
    <w:p>
      <w:pPr>
        <w:pStyle w:val="11"/>
        <w:autoSpaceDE w:val="0"/>
        <w:autoSpaceDN w:val="0"/>
        <w:adjustRightInd w:val="0"/>
        <w:ind w:left="630"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利用社会救助管理平台建设，建成上联民政厅、市、街道（乡镇）办三级构成，并与各级政府有关部门网络互联、资源共享。</w:t>
      </w: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1561" w:firstLineChars="300"/>
        <w:jc w:val="left"/>
        <w:rPr>
          <w:rFonts w:ascii="Times New Roman" w:hAnsi="方正仿宋_GBK" w:eastAsia="方正仿宋_GBK" w:cs="方正仿宋_GBK"/>
          <w:b/>
          <w:sz w:val="52"/>
          <w:szCs w:val="52"/>
        </w:rPr>
      </w:pPr>
    </w:p>
    <w:p>
      <w:pPr>
        <w:pStyle w:val="11"/>
        <w:autoSpaceDE w:val="0"/>
        <w:autoSpaceDN w:val="0"/>
        <w:adjustRightInd w:val="0"/>
        <w:ind w:left="630" w:firstLine="2241" w:firstLineChars="700"/>
        <w:jc w:val="left"/>
        <w:rPr>
          <w:rFonts w:ascii="Times New Roman" w:hAnsi="方正仿宋_GBK" w:eastAsia="方正仿宋_GBK" w:cs="方正仿宋_GBK"/>
          <w:b/>
          <w:sz w:val="32"/>
          <w:szCs w:val="32"/>
        </w:rPr>
      </w:pPr>
      <w:r>
        <w:rPr>
          <w:rFonts w:hint="eastAsia" w:ascii="Times New Roman" w:hAnsi="方正仿宋_GBK" w:eastAsia="方正仿宋_GBK" w:cs="方正仿宋_GBK"/>
          <w:b/>
          <w:sz w:val="32"/>
          <w:szCs w:val="32"/>
        </w:rPr>
        <w:t>预算项目绩效目标</w:t>
      </w: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1、40%精简退职职工救济定量补助绩效目标表</w:t>
      </w:r>
      <w:bookmarkStart w:id="0" w:name="_Toc9392"/>
      <w:bookmarkStart w:id="1" w:name="_Toc9880"/>
      <w:r>
        <w:rPr>
          <w:rFonts w:hint="eastAsia"/>
        </w:rPr>
        <w:fldChar w:fldCharType="begin"/>
      </w:r>
      <w:r>
        <w:rPr>
          <w:rFonts w:hint="eastAsia" w:ascii="方正仿宋_GBK" w:hAnsi="方正仿宋_GBK" w:eastAsia="方正仿宋_GBK" w:cs="方正仿宋_GBK"/>
          <w:sz w:val="28"/>
        </w:rPr>
        <w:instrText xml:space="preserve"> TC 1、40%精简退职职工救济定量补助绩效目标表 \f C \l 1 </w:instrText>
      </w:r>
      <w:r>
        <w:rPr>
          <w:rFonts w:hint="eastAsia" w:ascii="方正仿宋_GBK" w:hAnsi="方正仿宋_GBK" w:eastAsia="方正仿宋_GBK" w:cs="方正仿宋_GBK"/>
          <w:sz w:val="28"/>
        </w:rPr>
        <w:fldChar w:fldCharType="end"/>
      </w:r>
      <w:bookmarkEnd w:id="0"/>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314-0808-JXN-LFGF</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40%精简退职职工救济定量补助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22.00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22.00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目前我市在册40%精简退职职工284人，每人补助标准为144-322.2元每人每季度,按季度社会化发放.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1、提高精简退职人员生活水平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2、落实精简退职人员生活待遇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精简退职人员补助发放率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精简退职人员补助发放率的比例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报销比例</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救助对象住院自付费用（医疗保险报销后）报销比例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≥100%百分之百提高精简退职人员生活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遵财联[2006]25号关于增加享受精简退职职工定量补助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2、百岁老人生活补贴绩效目标表</w:t>
      </w:r>
      <w:bookmarkStart w:id="2" w:name="_Toc17055"/>
      <w:bookmarkStart w:id="3" w:name="_Toc28914"/>
      <w:r>
        <w:rPr>
          <w:rFonts w:hint="eastAsia"/>
        </w:rPr>
        <w:fldChar w:fldCharType="begin"/>
      </w:r>
      <w:r>
        <w:rPr>
          <w:rFonts w:hint="eastAsia" w:ascii="方正仿宋_GBK" w:hAnsi="方正仿宋_GBK" w:eastAsia="方正仿宋_GBK" w:cs="方正仿宋_GBK"/>
          <w:sz w:val="28"/>
        </w:rPr>
        <w:instrText xml:space="preserve"> TC 2、百岁老人生活补贴绩效目标表 \f C \l 1 </w:instrText>
      </w:r>
      <w:r>
        <w:rPr>
          <w:rFonts w:hint="eastAsia" w:ascii="方正仿宋_GBK" w:hAnsi="方正仿宋_GBK" w:eastAsia="方正仿宋_GBK" w:cs="方正仿宋_GBK"/>
          <w:sz w:val="28"/>
        </w:rPr>
        <w:fldChar w:fldCharType="end"/>
      </w:r>
      <w:bookmarkEnd w:id="2"/>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314-2607-JXN-OUK4</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百岁老人生活补贴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11.00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11.00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全面落实老年人优待政策。认真贯彻落实老年人法律。2020年，全市将有30位百岁老人，百岁老人生活补贴为每人每月300元，2020年共需资金11万元。每季度根据实际百岁老人人数拨付一次，据实拨付。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1、提高百岁老人的生活水平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2、落实好百岁老人的生活待遇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享受老年人福利人数(人)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百岁老人津贴发放率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百岁老人津贴发放率的比例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养老补助档案资料是否建立</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认定机构要制定严格的认定程序，同时建立起完整的个人养老补助档案资料。</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社会稳定水平</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通过实施原“赤脚医生”养老补助政策促进社会稳定水平逐步提高</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≥100%百分之百落实好百岁老人的生活待遇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遵政办【2013】6号遵化市人民政府办公室关于在全市建立高龄老人生活补贴制度</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3、城镇低保支出绩效目标表</w:t>
      </w:r>
      <w:bookmarkStart w:id="4" w:name="_Toc26606"/>
      <w:bookmarkStart w:id="5" w:name="_Toc22864"/>
      <w:r>
        <w:rPr>
          <w:rFonts w:hint="eastAsia"/>
        </w:rPr>
        <w:fldChar w:fldCharType="begin"/>
      </w:r>
      <w:r>
        <w:rPr>
          <w:rFonts w:hint="eastAsia" w:ascii="方正仿宋_GBK" w:hAnsi="方正仿宋_GBK" w:eastAsia="方正仿宋_GBK" w:cs="方正仿宋_GBK"/>
          <w:sz w:val="28"/>
        </w:rPr>
        <w:instrText xml:space="preserve"> TC 3、城镇低保支出绩效目标表 \f C \l 1 </w:instrText>
      </w:r>
      <w:r>
        <w:rPr>
          <w:rFonts w:hint="eastAsia" w:ascii="方正仿宋_GBK" w:hAnsi="方正仿宋_GBK" w:eastAsia="方正仿宋_GBK" w:cs="方正仿宋_GBK"/>
          <w:sz w:val="28"/>
        </w:rPr>
        <w:fldChar w:fldCharType="end"/>
      </w:r>
      <w:bookmarkEnd w:id="4"/>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314-0101-JXN-V9B4</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城镇低保支出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据实足额及时拨付.认真落实中央、省市城乡最低生活保障规章制度，进一步巩固动态管理下的应保尽保，努力构建标准科学、对象准确、进出有序的阳光低保工作格局。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1、提高城镇低保人员生活水平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2、落实城镇低保人员生活待遇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城乡居民低保保障率（%）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符合条件的对象实际纳入低保人数占应纳入低保人数的比率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唐民通【2018】110号唐山市民政局财政局关于提高城乡居民最低保障的通知</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4、福利院捡拾弃婴检查身体及弃婴大病治疗资金绩效目标表</w:t>
      </w:r>
      <w:bookmarkStart w:id="6" w:name="_Toc6560"/>
      <w:bookmarkStart w:id="7" w:name="_Toc1767"/>
      <w:r>
        <w:rPr>
          <w:rFonts w:hint="eastAsia"/>
        </w:rPr>
        <w:fldChar w:fldCharType="begin"/>
      </w:r>
      <w:r>
        <w:rPr>
          <w:rFonts w:hint="eastAsia" w:ascii="方正仿宋_GBK" w:hAnsi="方正仿宋_GBK" w:eastAsia="方正仿宋_GBK" w:cs="方正仿宋_GBK"/>
          <w:sz w:val="28"/>
        </w:rPr>
        <w:instrText xml:space="preserve"> TC 4、福利院捡拾弃婴检查身体及弃婴大病治疗资金绩效目标表 \f C \l 1 </w:instrText>
      </w:r>
      <w:r>
        <w:rPr>
          <w:rFonts w:hint="eastAsia" w:ascii="方正仿宋_GBK" w:hAnsi="方正仿宋_GBK" w:eastAsia="方正仿宋_GBK" w:cs="方正仿宋_GBK"/>
          <w:sz w:val="28"/>
        </w:rPr>
        <w:fldChar w:fldCharType="end"/>
      </w:r>
      <w:bookmarkEnd w:id="6"/>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314-0707-YXN-QLN1</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福利院捡拾弃婴检查身体及弃婴大病治疗资金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按照上级有关规定，捡拾到的社会弃婴需要报送到社会福利院，在入院前都要到医院进行常规体检，以及相关治疗。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1、维护孤儿合法权益，保障孤儿健康成长.</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2、健全和完善社会制度，帮助具有手术适应症的机构养育的孤残儿童及时手术，手术率达100%</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患病孤残儿童救助率（%）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已得到救治并治愈的儿童数占申请人数的比率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享受儿童福利人数(人)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享受儿童补贴的人数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儿童救助治愈率（%）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得到救治并治愈的儿童数占得到救治人数的比率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≥100%百分之百，维护孤儿合法权益，保障孤儿健康成长</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   河北省财政厅《关于进一步规范孤儿基本生活保障制度的通知》冀民[2013]67号</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5、高龄老人生活补贴绩效目标表</w:t>
      </w:r>
      <w:bookmarkStart w:id="8" w:name="_Toc732"/>
      <w:bookmarkStart w:id="9" w:name="_Toc21313"/>
      <w:r>
        <w:rPr>
          <w:rFonts w:hint="eastAsia"/>
        </w:rPr>
        <w:fldChar w:fldCharType="begin"/>
      </w:r>
      <w:r>
        <w:rPr>
          <w:rFonts w:hint="eastAsia" w:ascii="方正仿宋_GBK" w:hAnsi="方正仿宋_GBK" w:eastAsia="方正仿宋_GBK" w:cs="方正仿宋_GBK"/>
          <w:sz w:val="28"/>
        </w:rPr>
        <w:instrText xml:space="preserve"> TC 5、高龄老人生活补贴绩效目标表 \f C \l 1 </w:instrText>
      </w:r>
      <w:r>
        <w:rPr>
          <w:rFonts w:hint="eastAsia" w:ascii="方正仿宋_GBK" w:hAnsi="方正仿宋_GBK" w:eastAsia="方正仿宋_GBK" w:cs="方正仿宋_GBK"/>
          <w:sz w:val="28"/>
        </w:rPr>
        <w:fldChar w:fldCharType="end"/>
      </w:r>
      <w:bookmarkEnd w:id="8"/>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314-2506-YXN-95W9</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高龄老人生活补贴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330.00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我市高龄老人津贴标准：80周岁-84周岁150元每人每年，85-89周岁200元每人每年，90-99周岁400元每人每年，80周岁以上高龄老人补贴共需330万元，据实拨付，每年一次性拨款。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1、提高高龄老人生活水平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2、落实高龄老人生活待遇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高龄老人津贴发放率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高龄老人津贴发放率的比例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享受老年人福利人数(人)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≥100%百分之百提高老人生活水平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遵政办【2013】6号关于在全市建立高龄老人生活补贴制度</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6、冀财社[2019]111号 2020年中央集中彩票公益金支持社会福利事业专项资金(儿童福利服务体系)绩效目标表</w:t>
      </w:r>
      <w:bookmarkStart w:id="10" w:name="_Toc4934"/>
      <w:bookmarkStart w:id="11" w:name="_Toc25248"/>
      <w:r>
        <w:rPr>
          <w:rFonts w:hint="eastAsia"/>
        </w:rPr>
        <w:fldChar w:fldCharType="begin"/>
      </w:r>
      <w:r>
        <w:rPr>
          <w:rFonts w:hint="eastAsia" w:ascii="方正仿宋_GBK" w:hAnsi="方正仿宋_GBK" w:eastAsia="方正仿宋_GBK" w:cs="方正仿宋_GBK"/>
          <w:sz w:val="28"/>
        </w:rPr>
        <w:instrText xml:space="preserve"> TC 6、冀财社[2019]111号 2020年中央集中彩票公益金支持社会福利事业专项资金(儿童福利服务体系)绩效目标表 \f C \l 1 </w:instrText>
      </w:r>
      <w:r>
        <w:rPr>
          <w:rFonts w:hint="eastAsia" w:ascii="方正仿宋_GBK" w:hAnsi="方正仿宋_GBK" w:eastAsia="方正仿宋_GBK" w:cs="方正仿宋_GBK"/>
          <w:sz w:val="28"/>
        </w:rPr>
        <w:fldChar w:fldCharType="end"/>
      </w:r>
      <w:bookmarkEnd w:id="10"/>
      <w:bookmarkEnd w:id="1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314-0303-JSN-CO9Q</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 2020年中央集中彩票公益金支持社会福利事业专项资金(儿童福利服务体系)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13.00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13.00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为维护孤儿受教育的权利，保障孤儿顺利完成学业，根据河北省民政厅《关于开展“福彩圆梦.孤儿助学工程”项目的通知》（冀民【2019】60号）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1、保障孤儿政策实施</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2、落实孤儿的生活待遇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县级儿童福利机构建设数量（家）</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全省建设县级儿童福利机构的数量</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儿童救助治愈率（%）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得到救治并治愈的儿童数占得到救治人数的比率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冀财社【2019】111号河北省财政厅民政厅关于提前下达2020年中央集中彩票公益金支持社会福利事业专项资金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7、冀财社[2019]113号2020年省级财政养老服务体系建设补助绩效目标表</w:t>
      </w:r>
      <w:bookmarkStart w:id="12" w:name="_Toc28061"/>
      <w:bookmarkStart w:id="13" w:name="_Toc13992"/>
      <w:r>
        <w:rPr>
          <w:rFonts w:hint="eastAsia"/>
        </w:rPr>
        <w:fldChar w:fldCharType="begin"/>
      </w:r>
      <w:r>
        <w:rPr>
          <w:rFonts w:hint="eastAsia" w:ascii="方正仿宋_GBK" w:hAnsi="方正仿宋_GBK" w:eastAsia="方正仿宋_GBK" w:cs="方正仿宋_GBK"/>
          <w:sz w:val="28"/>
        </w:rPr>
        <w:instrText xml:space="preserve"> TC 7、冀财社[2019]113号2020年省级财政养老服务体系建设补助绩效目标表 \f C \l 1 </w:instrText>
      </w:r>
      <w:r>
        <w:rPr>
          <w:rFonts w:hint="eastAsia" w:ascii="方正仿宋_GBK" w:hAnsi="方正仿宋_GBK" w:eastAsia="方正仿宋_GBK" w:cs="方正仿宋_GBK"/>
          <w:sz w:val="28"/>
        </w:rPr>
        <w:fldChar w:fldCharType="end"/>
      </w:r>
      <w:bookmarkEnd w:id="12"/>
      <w:bookmarkEnd w:id="1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314-2102-YSN-X2CO</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349.00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349.00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按照省市《关于深化财政支持养老服务体系建设改革的实施意见》文件要求，为社会办养老机构发放运营（护理）补贴。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1、提高失能办失能老人生活水平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2、落实号失能办失能老人的生活待遇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符合条件的对象纳入低保范围人数占符合条件对象人数的比例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按照要求和计划完成研究任务的项目在所有立项项目中的比例（百分比）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≥100%百分之百落实失能老人生活待遇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冀财社【2019】113号河北省财政厅关于提前下达2020年省级财政养老服务体系建设补助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8、冀财社[2019]117号2020年中央财政困难群众救助补助资金(城镇低保)绩效目标表</w:t>
      </w:r>
      <w:bookmarkStart w:id="14" w:name="_Toc6072"/>
      <w:bookmarkStart w:id="15" w:name="_Toc27168"/>
      <w:r>
        <w:rPr>
          <w:rFonts w:hint="eastAsia"/>
        </w:rPr>
        <w:fldChar w:fldCharType="begin"/>
      </w:r>
      <w:r>
        <w:rPr>
          <w:rFonts w:hint="eastAsia" w:ascii="方正仿宋_GBK" w:hAnsi="方正仿宋_GBK" w:eastAsia="方正仿宋_GBK" w:cs="方正仿宋_GBK"/>
          <w:sz w:val="28"/>
        </w:rPr>
        <w:instrText xml:space="preserve"> TC 8、冀财社[2019]117号2020年中央财政困难群众救助补助资金(城镇低保)绩效目标表 \f C \l 1 </w:instrText>
      </w:r>
      <w:r>
        <w:rPr>
          <w:rFonts w:hint="eastAsia" w:ascii="方正仿宋_GBK" w:hAnsi="方正仿宋_GBK" w:eastAsia="方正仿宋_GBK" w:cs="方正仿宋_GBK"/>
          <w:sz w:val="28"/>
        </w:rPr>
        <w:fldChar w:fldCharType="end"/>
      </w:r>
      <w:bookmarkEnd w:id="14"/>
      <w:bookmarkEnd w:id="1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314-0101-JSN-Q15L</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冀财社[2019]117号2020年中央财政困难群众救助补助资金(城镇低保)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根据我市城镇低保保障率在唐山市县区所处水平，预计2020年我市城镇低保对象将会增至400户、800人.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1、提高城镇低保人员的生活水平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2、更好的落实城镇低保人员的生活待遇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城乡居民低保保障率（%）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符合条件的对象实际纳入低保人数占应纳入低保人数的比率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≥95%百分之百提高城镇低保人员生活水平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9、冀财社[2019]117号2020年中央财政困难群众救助补助资金(临时救助)绩效目标表</w:t>
      </w:r>
      <w:bookmarkStart w:id="16" w:name="_Toc6750"/>
      <w:bookmarkStart w:id="17" w:name="_Toc24338"/>
      <w:r>
        <w:rPr>
          <w:rFonts w:hint="eastAsia"/>
        </w:rPr>
        <w:fldChar w:fldCharType="begin"/>
      </w:r>
      <w:r>
        <w:rPr>
          <w:rFonts w:hint="eastAsia" w:ascii="方正仿宋_GBK" w:hAnsi="方正仿宋_GBK" w:eastAsia="方正仿宋_GBK" w:cs="方正仿宋_GBK"/>
          <w:sz w:val="28"/>
        </w:rPr>
        <w:instrText xml:space="preserve"> TC 9、冀财社[2019]117号2020年中央财政困难群众救助补助资金(临时救助)绩效目标表 \f C \l 1 </w:instrText>
      </w:r>
      <w:r>
        <w:rPr>
          <w:rFonts w:hint="eastAsia" w:ascii="方正仿宋_GBK" w:hAnsi="方正仿宋_GBK" w:eastAsia="方正仿宋_GBK" w:cs="方正仿宋_GBK"/>
          <w:sz w:val="28"/>
        </w:rPr>
        <w:fldChar w:fldCharType="end"/>
      </w:r>
      <w:bookmarkEnd w:id="16"/>
      <w:bookmarkEnd w:id="1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314-7101-JSN-59XS</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冀财社[2019]117号2020年中央财政困难群众救助补助资金(临时救助)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我市预计2020年大约需临时救助人员300人，平均每人发放大约需发放临时救助金6000元/人.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1、提高困难群体的生活水平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2、落实好困难群体的生活待遇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临时救助人员的救助率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已救助人数占应救助人员的比例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≥100%百分之百落实好困难群体的生活待遇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10、冀财社[2019]117号2020年中央财政困难群众救助补助资金(流浪乞讨救助)绩效目标表</w:t>
      </w:r>
      <w:bookmarkStart w:id="18" w:name="_Toc10486"/>
      <w:bookmarkStart w:id="19" w:name="_Toc22940"/>
      <w:r>
        <w:rPr>
          <w:rFonts w:hint="eastAsia"/>
        </w:rPr>
        <w:fldChar w:fldCharType="begin"/>
      </w:r>
      <w:r>
        <w:rPr>
          <w:rFonts w:hint="eastAsia" w:ascii="方正仿宋_GBK" w:hAnsi="方正仿宋_GBK" w:eastAsia="方正仿宋_GBK" w:cs="方正仿宋_GBK"/>
          <w:sz w:val="28"/>
        </w:rPr>
        <w:instrText xml:space="preserve"> TC 10、冀财社[2019]117号2020年中央财政困难群众救助补助资金(流浪乞讨救助)绩效目标表 \f C \l 1 </w:instrText>
      </w:r>
      <w:r>
        <w:rPr>
          <w:rFonts w:hint="eastAsia" w:ascii="方正仿宋_GBK" w:hAnsi="方正仿宋_GBK" w:eastAsia="方正仿宋_GBK" w:cs="方正仿宋_GBK"/>
          <w:sz w:val="28"/>
        </w:rPr>
        <w:fldChar w:fldCharType="end"/>
      </w:r>
      <w:bookmarkEnd w:id="18"/>
      <w:bookmarkEnd w:id="1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314-0404-JSN-572Z</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冀财社[2019]117号2020年中央财政困难群众救助补助资金(流浪乞讨救助)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为进一步做好社区流浪乞讨人员的救助管理工作，维持正常社会生活秩序，救助保护工作的意义非常重要.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1、服务好流浪乞讨人员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2、落实好流浪乞讨人员的实际困难</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临时救助人员的救助率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已救助人数占应救助人员的比例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%百分之百落实好流浪乞讨人员的实际困难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11、冀财社[2019]117号2020年中央财政困难群众救助补助资金(农村低保)绩效目标表</w:t>
      </w:r>
      <w:bookmarkStart w:id="20" w:name="_Toc11587"/>
      <w:bookmarkStart w:id="21" w:name="_Toc1938"/>
      <w:r>
        <w:rPr>
          <w:rFonts w:hint="eastAsia"/>
        </w:rPr>
        <w:fldChar w:fldCharType="begin"/>
      </w:r>
      <w:r>
        <w:rPr>
          <w:rFonts w:hint="eastAsia" w:ascii="方正仿宋_GBK" w:hAnsi="方正仿宋_GBK" w:eastAsia="方正仿宋_GBK" w:cs="方正仿宋_GBK"/>
          <w:sz w:val="28"/>
        </w:rPr>
        <w:instrText xml:space="preserve"> TC 11、冀财社[2019]117号2020年中央财政困难群众救助补助资金(农村低保)绩效目标表 \f C \l 1 </w:instrText>
      </w:r>
      <w:r>
        <w:rPr>
          <w:rFonts w:hint="eastAsia" w:ascii="方正仿宋_GBK" w:hAnsi="方正仿宋_GBK" w:eastAsia="方正仿宋_GBK" w:cs="方正仿宋_GBK"/>
          <w:sz w:val="28"/>
        </w:rPr>
        <w:fldChar w:fldCharType="end"/>
      </w:r>
      <w:bookmarkEnd w:id="20"/>
      <w:bookmarkEnd w:id="2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314-0101-JSN-0GMW</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冀财社[2019]117号2020年中央财政困难群众救助补助资金(农村低保)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2700.00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2700.00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据实足额及时拨付.认真落实中央、省市城乡最低生活保障规章制度，进一步巩固动态管理下的应保尽保，努力构建标准科学、对象准确、进出有序的阳光低保工作格局。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1、提高农村低保的生活水平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2、落实好农村低保人员的生活待遇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城乡居民低保保障率（%）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符合条件的对象实际纳入低保人数占应纳入低保人数的比率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≥100%百分之百落实好农村低保人员的生活待遇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12、冀财社[2019]117号2020年中央财政困难群众救助补助资金(特困供养)绩效目标表</w:t>
      </w:r>
      <w:bookmarkStart w:id="22" w:name="_Toc29965"/>
      <w:bookmarkStart w:id="23" w:name="_Toc26596"/>
      <w:r>
        <w:rPr>
          <w:rFonts w:hint="eastAsia"/>
        </w:rPr>
        <w:fldChar w:fldCharType="begin"/>
      </w:r>
      <w:r>
        <w:rPr>
          <w:rFonts w:hint="eastAsia" w:ascii="方正仿宋_GBK" w:hAnsi="方正仿宋_GBK" w:eastAsia="方正仿宋_GBK" w:cs="方正仿宋_GBK"/>
          <w:sz w:val="28"/>
        </w:rPr>
        <w:instrText xml:space="preserve"> TC 12、冀财社[2019]117号2020年中央财政困难群众救助补助资金(特困供养)绩效目标表 \f C \l 1 </w:instrText>
      </w:r>
      <w:r>
        <w:rPr>
          <w:rFonts w:hint="eastAsia" w:ascii="方正仿宋_GBK" w:hAnsi="方正仿宋_GBK" w:eastAsia="方正仿宋_GBK" w:cs="方正仿宋_GBK"/>
          <w:sz w:val="28"/>
        </w:rPr>
        <w:fldChar w:fldCharType="end"/>
      </w:r>
      <w:bookmarkEnd w:id="22"/>
      <w:bookmarkEnd w:id="2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314-0202-JSN-G6SQ</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冀财社[2019]117号2020年中央财政困难群众救助补助资金(特困供养)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955.00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唐山市民政局、唐山市财政局《关于调整我市特困人员救助供养标准的通知》（唐民通【2017】2号）精神，农村集中供养特困人员基本生活标准为我市农村低保标准的1.6倍，农村分散供养特困人员基本生活标准为我市农村低保标准的1.4倍，城市特困人员基本生活标准为城市低保标准的1.5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1、提高特困人员的生活水平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2、落实好特困人员的生活待遇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符合条件的对象纳入低保范围人数占符合条件对象人数的比例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按照要求和计划完成研究任务的项目在所有立项项目中的比例（百分比）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冀财社【2019】117号河北省财政厅民政厅关于提前下达2020年中央财政困难群众救助补助资金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13、冀财社[2019]119号2020年省级财政困难群众基本生活救助补助(残疾人两项补贴)绩效目标表</w:t>
      </w:r>
      <w:bookmarkStart w:id="24" w:name="_Toc12488"/>
      <w:bookmarkStart w:id="25" w:name="_Toc32642"/>
      <w:r>
        <w:rPr>
          <w:rFonts w:hint="eastAsia"/>
        </w:rPr>
        <w:fldChar w:fldCharType="begin"/>
      </w:r>
      <w:r>
        <w:rPr>
          <w:rFonts w:hint="eastAsia" w:ascii="方正仿宋_GBK" w:hAnsi="方正仿宋_GBK" w:eastAsia="方正仿宋_GBK" w:cs="方正仿宋_GBK"/>
          <w:sz w:val="28"/>
        </w:rPr>
        <w:instrText xml:space="preserve"> TC 13、冀财社[2019]119号2020年省级财政困难群众基本生活救助补助(残疾人两项补贴)绩效目标表 \f C \l 1 </w:instrText>
      </w:r>
      <w:r>
        <w:rPr>
          <w:rFonts w:hint="eastAsia" w:ascii="方正仿宋_GBK" w:hAnsi="方正仿宋_GBK" w:eastAsia="方正仿宋_GBK" w:cs="方正仿宋_GBK"/>
          <w:sz w:val="28"/>
        </w:rPr>
        <w:fldChar w:fldCharType="end"/>
      </w:r>
      <w:bookmarkEnd w:id="24"/>
      <w:bookmarkEnd w:id="2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314-0505-JSN-U3B0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冀财社[2019]119号2020年省级财政困难群众基本生活救助补助(残疾人两项补贴)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220.00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220.00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为支持进一步做好困难群众基本生活救助，全市享受困难生活补贴2830人，享受重度护理补贴3852人。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1、提高困难残疾人生活水平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2、落实残疾人制度实施</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残疾人两项补贴的发放率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残疾人两项补贴的发放率的比例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14、冀财社[2019]119号2020年省级财政困难群众基本生活救助补助(孤儿基本生活保障)绩效目标表</w:t>
      </w:r>
      <w:bookmarkStart w:id="26" w:name="_Toc20670"/>
      <w:bookmarkStart w:id="27" w:name="_Toc26972"/>
      <w:r>
        <w:rPr>
          <w:rFonts w:hint="eastAsia"/>
        </w:rPr>
        <w:fldChar w:fldCharType="begin"/>
      </w:r>
      <w:r>
        <w:rPr>
          <w:rFonts w:hint="eastAsia" w:ascii="方正仿宋_GBK" w:hAnsi="方正仿宋_GBK" w:eastAsia="方正仿宋_GBK" w:cs="方正仿宋_GBK"/>
          <w:sz w:val="28"/>
        </w:rPr>
        <w:instrText xml:space="preserve"> TC 14、冀财社[2019]119号2020年省级财政困难群众基本生活救助补助(孤儿基本生活保障)绩效目标表 \f C \l 1 </w:instrText>
      </w:r>
      <w:r>
        <w:rPr>
          <w:rFonts w:hint="eastAsia" w:ascii="方正仿宋_GBK" w:hAnsi="方正仿宋_GBK" w:eastAsia="方正仿宋_GBK" w:cs="方正仿宋_GBK"/>
          <w:sz w:val="28"/>
        </w:rPr>
        <w:fldChar w:fldCharType="end"/>
      </w:r>
      <w:bookmarkEnd w:id="26"/>
      <w:bookmarkEnd w:id="2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314-0303-JSN-3LZN</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冀财社[2019]119号2020年省级财政困难群众基本生活救助补助(孤儿基本生活保障)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65.00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65.00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河北省民政厅、河北省财政厅《关于发放孤儿基本生活费有关问题的通知》精神，孤儿基本生活费由中央、省、设区市和县四级财政共同承担。即：按照机构抚养每人每月1300元、散居孤儿每人每月850元的标准，扣除中央财政补助的每人每月300元，剩余部分由省和与直管县5:5比例分担，机构供养孤儿4名需地方配套2.4万元，社会散居孤儿126名（含预测新增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1、保障孤儿政策实施</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2、落实孤儿的生活待遇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县级儿童福利机构建设数量（家）</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全省建设县级儿童福利机构的数量</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儿童救助治愈率（%）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得到救治并治愈的儿童数占得到救治人数的比率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15、冀财社[2019]119号2020年省级财政困难群众基本生活救助补助(特困供养)绩效目标表</w:t>
      </w:r>
      <w:bookmarkStart w:id="28" w:name="_Toc19039"/>
      <w:bookmarkStart w:id="29" w:name="_Toc4631"/>
      <w:r>
        <w:rPr>
          <w:rFonts w:hint="eastAsia"/>
        </w:rPr>
        <w:fldChar w:fldCharType="begin"/>
      </w:r>
      <w:r>
        <w:rPr>
          <w:rFonts w:hint="eastAsia" w:ascii="方正仿宋_GBK" w:hAnsi="方正仿宋_GBK" w:eastAsia="方正仿宋_GBK" w:cs="方正仿宋_GBK"/>
          <w:sz w:val="28"/>
        </w:rPr>
        <w:instrText xml:space="preserve"> TC 15、冀财社[2019]119号2020年省级财政困难群众基本生活救助补助(特困供养)绩效目标表 \f C \l 1 </w:instrText>
      </w:r>
      <w:r>
        <w:rPr>
          <w:rFonts w:hint="eastAsia" w:ascii="方正仿宋_GBK" w:hAnsi="方正仿宋_GBK" w:eastAsia="方正仿宋_GBK" w:cs="方正仿宋_GBK"/>
          <w:sz w:val="28"/>
        </w:rPr>
        <w:fldChar w:fldCharType="end"/>
      </w:r>
      <w:bookmarkEnd w:id="28"/>
      <w:bookmarkEnd w:id="2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314-0202-JSN-RS5T</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冀财社[2019]119号2020年省级财政困难群众基本生活救助补助(特困供养)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995.00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995.00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唐山市民政局、唐山市财政局《关于调整我市特困人员救助供养标准的通知》（唐民通【2017】2号）精神，农村集中供养特困人员基本生活标准为我市农村低保标准的1.6倍，农村分散供养特困人员基本生活标准为我市农村低保标准的1.4倍，城市特困人员基本生活标准为城市低保标准的1.5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1、提高特困人员的生活水平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2、落实好特困人员的生活待遇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符合条件的对象纳入低保范围人数占符合条件对象人数的比例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按照要求和计划完成研究任务的项目在所有立项项目中的比例（百分比）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≥100%百分之百保障特困人员生活水平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冀财社【2019】119号河北省财政厅关于提前下达2020年省级财政困难群众基本生活救助补助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16、冀财社[2019]121号 2020年省级福利彩票专项公益金预算指标的通知(孤儿医疗康复明天计划)绩效目标表</w:t>
      </w:r>
      <w:bookmarkStart w:id="30" w:name="_Toc31119"/>
      <w:bookmarkStart w:id="31" w:name="_Toc23116"/>
      <w:r>
        <w:rPr>
          <w:rFonts w:hint="eastAsia"/>
        </w:rPr>
        <w:fldChar w:fldCharType="begin"/>
      </w:r>
      <w:r>
        <w:rPr>
          <w:rFonts w:hint="eastAsia" w:ascii="方正仿宋_GBK" w:hAnsi="方正仿宋_GBK" w:eastAsia="方正仿宋_GBK" w:cs="方正仿宋_GBK"/>
          <w:sz w:val="28"/>
        </w:rPr>
        <w:instrText xml:space="preserve"> TC 16、冀财社[2019]121号 2020年省级福利彩票专项公益金预算指标的通知(孤儿医疗康复明天计划)绩效目标表 \f C \l 1 </w:instrText>
      </w:r>
      <w:r>
        <w:rPr>
          <w:rFonts w:hint="eastAsia" w:ascii="方正仿宋_GBK" w:hAnsi="方正仿宋_GBK" w:eastAsia="方正仿宋_GBK" w:cs="方正仿宋_GBK"/>
          <w:sz w:val="28"/>
        </w:rPr>
        <w:fldChar w:fldCharType="end"/>
      </w:r>
      <w:bookmarkEnd w:id="30"/>
      <w:bookmarkEnd w:id="3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314-0303-YSN-Q8Q3</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 2020年省级福利彩票专项公益金预算指标的通知(孤儿医疗康复明天计划)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为规范开展我市“孤儿医疗康复明天计划”项目，成立“明天计划”领导小组，指挥协调各项日常工作.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1、落实孤儿就医问题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2、解决好孤儿医疗难题</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县级儿童福利机构建设数量（家）</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全省建设县级儿童福利机构的数量</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儿童救助治愈率（%）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得到救治并治愈的儿童数占得到救治人数的比率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≥100%百分之百落实孤儿就医难题</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17、冀财社[2019]121号 2020年省级福利彩票专项公益金预算指标的通知(农村公益性公墓建设)绩效目标表</w:t>
      </w:r>
      <w:bookmarkStart w:id="32" w:name="_Toc19747"/>
      <w:bookmarkStart w:id="33" w:name="_Toc11144"/>
      <w:r>
        <w:rPr>
          <w:rFonts w:hint="eastAsia"/>
        </w:rPr>
        <w:fldChar w:fldCharType="begin"/>
      </w:r>
      <w:r>
        <w:rPr>
          <w:rFonts w:hint="eastAsia" w:ascii="方正仿宋_GBK" w:hAnsi="方正仿宋_GBK" w:eastAsia="方正仿宋_GBK" w:cs="方正仿宋_GBK"/>
          <w:sz w:val="28"/>
        </w:rPr>
        <w:instrText xml:space="preserve"> TC 17、冀财社[2019]121号 2020年省级福利彩票专项公益金预算指标的通知(农村公益性公墓建设)绩效目标表 \f C \l 1 </w:instrText>
      </w:r>
      <w:r>
        <w:rPr>
          <w:rFonts w:hint="eastAsia" w:ascii="方正仿宋_GBK" w:hAnsi="方正仿宋_GBK" w:eastAsia="方正仿宋_GBK" w:cs="方正仿宋_GBK"/>
          <w:sz w:val="28"/>
        </w:rPr>
        <w:fldChar w:fldCharType="end"/>
      </w:r>
      <w:bookmarkEnd w:id="32"/>
      <w:bookmarkEnd w:id="3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314-3405-YSN-WF2Q</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 2020年省级福利彩票专项公益金预算指标的通知(农村公益性公墓建设)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50.00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50.00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为认真贯彻落实《河北省人民政府办公厅关于加强农村公益性公墓建设和管理的意见》（【2019】79号）要求，有效治理农村散乱葬问题.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1、提高公墓建设</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2、落实公墓建设资金</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坟墓搬迁率（%）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已搬迁坟墓数占应搬迁坟墓数的比率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经费落实率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经费落实率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坟墓搬迁工作完成率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通过调查，了解坟墓搬迁家属满意程度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≥100%百分之百提高公墓建设</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冀财社【2019】121号河北省财政厅关于提前下达2020年省级福利彩票专项公益金</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18、冀财社[2019]136号2020年省级财政城乡社区建设补助绩效目标表</w:t>
      </w:r>
      <w:bookmarkStart w:id="34" w:name="_Toc431"/>
      <w:bookmarkStart w:id="35" w:name="_Toc29810"/>
      <w:r>
        <w:rPr>
          <w:rFonts w:hint="eastAsia"/>
        </w:rPr>
        <w:fldChar w:fldCharType="begin"/>
      </w:r>
      <w:r>
        <w:rPr>
          <w:rFonts w:hint="eastAsia" w:ascii="方正仿宋_GBK" w:hAnsi="方正仿宋_GBK" w:eastAsia="方正仿宋_GBK" w:cs="方正仿宋_GBK"/>
          <w:sz w:val="28"/>
        </w:rPr>
        <w:instrText xml:space="preserve"> TC 18、冀财社[2019]136号2020年省级财政城乡社区建设补助绩效目标表 \f C \l 1 </w:instrText>
      </w:r>
      <w:r>
        <w:rPr>
          <w:rFonts w:hint="eastAsia" w:ascii="方正仿宋_GBK" w:hAnsi="方正仿宋_GBK" w:eastAsia="方正仿宋_GBK" w:cs="方正仿宋_GBK"/>
          <w:sz w:val="28"/>
        </w:rPr>
        <w:fldChar w:fldCharType="end"/>
      </w:r>
      <w:bookmarkEnd w:id="34"/>
      <w:bookmarkEnd w:id="3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314-6402-YSN-S1RH</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随着城市化进程的不断加快，居民对社区的服务管理提出了新的更高要求，建设配套齐全的社区服务中心和服务站.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1、方便村民娱乐</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2、解决村民娱乐设施</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城市社区综合设施覆盖率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城市社区综合设施覆盖率是否达到全国平均水平</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行政区划调整风险评估占行政区划调整总数的比例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≥100%百分之百方便村民娱乐</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冀财社【2019】136号河北省财政厅关于提前下达2020年省级财政城乡社区建设补助</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19、敬老院更换锅炉绩效目标表</w:t>
      </w:r>
      <w:bookmarkStart w:id="36" w:name="_Toc11912"/>
      <w:bookmarkStart w:id="37" w:name="_Toc25827"/>
      <w:r>
        <w:rPr>
          <w:rFonts w:hint="eastAsia"/>
        </w:rPr>
        <w:fldChar w:fldCharType="begin"/>
      </w:r>
      <w:r>
        <w:rPr>
          <w:rFonts w:hint="eastAsia" w:ascii="方正仿宋_GBK" w:hAnsi="方正仿宋_GBK" w:eastAsia="方正仿宋_GBK" w:cs="方正仿宋_GBK"/>
          <w:sz w:val="28"/>
        </w:rPr>
        <w:instrText xml:space="preserve"> TC 19、敬老院更换锅炉绩效目标表 \f C \l 1 </w:instrText>
      </w:r>
      <w:r>
        <w:rPr>
          <w:rFonts w:hint="eastAsia" w:ascii="方正仿宋_GBK" w:hAnsi="方正仿宋_GBK" w:eastAsia="方正仿宋_GBK" w:cs="方正仿宋_GBK"/>
          <w:sz w:val="28"/>
        </w:rPr>
        <w:fldChar w:fldCharType="end"/>
      </w:r>
      <w:bookmarkEnd w:id="36"/>
      <w:bookmarkEnd w:id="3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314-2304-YXN-9WB6</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敬老院更换锅炉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有效控制燃煤污染，改善大气环境质量，按照市政府燃煤锅炉专项治理工作会议精神，根据遵化市环境保障工作领导小组办公室《关于进一步加强2016年燃煤锅炉整治工作的通知》（遵环领办【2016】26号）通知要求，2016年，我局将6所敬老院1蒸吨燃煤锅炉全部更换为新型环保锅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2、提高敬老院管理水平</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符合条件的对象纳入供养人数占应纳入供养人数的比率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≥100%百分之百,落实敬老院冬季取暖问题.</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落实敬老院冬季取暖问题.</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遵化市民政局关于更换敬老院锅炉所需资金的请示</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20、敬老院锅炉工工资绩效目标表</w:t>
      </w:r>
      <w:bookmarkStart w:id="38" w:name="_Toc15096"/>
      <w:bookmarkStart w:id="39" w:name="_Toc13170"/>
      <w:r>
        <w:rPr>
          <w:rFonts w:hint="eastAsia"/>
        </w:rPr>
        <w:fldChar w:fldCharType="begin"/>
      </w:r>
      <w:r>
        <w:rPr>
          <w:rFonts w:hint="eastAsia" w:ascii="方正仿宋_GBK" w:hAnsi="方正仿宋_GBK" w:eastAsia="方正仿宋_GBK" w:cs="方正仿宋_GBK"/>
          <w:sz w:val="28"/>
        </w:rPr>
        <w:instrText xml:space="preserve"> TC 20、敬老院锅炉工工资绩效目标表 \f C \l 1 </w:instrText>
      </w:r>
      <w:r>
        <w:rPr>
          <w:rFonts w:hint="eastAsia" w:ascii="方正仿宋_GBK" w:hAnsi="方正仿宋_GBK" w:eastAsia="方正仿宋_GBK" w:cs="方正仿宋_GBK"/>
          <w:sz w:val="28"/>
        </w:rPr>
        <w:fldChar w:fldCharType="end"/>
      </w:r>
      <w:bookmarkEnd w:id="38"/>
      <w:bookmarkEnd w:id="3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314-2304-JXN-W5GU</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敬老院锅炉工工资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8.00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8.00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为确保敬老院冬季取暖，每所院需临时雇用锅炉工2名，6所院共12名，每人每月1400元，工期5个月（当年的11月1日至下年度的3月31日）。雇用锅炉工共需工资8万元。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1、保障敬老院集中供养特困老人冬季取暖工作。</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2、落实老人的冬季取暖。</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综合事务管理工作完成情况</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享受老年人福利人数(人)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社会稳定水平</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通过实施原“赤脚医生”养老补助政策促进社会稳定水平逐步提高</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%百分之百，保障敬老院集中供养特困老人冬季取暖工作。</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遵政会【2013】8号，遵化市人民政府市长办公会会议纪要</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21、敬老院绩效奖绩效目标表</w:t>
      </w:r>
      <w:bookmarkStart w:id="40" w:name="_Toc386"/>
      <w:bookmarkStart w:id="41" w:name="_Toc26545"/>
      <w:r>
        <w:rPr>
          <w:rFonts w:hint="eastAsia"/>
        </w:rPr>
        <w:fldChar w:fldCharType="begin"/>
      </w:r>
      <w:r>
        <w:rPr>
          <w:rFonts w:hint="eastAsia" w:ascii="方正仿宋_GBK" w:hAnsi="方正仿宋_GBK" w:eastAsia="方正仿宋_GBK" w:cs="方正仿宋_GBK"/>
          <w:sz w:val="28"/>
        </w:rPr>
        <w:instrText xml:space="preserve"> TC 21、敬老院绩效奖绩效目标表 \f C \l 1 </w:instrText>
      </w:r>
      <w:r>
        <w:rPr>
          <w:rFonts w:hint="eastAsia" w:ascii="方正仿宋_GBK" w:hAnsi="方正仿宋_GBK" w:eastAsia="方正仿宋_GBK" w:cs="方正仿宋_GBK"/>
          <w:sz w:val="28"/>
        </w:rPr>
        <w:fldChar w:fldCharType="end"/>
      </w:r>
      <w:bookmarkEnd w:id="40"/>
      <w:bookmarkEnd w:id="4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314-2304-YXN-QEW1</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敬老院绩效奖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7.00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7.00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为推动敬老院职工工作的积极性，按照市政府市长办公会纪要（遵政会[2013]8号）要求，市财政每年为敬老院职工安排绩效考核工资7万元。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1、调动敬老院工作有序进展和人员队伍的稳定</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2、鼓励敬老院工作人员的积极性</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综合事务管理工作完成情况</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≥100%百分之百，鼓励敬老院工作人员的积极性</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遵政会【2013】8号，遵化市人民政府市长办公会研究讨论提高敬老院职工工资</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22、敬老院日常办公及车辆维修经费绩效目标表</w:t>
      </w:r>
      <w:bookmarkStart w:id="42" w:name="_Toc17239"/>
      <w:bookmarkStart w:id="43" w:name="_Toc9481"/>
      <w:r>
        <w:rPr>
          <w:rFonts w:hint="eastAsia"/>
        </w:rPr>
        <w:fldChar w:fldCharType="begin"/>
      </w:r>
      <w:r>
        <w:rPr>
          <w:rFonts w:hint="eastAsia" w:ascii="方正仿宋_GBK" w:hAnsi="方正仿宋_GBK" w:eastAsia="方正仿宋_GBK" w:cs="方正仿宋_GBK"/>
          <w:sz w:val="28"/>
        </w:rPr>
        <w:instrText xml:space="preserve"> TC 22、敬老院日常办公及车辆维修经费绩效目标表 \f C \l 1 </w:instrText>
      </w:r>
      <w:r>
        <w:rPr>
          <w:rFonts w:hint="eastAsia" w:ascii="方正仿宋_GBK" w:hAnsi="方正仿宋_GBK" w:eastAsia="方正仿宋_GBK" w:cs="方正仿宋_GBK"/>
          <w:sz w:val="28"/>
        </w:rPr>
        <w:fldChar w:fldCharType="end"/>
      </w:r>
      <w:bookmarkEnd w:id="42"/>
      <w:bookmarkEnd w:id="4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314-2304-JXN-IAYA</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敬老院日常办公及车辆维修经费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37.00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37.00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面建成以居家为基础、社区为依托、机构为支撑，功能完善、规模适度、覆盖城乡的养老服务体系，实现我县老人老有所养，老有所依，老有所乐，老有所为的目标保障六所敬老院办公正常进行，提高敬老院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p>
        </w:tc>
        <w:tc>
          <w:tcPr>
            <w:tcW w:w="1588" w:type="dxa"/>
            <w:vAlign w:val="center"/>
          </w:tcPr>
          <w:p>
            <w:pPr>
              <w:spacing w:line="300" w:lineRule="exact"/>
              <w:jc w:val="center"/>
              <w:rPr>
                <w:rFonts w:ascii="方正书宋_GBK" w:hAnsi="方正书宋_GBK" w:eastAsia="方正书宋_GBK" w:cs="方正书宋_GBK"/>
              </w:rPr>
            </w:pPr>
          </w:p>
        </w:tc>
        <w:tc>
          <w:tcPr>
            <w:tcW w:w="1304" w:type="dxa"/>
            <w:vAlign w:val="center"/>
          </w:tcPr>
          <w:p>
            <w:pPr>
              <w:spacing w:line="300" w:lineRule="exact"/>
              <w:jc w:val="center"/>
              <w:rPr>
                <w:rFonts w:ascii="方正书宋_GBK" w:hAnsi="方正书宋_GBK" w:eastAsia="方正书宋_GBK" w:cs="方正书宋_GBK"/>
              </w:rPr>
            </w:pPr>
          </w:p>
        </w:tc>
        <w:tc>
          <w:tcPr>
            <w:tcW w:w="2977" w:type="dxa"/>
            <w:gridSpan w:val="2"/>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1、提高敬老院管理水平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2、保障六所敬老院办公正常进行</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符合条件的对象纳入供养人数占应纳入供养人数的比率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经费总额拨付率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经费总额拨付率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社会稳定水平</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通过实施原“赤脚医生”养老补助政策促进社会稳定水平逐步提高</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≥100%百分之百，提高敬老院的管理</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23、敬老院院内维修绩效目标表</w:t>
      </w:r>
      <w:bookmarkStart w:id="44" w:name="_Toc29302"/>
      <w:bookmarkStart w:id="45" w:name="_Toc28966"/>
      <w:r>
        <w:rPr>
          <w:rFonts w:hint="eastAsia"/>
        </w:rPr>
        <w:fldChar w:fldCharType="begin"/>
      </w:r>
      <w:r>
        <w:rPr>
          <w:rFonts w:hint="eastAsia" w:ascii="方正仿宋_GBK" w:hAnsi="方正仿宋_GBK" w:eastAsia="方正仿宋_GBK" w:cs="方正仿宋_GBK"/>
          <w:sz w:val="28"/>
        </w:rPr>
        <w:instrText xml:space="preserve"> TC 23、敬老院院内维修绩效目标表 \f C \l 1 </w:instrText>
      </w:r>
      <w:r>
        <w:rPr>
          <w:rFonts w:hint="eastAsia" w:ascii="方正仿宋_GBK" w:hAnsi="方正仿宋_GBK" w:eastAsia="方正仿宋_GBK" w:cs="方正仿宋_GBK"/>
          <w:sz w:val="28"/>
        </w:rPr>
        <w:fldChar w:fldCharType="end"/>
      </w:r>
      <w:bookmarkEnd w:id="44"/>
      <w:bookmarkEnd w:id="4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314-2304-YXN-CKAO</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敬老院院内维修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6所敬老院对院内毁损破旧的设备设施维修资金，保障老人生活质量,六所院共需5万元，预算内据实拨付。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1、全面建成以居家为基础、社区为依托、机构为支撑，功能完善、规模适度、覆盖城乡的养老服务体系.</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2、实现我市老人老有所养，老有所依，老有所乐，老有所为的目标。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符合条件的对象纳入供养人数占应纳入供养人数的比率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≥100%百分之百,实现我市老人老有所养，老有所依，老有所乐，老有所为的目标。</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遵政办【2015】63关于印发遵化市民政局主要职责内设机构和人员编制规定的通知</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24、困难残疾人两项补贴绩效目标表</w:t>
      </w:r>
      <w:bookmarkStart w:id="46" w:name="_Toc23859"/>
      <w:bookmarkStart w:id="47" w:name="_Toc21587"/>
      <w:r>
        <w:rPr>
          <w:rFonts w:hint="eastAsia"/>
        </w:rPr>
        <w:fldChar w:fldCharType="begin"/>
      </w:r>
      <w:r>
        <w:rPr>
          <w:rFonts w:hint="eastAsia" w:ascii="方正仿宋_GBK" w:hAnsi="方正仿宋_GBK" w:eastAsia="方正仿宋_GBK" w:cs="方正仿宋_GBK"/>
          <w:sz w:val="28"/>
        </w:rPr>
        <w:instrText xml:space="preserve"> TC 24、困难残疾人两项补贴绩效目标表 \f C \l 1 </w:instrText>
      </w:r>
      <w:r>
        <w:rPr>
          <w:rFonts w:hint="eastAsia" w:ascii="方正仿宋_GBK" w:hAnsi="方正仿宋_GBK" w:eastAsia="方正仿宋_GBK" w:cs="方正仿宋_GBK"/>
          <w:sz w:val="28"/>
        </w:rPr>
        <w:fldChar w:fldCharType="end"/>
      </w:r>
      <w:bookmarkEnd w:id="46"/>
      <w:bookmarkEnd w:id="4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314-0505-JXN-S203</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260.00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260.00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为支持进一步做好困难群众基本生活救助，全市享受困难生活补贴2830人，享受重度护理补贴3852人。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1、提高困难残疾人生活水平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2、落实残疾人制度实施</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残疾人两项补贴的发放率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残疾人两项补贴的发放率的比例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≥100%百分之百提高残疾人生活水平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冀财社【2018】4号关于调整困难残疾人生活补贴和重度残疾人护理补贴</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25、民政局城乡社会救助体系经费绩效目标表</w:t>
      </w:r>
      <w:bookmarkStart w:id="48" w:name="_Toc6257"/>
      <w:bookmarkStart w:id="49" w:name="_Toc29406"/>
      <w:r>
        <w:rPr>
          <w:rFonts w:hint="eastAsia"/>
        </w:rPr>
        <w:fldChar w:fldCharType="begin"/>
      </w:r>
      <w:r>
        <w:rPr>
          <w:rFonts w:hint="eastAsia" w:ascii="方正仿宋_GBK" w:hAnsi="方正仿宋_GBK" w:eastAsia="方正仿宋_GBK" w:cs="方正仿宋_GBK"/>
          <w:sz w:val="28"/>
        </w:rPr>
        <w:instrText xml:space="preserve"> TC 25、民政局城乡社会救助体系经费绩效目标表 \f C \l 1 </w:instrText>
      </w:r>
      <w:r>
        <w:rPr>
          <w:rFonts w:hint="eastAsia" w:ascii="方正仿宋_GBK" w:hAnsi="方正仿宋_GBK" w:eastAsia="方正仿宋_GBK" w:cs="方正仿宋_GBK"/>
          <w:sz w:val="28"/>
        </w:rPr>
        <w:fldChar w:fldCharType="end"/>
      </w:r>
      <w:bookmarkEnd w:id="48"/>
      <w:bookmarkEnd w:id="4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314-1010-JXN-C46U</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民政局城乡社会救助体系经费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各县（市）城乡社会救助体系建设工作经费按照当地低保对象人数确定，每人人均不低于15元。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1、保障城乡救助工作顺利开展。</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2、救助工作得到有力保障。</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民族经费发放率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工作经费及时拨付率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民族工作经费及时拨付率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受助人员救助增长率（%）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当期受助人员救助人数同比增长比率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受助人员救助增长率（%）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当期受助人员救助人数同比增长比率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≥100%百分之百，保障城乡救助工作顺利开展.</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关于城乡社会救助工作有关资金的通知冀财社【2006】74号</w:t>
            </w:r>
          </w:p>
          <w:p>
            <w:pPr>
              <w:spacing w:line="300" w:lineRule="exact"/>
              <w:jc w:val="left"/>
              <w:rPr>
                <w:rFonts w:ascii="方正书宋_GBK" w:hAnsi="方正书宋_GBK" w:eastAsia="方正书宋_GBK" w:cs="方正书宋_GBK"/>
              </w:rPr>
            </w:pP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26、民政局购置醇基燃料费绩效目标表</w:t>
      </w:r>
      <w:bookmarkStart w:id="50" w:name="_Toc13735"/>
      <w:bookmarkStart w:id="51" w:name="_Toc30358"/>
      <w:r>
        <w:rPr>
          <w:rFonts w:hint="eastAsia"/>
        </w:rPr>
        <w:fldChar w:fldCharType="begin"/>
      </w:r>
      <w:r>
        <w:rPr>
          <w:rFonts w:hint="eastAsia" w:ascii="方正仿宋_GBK" w:hAnsi="方正仿宋_GBK" w:eastAsia="方正仿宋_GBK" w:cs="方正仿宋_GBK"/>
          <w:sz w:val="28"/>
        </w:rPr>
        <w:instrText xml:space="preserve"> TC 26、民政局购置醇基燃料费绩效目标表 \f C \l 1 </w:instrText>
      </w:r>
      <w:r>
        <w:rPr>
          <w:rFonts w:hint="eastAsia" w:ascii="方正仿宋_GBK" w:hAnsi="方正仿宋_GBK" w:eastAsia="方正仿宋_GBK" w:cs="方正仿宋_GBK"/>
          <w:sz w:val="28"/>
        </w:rPr>
        <w:fldChar w:fldCharType="end"/>
      </w:r>
      <w:bookmarkEnd w:id="50"/>
      <w:bookmarkEnd w:id="5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314-2304-YXN-413I</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民政局购置醇基燃料费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为确保敬老院冬季取暖，参照2019年敬老院实际使用醇基燃料1400吨数测算，每吨3300元，需资金462万元。2017-2018欠款144.176万元及2019少列预算资金35万元合计需资金641.176万元（当年的11月1日至下年度的3月31日）。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1、保障敬老院集中供养特困老人冬季取暖工作。</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2、提高敬老院集中供养特困老人冬季取暖工作。</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综合事务管理工作完成情况</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享受老年人福利人数(人)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入住养老机构的老年人满意度（%）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抽样调查入住养老机构的老年人，满意和较满意的老年人数量占全部调查人数的比率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≥100%百分之百保障敬老院老人过冬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遵财答复【2019】1444号关于冬季取暖购置燃料所需资金答复</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27、民政局孤儿基本生活费绩效目标表</w:t>
      </w:r>
      <w:bookmarkStart w:id="52" w:name="_Toc4513"/>
      <w:bookmarkStart w:id="53" w:name="_Toc16988"/>
      <w:r>
        <w:rPr>
          <w:rFonts w:hint="eastAsia"/>
        </w:rPr>
        <w:fldChar w:fldCharType="begin"/>
      </w:r>
      <w:r>
        <w:rPr>
          <w:rFonts w:hint="eastAsia" w:ascii="方正仿宋_GBK" w:hAnsi="方正仿宋_GBK" w:eastAsia="方正仿宋_GBK" w:cs="方正仿宋_GBK"/>
          <w:sz w:val="28"/>
        </w:rPr>
        <w:instrText xml:space="preserve"> TC 27、民政局孤儿基本生活费绩效目标表 \f C \l 1 </w:instrText>
      </w:r>
      <w:r>
        <w:rPr>
          <w:rFonts w:hint="eastAsia" w:ascii="方正仿宋_GBK" w:hAnsi="方正仿宋_GBK" w:eastAsia="方正仿宋_GBK" w:cs="方正仿宋_GBK"/>
          <w:sz w:val="28"/>
        </w:rPr>
        <w:fldChar w:fldCharType="end"/>
      </w:r>
      <w:bookmarkEnd w:id="52"/>
      <w:bookmarkEnd w:id="5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314-0303-JXN-3YEA</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民政局孤儿基本生活费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河北省民政厅、河北省财政厅《关于发放孤儿基本生活费有关问题的通知》精神，孤儿基本生活费由中央、省、设区市和县四级财政共同承担。即：按照机构抚养每人每月1300元、散居孤儿每人每月850元的标准，扣除中央财政补助的每人每月300元，剩余部分由省和与直管县5:5比例分担，机构供养孤儿4名需地方配套2.4万元，社会散居孤儿126名（含预测新增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1、保障孤儿政策实施</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2、落实孤儿的生活待遇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县级儿童福利机构建设数量（家）</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全省建设县级儿童福利机构的数量</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儿童救助治愈率（%）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得到救治并治愈的儿童数占得到救治人数的比率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孤儿基本生活保障率（%）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已享受基本生活保障的孤儿数占应享受人数的比率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≥100%百分之百保障孤儿政策实施</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冀民【2013】67号河北省民政厅财政厅关于进一步规范孤儿基本生活保障制度的通知</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28、民政局临时救助补贴绩效目标表</w:t>
      </w:r>
      <w:bookmarkStart w:id="54" w:name="_Toc16797"/>
      <w:bookmarkStart w:id="55" w:name="_Toc15190"/>
      <w:r>
        <w:rPr>
          <w:rFonts w:hint="eastAsia"/>
        </w:rPr>
        <w:fldChar w:fldCharType="begin"/>
      </w:r>
      <w:r>
        <w:rPr>
          <w:rFonts w:hint="eastAsia" w:ascii="方正仿宋_GBK" w:hAnsi="方正仿宋_GBK" w:eastAsia="方正仿宋_GBK" w:cs="方正仿宋_GBK"/>
          <w:sz w:val="28"/>
        </w:rPr>
        <w:instrText xml:space="preserve"> TC 28、民政局临时救助补贴绩效目标表 \f C \l 1 </w:instrText>
      </w:r>
      <w:r>
        <w:rPr>
          <w:rFonts w:hint="eastAsia" w:ascii="方正仿宋_GBK" w:hAnsi="方正仿宋_GBK" w:eastAsia="方正仿宋_GBK" w:cs="方正仿宋_GBK"/>
          <w:sz w:val="28"/>
        </w:rPr>
        <w:fldChar w:fldCharType="end"/>
      </w:r>
      <w:bookmarkEnd w:id="54"/>
      <w:bookmarkEnd w:id="5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314-7101-JXN-FR4O</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民政局临时救助补贴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18.00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18.00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每年对急难型救助对象和支出型救助对象给予临时救助。为在脱贫攻坚兜底保障中充分发挥临时救助作用.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1、提高临时救助人员的生活水平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2、落实好临时救助人员的生活待遇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临时救助人员的救助率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已救助人数占应救助人员的比例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≥100%百分之百提高临时救助人员的生活水平</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冀民【2018】95号河北省财政厅民政厅关于进一步加强和改进临时救助工作的实施意见</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29、民政局社区工作专项资金绩效目标表</w:t>
      </w:r>
      <w:bookmarkStart w:id="56" w:name="_Toc4893"/>
      <w:bookmarkStart w:id="57" w:name="_Toc20150"/>
      <w:r>
        <w:rPr>
          <w:rFonts w:hint="eastAsia"/>
        </w:rPr>
        <w:fldChar w:fldCharType="begin"/>
      </w:r>
      <w:r>
        <w:rPr>
          <w:rFonts w:hint="eastAsia" w:ascii="方正仿宋_GBK" w:hAnsi="方正仿宋_GBK" w:eastAsia="方正仿宋_GBK" w:cs="方正仿宋_GBK"/>
          <w:sz w:val="28"/>
        </w:rPr>
        <w:instrText xml:space="preserve"> TC 29、民政局社区工作专项资金绩效目标表 \f C \l 1 </w:instrText>
      </w:r>
      <w:r>
        <w:rPr>
          <w:rFonts w:hint="eastAsia" w:ascii="方正仿宋_GBK" w:hAnsi="方正仿宋_GBK" w:eastAsia="方正仿宋_GBK" w:cs="方正仿宋_GBK"/>
          <w:sz w:val="28"/>
        </w:rPr>
        <w:fldChar w:fldCharType="end"/>
      </w:r>
      <w:bookmarkEnd w:id="56"/>
      <w:bookmarkEnd w:id="5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314-6402-YXN-5S8D</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民政局社区工作专项资金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8.00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8.00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为了发挥财政资金引导作用，确保年底此项工作顺利通过上级检查验收，主要用于示范村制作中国社区标识、购买办公桌椅、电脑、打印机、复印件、空调等，改善农村社区办公条件。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1、提高农村社区办公条件</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2、落实农村社区人员生活水平</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城市社区综合设施覆盖率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城市社区综合设施覆盖率是否达到全国平均水平</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政策制定工作完成率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年度实际完成的城乡统筹城乡的就业规划和年度计划的拟定，促进就业、鼓励创业、劳动者平等就业、农村劳动力转移就业计划、规划及政策制定数量占计划完成数量的比例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社会组织登记合法率率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所有取得法人资格登记证书的全部合法、合格。</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≥100%百分之百，提高农村社区办公条件</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河北省财政厅、民政厅《关于印发河北省城乡社区建设补助资金使用管理办法的通知》冀财社【2015】57号</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30、民政局审核低保购买第三方服务费绩效目标表</w:t>
      </w:r>
      <w:bookmarkStart w:id="58" w:name="_Toc12978"/>
      <w:bookmarkStart w:id="59" w:name="_Toc8217"/>
      <w:r>
        <w:rPr>
          <w:rFonts w:hint="eastAsia"/>
        </w:rPr>
        <w:fldChar w:fldCharType="begin"/>
      </w:r>
      <w:r>
        <w:rPr>
          <w:rFonts w:hint="eastAsia" w:ascii="方正仿宋_GBK" w:hAnsi="方正仿宋_GBK" w:eastAsia="方正仿宋_GBK" w:cs="方正仿宋_GBK"/>
          <w:sz w:val="28"/>
        </w:rPr>
        <w:instrText xml:space="preserve"> TC 30、民政局审核低保购买第三方服务费绩效目标表 \f C \l 1 </w:instrText>
      </w:r>
      <w:r>
        <w:rPr>
          <w:rFonts w:hint="eastAsia" w:ascii="方正仿宋_GBK" w:hAnsi="方正仿宋_GBK" w:eastAsia="方正仿宋_GBK" w:cs="方正仿宋_GBK"/>
          <w:sz w:val="28"/>
        </w:rPr>
        <w:fldChar w:fldCharType="end"/>
      </w:r>
      <w:bookmarkEnd w:id="58"/>
      <w:bookmarkEnd w:id="5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314-0101-YXN-CLRD</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民政局审核低保购买第三方服务费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向社会力量购买社会救助服务主要包括事务性工作和服务性工作。事务性工作主要指基层经办最低生活保障、特困人员救助供养、医疗救助、临时救助等服务时的对象排查、家计调查、业务培训、政策宣传、绩效评价、信息系统操作、规划设计、数据统计分析、课题研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1、维护低保、特困人员的最低生活保障</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2、落实低保、特困人员的生活待遇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城乡居民低保保障率（%）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符合条件的对象实际纳入低保人数占应纳入低保人数的比率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受助人员救助增长率（%）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当期受助人员救助人数同比增长比率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城镇居民最低生活保障率（%）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实际享受城镇居民最低生活保障人数占应享受城镇居民最低生活保障人数的比率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≥100%百分之百，维护低保、特困最低生活保障</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河北省民政厅《关于加快推行政府购买服务加强基层社会救助经办服务能力的实施意见》</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31、民政局市区新增设街、路、巷设标志牌资金绩效目标表</w:t>
      </w:r>
      <w:bookmarkStart w:id="60" w:name="_Toc11874"/>
      <w:bookmarkStart w:id="61" w:name="_Toc13847"/>
      <w:r>
        <w:rPr>
          <w:rFonts w:hint="eastAsia"/>
        </w:rPr>
        <w:fldChar w:fldCharType="begin"/>
      </w:r>
      <w:r>
        <w:rPr>
          <w:rFonts w:hint="eastAsia" w:ascii="方正仿宋_GBK" w:hAnsi="方正仿宋_GBK" w:eastAsia="方正仿宋_GBK" w:cs="方正仿宋_GBK"/>
          <w:sz w:val="28"/>
        </w:rPr>
        <w:instrText xml:space="preserve"> TC 31、民政局市区新增设街、路、巷设标志牌资金绩效目标表 \f C \l 1 </w:instrText>
      </w:r>
      <w:r>
        <w:rPr>
          <w:rFonts w:hint="eastAsia" w:ascii="方正仿宋_GBK" w:hAnsi="方正仿宋_GBK" w:eastAsia="方正仿宋_GBK" w:cs="方正仿宋_GBK"/>
          <w:sz w:val="28"/>
        </w:rPr>
        <w:fldChar w:fldCharType="end"/>
      </w:r>
      <w:bookmarkEnd w:id="60"/>
      <w:bookmarkEnd w:id="6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314-6004-YXN-P9M0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民政局市区新增设街、路、巷设标志牌资金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结合本市实际，拟在我市市区新开通的街、路、巷增设双立柱高标准地名标志牌.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1、加强地名管理，实现地名的标准化、适应城乡建设、对外交往和人民生活的需要。</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"加强地名管理，实现地名的标准化、适应城乡建设、对外交往和人民生活的需要。</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2、适应城乡建设、对外交往和人民生活的需要。</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行政区划调整风险评估占行政区划调整总数的比例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省级行政区域界线联检完成率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省级行政区域界线联检完成程度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≥100%百分之百，加强地名管理，实现地名的标准化。</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河北省地名管理规定</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32、民政局综合业务经费绩效目标表</w:t>
      </w:r>
      <w:bookmarkStart w:id="62" w:name="_Toc10233"/>
      <w:bookmarkStart w:id="63" w:name="_Toc3995"/>
      <w:r>
        <w:rPr>
          <w:rFonts w:hint="eastAsia"/>
        </w:rPr>
        <w:fldChar w:fldCharType="begin"/>
      </w:r>
      <w:r>
        <w:rPr>
          <w:rFonts w:hint="eastAsia" w:ascii="方正仿宋_GBK" w:hAnsi="方正仿宋_GBK" w:eastAsia="方正仿宋_GBK" w:cs="方正仿宋_GBK"/>
          <w:sz w:val="28"/>
        </w:rPr>
        <w:instrText xml:space="preserve"> TC 32、民政局综合业务经费绩效目标表 \f C \l 1 </w:instrText>
      </w:r>
      <w:r>
        <w:rPr>
          <w:rFonts w:hint="eastAsia" w:ascii="方正仿宋_GBK" w:hAnsi="方正仿宋_GBK" w:eastAsia="方正仿宋_GBK" w:cs="方正仿宋_GBK"/>
          <w:sz w:val="28"/>
        </w:rPr>
        <w:fldChar w:fldCharType="end"/>
      </w:r>
      <w:bookmarkEnd w:id="62"/>
      <w:bookmarkEnd w:id="6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314-6601-JXN-11AM</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民政局综合业务经费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民政局综合专业业务经费包含：救助站日常工作经费、新增街道的街路标志牌设立和维护破损的标志标牌，农村社区试点建设经费、民政会议经费、各类证件款的印制等。据实拨付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1、保证民政各项专项业务正常运转.</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2、提高社会救助和保障能力，更好的展示政府的民生发展</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行政区划调整风险评估占行政区划调整总数的比例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省级行政区域界线联检完成率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省级行政区域界线联检完成程度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全国地名普查数据准确程度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≥100%百分之百,保证民政各项专项业务正常运转.</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遵政办[2015]63号关于印发遵化市民政局关于职责内设机构和人员编制规定的通知</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33、民政系统云视频信息服务平台建设实施经费绩效目标表</w:t>
      </w:r>
      <w:bookmarkStart w:id="64" w:name="_Toc17091"/>
      <w:bookmarkStart w:id="65" w:name="_Toc16756"/>
      <w:r>
        <w:rPr>
          <w:rFonts w:hint="eastAsia"/>
        </w:rPr>
        <w:fldChar w:fldCharType="begin"/>
      </w:r>
      <w:r>
        <w:rPr>
          <w:rFonts w:hint="eastAsia" w:ascii="方正仿宋_GBK" w:hAnsi="方正仿宋_GBK" w:eastAsia="方正仿宋_GBK" w:cs="方正仿宋_GBK"/>
          <w:sz w:val="28"/>
        </w:rPr>
        <w:instrText xml:space="preserve"> TC 33、民政系统云视频信息服务平台建设实施经费绩效目标表 \f C \l 1 </w:instrText>
      </w:r>
      <w:r>
        <w:rPr>
          <w:rFonts w:hint="eastAsia" w:ascii="方正仿宋_GBK" w:hAnsi="方正仿宋_GBK" w:eastAsia="方正仿宋_GBK" w:cs="方正仿宋_GBK"/>
          <w:sz w:val="28"/>
        </w:rPr>
        <w:fldChar w:fldCharType="end"/>
      </w:r>
      <w:bookmarkEnd w:id="64"/>
      <w:bookmarkEnd w:id="6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314-5903-YXN-ET6K</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民政系统云视频信息服务平台建设实施经费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省、市、县三级民政部门提供视频会议、调度、视频会商、远程培训等服务。据实足额支付。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1、保障民政系统电视电话会议及时收到及传达</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2、落实好云视频会议精神</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经费足额拨付率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经费按时拨放到位</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视频会议参加率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视频会议参加率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民政系统满意度（%）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对民政系统满意和较满意的人数占调查总人数的比率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民政系统工作的满意度（%）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满意和较满意的民政系统人数占调查总人数的比率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民政系统工作的满意度（%）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满意和较满意的民政系统人数占调查总人数的比率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≥100%百分之百，落实好云视频会议</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河北省民政厅关于印发《河北省民政系统云视频信息服务平台建设实施方案》的通知冀民【2019】77号</w:t>
            </w:r>
          </w:p>
        </w:tc>
      </w:tr>
    </w:tbl>
    <w:p>
      <w:pPr>
        <w:spacing w:line="300" w:lineRule="exact"/>
        <w:ind w:firstLine="422" w:firstLineChars="200"/>
        <w:jc w:val="left"/>
        <w:rPr>
          <w:rFonts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ascii="方正书宋_GBK" w:hAnsi="方正书宋_GBK" w:eastAsia="方正书宋_GBK" w:cs="方正书宋_GBK"/>
          <w:b/>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34、农村低保支出绩效目标表</w:t>
      </w:r>
      <w:bookmarkStart w:id="66" w:name="_Toc29600"/>
      <w:bookmarkStart w:id="67" w:name="_Toc15794"/>
      <w:r>
        <w:rPr>
          <w:rFonts w:hint="eastAsia"/>
        </w:rPr>
        <w:fldChar w:fldCharType="begin"/>
      </w:r>
      <w:r>
        <w:rPr>
          <w:rFonts w:hint="eastAsia" w:ascii="方正仿宋_GBK" w:hAnsi="方正仿宋_GBK" w:eastAsia="方正仿宋_GBK" w:cs="方正仿宋_GBK"/>
          <w:sz w:val="28"/>
        </w:rPr>
        <w:instrText xml:space="preserve"> TC 34、农村低保支出绩效目标表 \f C \l 1 </w:instrText>
      </w:r>
      <w:r>
        <w:rPr>
          <w:rFonts w:hint="eastAsia" w:ascii="方正仿宋_GBK" w:hAnsi="方正仿宋_GBK" w:eastAsia="方正仿宋_GBK" w:cs="方正仿宋_GBK"/>
          <w:sz w:val="28"/>
        </w:rPr>
        <w:fldChar w:fldCharType="end"/>
      </w:r>
      <w:bookmarkEnd w:id="66"/>
      <w:bookmarkEnd w:id="6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314-0101-JXN-33MO</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农村低保支出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700.00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700.00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据实足额及时拨付.认真落实中央、省市城乡最低生活保障规章制度，进一步巩固动态管理下的应保尽保，努力构建标准科学、对象准确、进出有序的阳光低保工作格局。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1、提高农村低保人员生活水平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2、落实农村低保人员生活待遇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城乡居民低保保障率（%）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符合条件的对象实际纳入低保人数占应纳入低保人数的比率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≥100%百分比提高农村低保人员生活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唐民通【2018】110号唐山市民政局财政局关于提高城乡居民最低生活保障标准</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35、特困人员生活救助供养资金绩效目标表</w:t>
      </w:r>
      <w:bookmarkStart w:id="68" w:name="_Toc7321"/>
      <w:bookmarkStart w:id="69" w:name="_Toc9660"/>
      <w:r>
        <w:rPr>
          <w:rFonts w:hint="eastAsia"/>
        </w:rPr>
        <w:fldChar w:fldCharType="begin"/>
      </w:r>
      <w:r>
        <w:rPr>
          <w:rFonts w:hint="eastAsia" w:ascii="方正仿宋_GBK" w:hAnsi="方正仿宋_GBK" w:eastAsia="方正仿宋_GBK" w:cs="方正仿宋_GBK"/>
          <w:sz w:val="28"/>
        </w:rPr>
        <w:instrText xml:space="preserve"> TC 35、特困人员生活救助供养资金绩效目标表 \f C \l 1 </w:instrText>
      </w:r>
      <w:r>
        <w:rPr>
          <w:rFonts w:hint="eastAsia" w:ascii="方正仿宋_GBK" w:hAnsi="方正仿宋_GBK" w:eastAsia="方正仿宋_GBK" w:cs="方正仿宋_GBK"/>
          <w:sz w:val="28"/>
        </w:rPr>
        <w:fldChar w:fldCharType="end"/>
      </w:r>
      <w:bookmarkEnd w:id="68"/>
      <w:bookmarkEnd w:id="6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314-0202-JXN-PHNY</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特困人员生活救助供养资金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630.00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630.00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唐山市民政局、唐山市财政局《关于调整我市特困人员救助供养标准的通知》（唐民通【2017】2号）精神，农村集中供养特困人员基本生活标准为我市农村低保标准的1.6倍，农村分散供养特困人员基本生活标准为我市农村低保标准的1.4倍，城市特困人员基本生活标准为城市低保标准的1.5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1、提高特困人员的生活水平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2、落实好特困人员的生活待遇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五保供养保障率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符合条件的对象纳入低保范围人数占符合条件对象人数的比例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按照要求和计划完成研究任务的项目在所有立项项目中的比例（百分比）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≥100%百分之百提高特困人员的生活</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唐民通【2018】112号唐山市民政局财政局关于提高我市特困供养人员生活费</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36、慰问百岁老人和贫困高领老人绩效目标表</w:t>
      </w:r>
      <w:bookmarkStart w:id="70" w:name="_Toc15346"/>
      <w:bookmarkStart w:id="71" w:name="_Toc5702"/>
      <w:r>
        <w:rPr>
          <w:rFonts w:hint="eastAsia"/>
        </w:rPr>
        <w:fldChar w:fldCharType="begin"/>
      </w:r>
      <w:r>
        <w:rPr>
          <w:rFonts w:hint="eastAsia" w:ascii="方正仿宋_GBK" w:hAnsi="方正仿宋_GBK" w:eastAsia="方正仿宋_GBK" w:cs="方正仿宋_GBK"/>
          <w:sz w:val="28"/>
        </w:rPr>
        <w:instrText xml:space="preserve"> TC 36、慰问百岁老人和贫困高领老人绩效目标表 \f C \l 1 </w:instrText>
      </w:r>
      <w:r>
        <w:rPr>
          <w:rFonts w:hint="eastAsia" w:ascii="方正仿宋_GBK" w:hAnsi="方正仿宋_GBK" w:eastAsia="方正仿宋_GBK" w:cs="方正仿宋_GBK"/>
          <w:sz w:val="28"/>
        </w:rPr>
        <w:fldChar w:fldCharType="end"/>
      </w:r>
      <w:bookmarkEnd w:id="70"/>
      <w:bookmarkEnd w:id="7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314-2405-YXN-KRQL</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慰问百岁老人和贫困高领老人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9.00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为实现我市养老服务体系，实现我市老人老有所养，老有所依，老有所依，老有所乐，老有所为的目标，重阳节和春节慰问百岁老人和贫困高领老人，据实足额支付资金。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1、提高百岁老人、贫困老人的生活水平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2、落实好百岁老人、贫困老人的生活待遇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困难高龄老人重阳节慰问发放率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困难高龄老人重阳节慰问发放率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享受老年人福利人数(人)</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困难高龄老人重阳节慰问发放率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享受老年福利的人数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困难高龄老人重阳节慰问发放率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困难高龄老人重阳节慰问发放率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≥100%百分之百落实百岁老人生活待遇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遵老龄办字【2019】1号转发《唐山市工作委员会办公室关于深入开展2019年敬老月活动的通知》</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37、慰问城乡救助对象补助绩效目标表</w:t>
      </w:r>
      <w:bookmarkStart w:id="72" w:name="_Toc28988"/>
      <w:bookmarkStart w:id="73" w:name="_Toc17647"/>
      <w:r>
        <w:rPr>
          <w:rFonts w:hint="eastAsia"/>
        </w:rPr>
        <w:fldChar w:fldCharType="begin"/>
      </w:r>
      <w:r>
        <w:rPr>
          <w:rFonts w:hint="eastAsia" w:ascii="方正仿宋_GBK" w:hAnsi="方正仿宋_GBK" w:eastAsia="方正仿宋_GBK" w:cs="方正仿宋_GBK"/>
          <w:sz w:val="28"/>
        </w:rPr>
        <w:instrText xml:space="preserve"> TC 37、慰问城乡救助对象补助绩效目标表 \f C \l 1 </w:instrText>
      </w:r>
      <w:r>
        <w:rPr>
          <w:rFonts w:hint="eastAsia" w:ascii="方正仿宋_GBK" w:hAnsi="方正仿宋_GBK" w:eastAsia="方正仿宋_GBK" w:cs="方正仿宋_GBK"/>
          <w:sz w:val="28"/>
        </w:rPr>
        <w:fldChar w:fldCharType="end"/>
      </w:r>
      <w:bookmarkEnd w:id="72"/>
      <w:bookmarkEnd w:id="7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314-0909-JXN-3N9H</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慰问城乡救助对象补助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370.00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370.00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春节慰问城乡社会救助对象，提高城乡救助幸福感，按照实际资金支出，据实足额支付。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1、提高城乡救助对象的生活水平</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2、落实城乡救助对象的生活待遇</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两节慰问覆盖率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两节慰问覆盖率的比例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预警机社会发展水平相适应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接受救济对象的满意度（%）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满意和较为满意的救助对象数量占调查总数的比率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救助对象满意度（%）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问卷调查中，满意和较满意的救助对象数量占调研对象总数的比率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≥100%百分之百落实城乡救助对象生活待遇</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市委办政府办【2018】-114中共遵化市委市政府关于做好2019年元旦、春节慰问</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38、政府“两园之间”坟墓搬迁费用绩效目标表</w:t>
      </w:r>
      <w:bookmarkStart w:id="74" w:name="_Toc25420"/>
      <w:bookmarkStart w:id="75" w:name="_Toc22284"/>
      <w:r>
        <w:rPr>
          <w:rFonts w:hint="eastAsia"/>
        </w:rPr>
        <w:fldChar w:fldCharType="begin"/>
      </w:r>
      <w:r>
        <w:rPr>
          <w:rFonts w:hint="eastAsia" w:ascii="方正仿宋_GBK" w:hAnsi="方正仿宋_GBK" w:eastAsia="方正仿宋_GBK" w:cs="方正仿宋_GBK"/>
          <w:sz w:val="28"/>
        </w:rPr>
        <w:instrText xml:space="preserve"> TC 38、政府\“两园之间\”坟墓搬迁费用绩效目标表 \f C \l 1 </w:instrText>
      </w:r>
      <w:r>
        <w:rPr>
          <w:rFonts w:hint="eastAsia" w:ascii="方正仿宋_GBK" w:hAnsi="方正仿宋_GBK" w:eastAsia="方正仿宋_GBK" w:cs="方正仿宋_GBK"/>
          <w:sz w:val="28"/>
        </w:rPr>
        <w:fldChar w:fldCharType="end"/>
      </w:r>
      <w:bookmarkEnd w:id="74"/>
      <w:bookmarkEnd w:id="7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314002遵化市民政局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314-3405-YXN-BUCI</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政府“两园之间”坟墓搬迁费用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26.00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26.00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为积极配合市政府重点工作，开发“两园之间”的碧桂园工程项目，对开发地范围内的91座坟墓进行搬迁安置，需资金26万元，据实足额支付。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2、落实市政府项目</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成本指标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坟墓搬迁率（%）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已搬迁坟墓数占应搬迁坟墓数的比率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经费落实率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经费落实率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优良率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结项鉴定优秀等级项目数量占结项总数量的比例（百分比）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坟墓搬迁工作完成率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通过调查，了解坟墓搬迁家属满意程度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社会影响力</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在全国或全省产生的重要影响，得到广大受众的充分认可。</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群众对提供各种政务等服务的满意程度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≥100%百分之百，"保障“两园之间”坟墓搬迁安置工作顺利进行，合理安置91座坟墓。</w:t>
            </w:r>
          </w:p>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w:t>
            </w:r>
          </w:p>
          <w:p>
            <w:pPr>
              <w:spacing w:line="300" w:lineRule="exact"/>
              <w:jc w:val="left"/>
              <w:rPr>
                <w:rFonts w:ascii="方正书宋_GBK" w:hAnsi="方正书宋_GBK" w:eastAsia="方正书宋_GBK" w:cs="方正书宋_GBK"/>
              </w:rPr>
            </w:pP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遵财答复【2017】657号</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39、免除低收入人群基本殡葬费用绩效目标表</w:t>
      </w:r>
      <w:bookmarkStart w:id="76" w:name="_Toc20710"/>
      <w:bookmarkStart w:id="77" w:name="_Toc3123"/>
      <w:r>
        <w:rPr>
          <w:rFonts w:hint="eastAsia"/>
        </w:rPr>
        <w:fldChar w:fldCharType="begin"/>
      </w:r>
      <w:r>
        <w:rPr>
          <w:rFonts w:hint="eastAsia" w:ascii="方正仿宋_GBK" w:hAnsi="方正仿宋_GBK" w:eastAsia="方正仿宋_GBK" w:cs="方正仿宋_GBK"/>
          <w:sz w:val="28"/>
        </w:rPr>
        <w:instrText xml:space="preserve"> TC 39、免除低收入人群基本殡葬费用绩效目标表 \f C \l 1 </w:instrText>
      </w:r>
      <w:r>
        <w:rPr>
          <w:rFonts w:hint="eastAsia" w:ascii="方正仿宋_GBK" w:hAnsi="方正仿宋_GBK" w:eastAsia="方正仿宋_GBK" w:cs="方正仿宋_GBK"/>
          <w:sz w:val="28"/>
        </w:rPr>
        <w:fldChar w:fldCharType="end"/>
      </w:r>
      <w:bookmarkEnd w:id="76"/>
      <w:bookmarkEnd w:id="7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314007遵化市殡葬管理所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314-3405-JXN-Z9K4</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免除低收入人群基本殡葬费用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45.00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45.00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免除我市城乡低保户、特困人员供养户、重点优抚对象、敬老院在院老人、建档立卡贫困户、百岁老人、县级以上公安机关开具的无名尸的五项基本殡葬费用。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用于为了加快建立和完善殡葬救助保障制度，落实惠民殡葬政策，减轻群众丧葬负担，促进公共服务均等化.免除我市低保人员、农村五保供养对象、市敬老院在院老人、重点优抚对象、百岁老人以及建档立卡贫困户的基本殡葬服务费用。</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扶助资金到位率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实际到位扶助资金占应到位资金的比例</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按时发放到需要的低收入群众家庭作为丧葬费</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开展外宣活动数量</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反映开展外宣活动情况</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宣传减免政策到全市范围内</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经费金额拨付率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及时足额拨付</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按时发放到需要的低收入群众家庭作为丧葬费</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外宣品发放使用量占生产量的比例（%）</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反映外宣品的使用程度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宣传减免政策到全市范围内</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社会稳定水平</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促进公共服务均等化</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能够使得贫困家庭没有经济压力</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长期使用性</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能够长期较好地帮助贫困群体进行殡葬改革</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帮助困难群体无经济负担</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群众满意度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低收入群体对减免政策完全满意</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帮助困难群体无经济负担</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遵化市人民政府办公室关于印发《遵化市关于免除城乡低收入群众基本殡葬服务费用惠民政策实施方案》的通知 遵政办【2013】7号、</w:t>
            </w:r>
          </w:p>
        </w:tc>
      </w:tr>
    </w:tbl>
    <w:p>
      <w:pPr>
        <w:spacing w:line="300" w:lineRule="exact"/>
        <w:ind w:firstLine="420" w:firstLineChars="200"/>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rPr>
      </w:pPr>
    </w:p>
    <w:p>
      <w:pPr>
        <w:ind w:firstLine="560" w:firstLineChars="200"/>
        <w:jc w:val="left"/>
        <w:outlineLvl w:val="1"/>
        <w:rPr>
          <w:rFonts w:ascii="Times New Roman" w:hAnsi="宋体" w:cs="宋体"/>
          <w:sz w:val="28"/>
        </w:rPr>
      </w:pPr>
      <w:r>
        <w:rPr>
          <w:rFonts w:hint="eastAsia" w:ascii="方正仿宋_GBK" w:hAnsi="方正仿宋_GBK" w:eastAsia="方正仿宋_GBK" w:cs="方正仿宋_GBK"/>
          <w:sz w:val="28"/>
        </w:rPr>
        <w:t>40、殡管所征收成本性支出绩效目标表</w:t>
      </w:r>
      <w:bookmarkStart w:id="78" w:name="_Toc4089"/>
      <w:bookmarkStart w:id="79" w:name="_Toc6375"/>
      <w:r>
        <w:rPr>
          <w:rFonts w:hint="eastAsia"/>
        </w:rPr>
        <w:fldChar w:fldCharType="begin"/>
      </w:r>
      <w:r>
        <w:rPr>
          <w:rFonts w:hint="eastAsia" w:ascii="方正仿宋_GBK" w:hAnsi="方正仿宋_GBK" w:eastAsia="方正仿宋_GBK" w:cs="方正仿宋_GBK"/>
          <w:sz w:val="28"/>
        </w:rPr>
        <w:instrText xml:space="preserve"> TC 40、殡管所征收成本性支出绩效目标表 \f C \l 1 </w:instrText>
      </w:r>
      <w:r>
        <w:rPr>
          <w:rFonts w:hint="eastAsia" w:ascii="方正仿宋_GBK" w:hAnsi="方正仿宋_GBK" w:eastAsia="方正仿宋_GBK" w:cs="方正仿宋_GBK"/>
          <w:sz w:val="28"/>
        </w:rPr>
        <w:fldChar w:fldCharType="end"/>
      </w:r>
      <w:bookmarkEnd w:id="78"/>
      <w:bookmarkEnd w:id="7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314007遵化市殡葬管理所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rPr>
            </w:pPr>
            <w:r>
              <w:rPr>
                <w:rFonts w:hint="eastAsia" w:ascii="方正书宋_GBK" w:hAns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项目编码</w:t>
            </w:r>
          </w:p>
        </w:tc>
        <w:tc>
          <w:tcPr>
            <w:tcW w:w="2410" w:type="dxa"/>
            <w:gridSpan w:val="2"/>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314-3304-JXN-UG92</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项目名称</w:t>
            </w:r>
          </w:p>
        </w:tc>
        <w:tc>
          <w:tcPr>
            <w:tcW w:w="4281" w:type="dxa"/>
            <w:gridSpan w:val="3"/>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殡管所征收成本性支出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预算规模及资金用途</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预算数</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199.00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其中：财政资金</w:t>
            </w:r>
          </w:p>
        </w:tc>
        <w:tc>
          <w:tcPr>
            <w:tcW w:w="130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199.00</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其他资金</w:t>
            </w:r>
          </w:p>
        </w:tc>
        <w:tc>
          <w:tcPr>
            <w:tcW w:w="1701" w:type="dxa"/>
            <w:vAlign w:val="center"/>
          </w:tcPr>
          <w:p>
            <w:pPr>
              <w:spacing w:line="300" w:lineRule="exact"/>
              <w:jc w:val="lef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8279" w:type="dxa"/>
            <w:gridSpan w:val="6"/>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用于殡葬管理所日常的纸板、木棺、柴油、汽油、车辆维修、骨灰袋、消毒用品和单位办公经费等项开支，保证遵化市殡葬管理所的业务正常运营，来更好的服务于遵化百姓。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资金支出计划（%）</w:t>
            </w: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3月底</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6月底</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10月底</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sz w:val="28"/>
              </w:rPr>
            </w:pPr>
          </w:p>
        </w:tc>
        <w:tc>
          <w:tcPr>
            <w:tcW w:w="2410"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30.00</w:t>
            </w:r>
          </w:p>
        </w:tc>
        <w:tc>
          <w:tcPr>
            <w:tcW w:w="1588"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60.00</w:t>
            </w:r>
          </w:p>
        </w:tc>
        <w:tc>
          <w:tcPr>
            <w:tcW w:w="130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90.00</w:t>
            </w:r>
          </w:p>
        </w:tc>
        <w:tc>
          <w:tcPr>
            <w:tcW w:w="2977" w:type="dxa"/>
            <w:gridSpan w:val="2"/>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1、保障遵化市殡管所的业务正常运行，更好的服务百姓</w:t>
            </w:r>
          </w:p>
        </w:tc>
      </w:tr>
    </w:tbl>
    <w:p>
      <w:pPr>
        <w:spacing w:line="14" w:lineRule="exact"/>
        <w:ind w:firstLine="420" w:firstLineChars="200"/>
        <w:jc w:val="center"/>
        <w:rPr>
          <w:rFonts w:ascii="Times New Roman" w:hAnsi="宋体" w:cs="宋体"/>
        </w:rPr>
      </w:pPr>
      <w:r>
        <w:rPr>
          <w:rFonts w:hint="eastAsia" w:ascii="方正书宋_GBK" w:hAnsi="方正书宋_GBK" w:eastAsia="方正书宋_GBK" w:cs="方正书宋_GBK"/>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一级指标</w:t>
            </w:r>
          </w:p>
        </w:tc>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二级指标</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三级指标</w:t>
            </w:r>
          </w:p>
        </w:tc>
        <w:tc>
          <w:tcPr>
            <w:tcW w:w="2892"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绩效指标描述</w:t>
            </w:r>
          </w:p>
        </w:tc>
        <w:tc>
          <w:tcPr>
            <w:tcW w:w="1276"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w:t>
            </w:r>
          </w:p>
        </w:tc>
        <w:tc>
          <w:tcPr>
            <w:tcW w:w="1701"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产出指标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数量指标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支持运转的项目数</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保障运转项目正常运行</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保障运转的项目没有拖欠。</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质量指标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使用质量</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保障资金在使用过程中的合法合规性</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保障资金合法合规的用在项目上。</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时效指标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完成率</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按照要求和计划完成运转的项目在所有项目中的比例（百分比）</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有步骤有计划的使用资金，不能超出预定计划数</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效果指标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经济效益指标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外宣品发放使用量占生产量的比例（%）</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反映外宣品的使用程度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发放殡葬改革宣传品的数量</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可持续影响指标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长期使用性</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能够长期较好地开展殡葬业务，满足百姓的需求</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推广火化，杜绝土葬，减少占用耕地</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rPr>
            </w:pP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生态效益指标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达到绿色产业标准</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不进行排污建设，不对生态环境产生坏的影响，属于环保产业。</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使用环保设备达标，不对大气造成污染</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rPr>
            </w:pPr>
            <w:r>
              <w:rPr>
                <w:rFonts w:hint="eastAsia" w:ascii="方正书宋_GBK" w:hAnsi="方正书宋_GBK" w:eastAsia="方正书宋_GBK" w:cs="方正书宋_GBK"/>
              </w:rPr>
              <w:t>满意度指标</w:t>
            </w:r>
          </w:p>
        </w:tc>
        <w:tc>
          <w:tcPr>
            <w:tcW w:w="1134"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服务对象满意度指标</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服务对象满意度</w:t>
            </w:r>
          </w:p>
        </w:tc>
        <w:tc>
          <w:tcPr>
            <w:tcW w:w="2892"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接受服务对象对所提供服务的满意程度</w:t>
            </w:r>
          </w:p>
        </w:tc>
        <w:tc>
          <w:tcPr>
            <w:tcW w:w="1276"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≥100%百分之百 保证服务对象对所提供的服务满意</w:t>
            </w:r>
          </w:p>
        </w:tc>
        <w:tc>
          <w:tcPr>
            <w:tcW w:w="1701" w:type="dxa"/>
            <w:vAlign w:val="center"/>
          </w:tcPr>
          <w:p>
            <w:pPr>
              <w:spacing w:line="300" w:lineRule="exact"/>
              <w:jc w:val="left"/>
              <w:rPr>
                <w:rFonts w:ascii="方正书宋_GBK" w:hAnsi="方正书宋_GBK" w:eastAsia="方正书宋_GBK" w:cs="方正书宋_GBK"/>
              </w:rPr>
            </w:pPr>
            <w:r>
              <w:rPr>
                <w:rFonts w:hint="eastAsia" w:ascii="方正书宋_GBK" w:hAnsi="方正书宋_GBK" w:eastAsia="方正书宋_GBK" w:cs="方正书宋_GBK"/>
              </w:rPr>
              <w:t>中共遵化市委机构委员会文件，遵机编字【2019】50号文件，关于明确市民政局所属事业单位机构设置的通知</w:t>
            </w:r>
          </w:p>
        </w:tc>
      </w:tr>
    </w:tbl>
    <w:p>
      <w:pPr>
        <w:spacing w:line="300" w:lineRule="exact"/>
        <w:jc w:val="left"/>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autoSpaceDE w:val="0"/>
        <w:autoSpaceDN w:val="0"/>
        <w:adjustRightInd w:val="0"/>
        <w:jc w:val="left"/>
        <w:rPr>
          <w:rFonts w:ascii="Times New Roman" w:hAnsi="方正仿宋_GBK" w:eastAsia="方正仿宋_GBK" w:cs="方正仿宋_GBK"/>
          <w:sz w:val="28"/>
        </w:rPr>
      </w:pPr>
    </w:p>
    <w:p>
      <w:pPr>
        <w:pStyle w:val="11"/>
        <w:autoSpaceDE w:val="0"/>
        <w:autoSpaceDN w:val="0"/>
        <w:adjustRightInd w:val="0"/>
        <w:ind w:left="630" w:firstLine="0" w:firstLineChars="0"/>
        <w:jc w:val="left"/>
        <w:rPr>
          <w:rFonts w:ascii="黑体" w:hAnsi="黑体" w:eastAsia="黑体"/>
          <w:b/>
          <w:bCs/>
          <w:sz w:val="32"/>
          <w:szCs w:val="32"/>
        </w:rPr>
      </w:pPr>
      <w:r>
        <w:rPr>
          <w:rFonts w:hint="eastAsia" w:ascii="黑体" w:hAnsi="黑体" w:eastAsia="黑体" w:cs="黑体"/>
          <w:b/>
          <w:bCs/>
          <w:sz w:val="32"/>
          <w:szCs w:val="32"/>
        </w:rPr>
        <w:t>六、政府采购预算情况</w:t>
      </w:r>
    </w:p>
    <w:p>
      <w:pPr>
        <w:ind w:firstLine="640" w:firstLineChars="200"/>
        <w:outlineLvl w:val="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2020年，我部门安排政府采购预算</w:t>
      </w:r>
      <w:r>
        <w:rPr>
          <w:rFonts w:hint="eastAsia" w:ascii="Times New Roman" w:hAnsi="Times New Roman" w:eastAsia="方正仿宋_GBK"/>
          <w:sz w:val="32"/>
          <w:szCs w:val="32"/>
        </w:rPr>
        <w:t>1.35</w:t>
      </w:r>
      <w:r>
        <w:rPr>
          <w:rFonts w:hint="eastAsia" w:ascii="Times New Roman" w:hAnsi="Times New Roman" w:eastAsia="方正仿宋_GBK" w:cs="方正仿宋_GBK"/>
          <w:sz w:val="32"/>
          <w:szCs w:val="32"/>
        </w:rPr>
        <w:t>万元，较</w:t>
      </w:r>
      <w:r>
        <w:rPr>
          <w:rFonts w:ascii="Times New Roman" w:hAnsi="Times New Roman" w:eastAsia="方正仿宋_GBK"/>
          <w:sz w:val="32"/>
          <w:szCs w:val="32"/>
        </w:rPr>
        <w:t>20</w:t>
      </w:r>
      <w:r>
        <w:rPr>
          <w:rFonts w:hint="eastAsia" w:ascii="Times New Roman" w:hAnsi="Times New Roman" w:eastAsia="方正仿宋_GBK"/>
          <w:sz w:val="32"/>
          <w:szCs w:val="32"/>
        </w:rPr>
        <w:t>19</w:t>
      </w:r>
      <w:r>
        <w:rPr>
          <w:rFonts w:hint="eastAsia" w:ascii="Times New Roman" w:hAnsi="Times New Roman" w:eastAsia="方正仿宋_GBK" w:cs="方正仿宋_GBK"/>
          <w:sz w:val="32"/>
          <w:szCs w:val="32"/>
        </w:rPr>
        <w:t>年减少1.35万元，具体内容见下表。</w:t>
      </w:r>
    </w:p>
    <w:p>
      <w:pPr>
        <w:pStyle w:val="11"/>
        <w:ind w:left="420" w:firstLine="0" w:firstLineChars="0"/>
        <w:outlineLvl w:val="0"/>
        <w:rPr>
          <w:rFonts w:ascii="Times New Roman" w:hAnsi="Times New Roman" w:eastAsia="方正仿宋_GBK" w:cs="方正仿宋_GBK"/>
          <w:sz w:val="32"/>
          <w:szCs w:val="32"/>
        </w:rPr>
      </w:pPr>
    </w:p>
    <w:p>
      <w:pPr>
        <w:jc w:val="center"/>
        <w:outlineLvl w:val="0"/>
        <w:rPr>
          <w:rFonts w:ascii="方正黑体简体" w:eastAsia="方正黑体简体"/>
          <w:sz w:val="32"/>
          <w:szCs w:val="32"/>
        </w:rPr>
      </w:pPr>
      <w:bookmarkStart w:id="80" w:name="_Toc504489153"/>
      <w:r>
        <w:rPr>
          <w:rFonts w:hint="eastAsia" w:ascii="方正黑体简体" w:eastAsia="方正黑体简体" w:cs="方正小标宋_GBK"/>
          <w:sz w:val="32"/>
          <w:szCs w:val="32"/>
        </w:rPr>
        <w:t>部门政府采购预算</w:t>
      </w:r>
      <w:bookmarkEnd w:id="80"/>
    </w:p>
    <w:p>
      <w:pPr>
        <w:pStyle w:val="11"/>
        <w:spacing w:line="300" w:lineRule="exact"/>
        <w:ind w:left="420" w:firstLine="0" w:firstLineChars="0"/>
        <w:jc w:val="left"/>
        <w:outlineLvl w:val="0"/>
      </w:pPr>
    </w:p>
    <w:tbl>
      <w:tblPr>
        <w:tblStyle w:val="5"/>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cs="方正小标宋_GBK"/>
                <w:sz w:val="24"/>
              </w:rPr>
              <w:t>151</w:t>
            </w:r>
            <w:r>
              <w:rPr>
                <w:rFonts w:hint="eastAsia" w:ascii="方正小标宋_GBK" w:eastAsia="方正小标宋_GBK" w:cs="方正小标宋_GBK"/>
                <w:sz w:val="24"/>
              </w:rPr>
              <w:t>遵化市民政局部门</w:t>
            </w:r>
          </w:p>
        </w:tc>
        <w:tc>
          <w:tcPr>
            <w:tcW w:w="51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20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3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829"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数量单位</w:t>
            </w:r>
          </w:p>
        </w:tc>
        <w:tc>
          <w:tcPr>
            <w:tcW w:w="94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7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512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74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365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42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continue"/>
            <w:vAlign w:val="center"/>
          </w:tcPr>
          <w:p>
            <w:pPr>
              <w:spacing w:line="300" w:lineRule="exact"/>
              <w:jc w:val="left"/>
              <w:outlineLvl w:val="0"/>
            </w:pPr>
          </w:p>
        </w:tc>
        <w:tc>
          <w:tcPr>
            <w:tcW w:w="94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99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65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47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427"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rPr>
              <w:t>1.35</w:t>
            </w:r>
          </w:p>
        </w:tc>
        <w:tc>
          <w:tcPr>
            <w:tcW w:w="947"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rPr>
              <w:t>1.35</w:t>
            </w:r>
          </w:p>
        </w:tc>
        <w:tc>
          <w:tcPr>
            <w:tcW w:w="994"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rPr>
              <w:t>1.35</w:t>
            </w:r>
          </w:p>
        </w:tc>
        <w:tc>
          <w:tcPr>
            <w:tcW w:w="65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7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遵化市民政局（系统）小计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b/>
                <w:bCs/>
              </w:rPr>
            </w:pPr>
          </w:p>
        </w:tc>
        <w:tc>
          <w:tcPr>
            <w:tcW w:w="947"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rPr>
              <w:t>1.35</w:t>
            </w:r>
          </w:p>
        </w:tc>
        <w:tc>
          <w:tcPr>
            <w:tcW w:w="994" w:type="dxa"/>
            <w:vAlign w:val="center"/>
          </w:tcPr>
          <w:p>
            <w:pPr>
              <w:spacing w:line="300" w:lineRule="exact"/>
              <w:jc w:val="right"/>
              <w:rPr>
                <w:rFonts w:ascii="方正书宋_GBK" w:eastAsia="方正书宋_GBK" w:cs="方正书宋_GBK"/>
                <w:b/>
                <w:bCs/>
              </w:rPr>
            </w:pPr>
            <w:r>
              <w:rPr>
                <w:rFonts w:hint="eastAsia" w:ascii="方正书宋_GBK" w:eastAsia="方正书宋_GBK" w:cs="方正书宋_GBK"/>
                <w:b/>
                <w:bCs/>
              </w:rPr>
              <w:t>1.35</w:t>
            </w: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p>
        </w:tc>
        <w:tc>
          <w:tcPr>
            <w:tcW w:w="583" w:type="dxa"/>
            <w:vAlign w:val="center"/>
          </w:tcPr>
          <w:p>
            <w:pPr>
              <w:spacing w:line="300" w:lineRule="exact"/>
              <w:jc w:val="right"/>
              <w:rPr>
                <w:rFonts w:ascii="方正书宋_GBK" w:eastAsia="方正书宋_GBK" w:cs="方正书宋_GBK"/>
                <w:b/>
                <w:bCs/>
              </w:rPr>
            </w:pP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汽车维修费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车辆设备维修和保养服务</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741" w:type="dxa"/>
            <w:vAlign w:val="center"/>
          </w:tcPr>
          <w:p>
            <w:pPr>
              <w:spacing w:line="300" w:lineRule="exact"/>
              <w:jc w:val="right"/>
              <w:rPr>
                <w:rFonts w:ascii="方正书宋_GBK" w:eastAsia="方正书宋_GBK"/>
              </w:rPr>
            </w:pPr>
            <w:r>
              <w:rPr>
                <w:rFonts w:hint="eastAsia" w:ascii="方正书宋_GBK" w:eastAsia="方正书宋_GBK"/>
              </w:rPr>
              <w:t>1</w:t>
            </w:r>
          </w:p>
        </w:tc>
        <w:tc>
          <w:tcPr>
            <w:tcW w:w="1045" w:type="dxa"/>
            <w:vAlign w:val="center"/>
          </w:tcPr>
          <w:p>
            <w:pPr>
              <w:tabs>
                <w:tab w:val="center" w:pos="414"/>
                <w:tab w:val="right" w:pos="949"/>
              </w:tabs>
              <w:spacing w:line="300" w:lineRule="exact"/>
              <w:jc w:val="left"/>
              <w:rPr>
                <w:rFonts w:ascii="方正书宋_GBK" w:eastAsia="方正书宋_GBK"/>
              </w:rPr>
            </w:pPr>
            <w:r>
              <w:rPr>
                <w:rFonts w:hint="eastAsia" w:ascii="方正书宋_GBK" w:eastAsia="方正书宋_GBK" w:cs="方正书宋_GBK"/>
              </w:rPr>
              <w:tab/>
            </w:r>
            <w:r>
              <w:rPr>
                <w:rFonts w:hint="eastAsia" w:ascii="方正书宋_GBK" w:eastAsia="方正书宋_GBK" w:cs="方正书宋_GBK"/>
              </w:rPr>
              <w:t>1</w:t>
            </w:r>
          </w:p>
        </w:tc>
        <w:tc>
          <w:tcPr>
            <w:tcW w:w="947" w:type="dxa"/>
            <w:vAlign w:val="center"/>
          </w:tcPr>
          <w:p>
            <w:pPr>
              <w:spacing w:line="300" w:lineRule="exact"/>
              <w:jc w:val="right"/>
              <w:rPr>
                <w:rFonts w:ascii="方正书宋_GBK" w:eastAsia="方正书宋_GBK"/>
              </w:rPr>
            </w:pPr>
            <w:r>
              <w:rPr>
                <w:rFonts w:hint="eastAsia" w:ascii="方正书宋_GBK" w:eastAsia="方正书宋_GBK"/>
              </w:rPr>
              <w:t>1</w:t>
            </w:r>
          </w:p>
        </w:tc>
        <w:tc>
          <w:tcPr>
            <w:tcW w:w="994" w:type="dxa"/>
            <w:vAlign w:val="center"/>
          </w:tcPr>
          <w:p>
            <w:pPr>
              <w:spacing w:line="300" w:lineRule="exact"/>
              <w:jc w:val="right"/>
              <w:rPr>
                <w:rFonts w:ascii="方正书宋_GBK" w:eastAsia="方正书宋_GBK"/>
              </w:rPr>
            </w:pPr>
            <w:r>
              <w:rPr>
                <w:rFonts w:hint="eastAsia" w:ascii="方正书宋_GBK" w:eastAsia="方正书宋_GBK"/>
              </w:rPr>
              <w:t>1</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汽车保险费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车辆保险</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rPr>
            </w:pPr>
            <w:r>
              <w:rPr>
                <w:rFonts w:ascii="方正书宋_GBK" w:eastAsia="方正书宋_GBK" w:cs="方正书宋_GBK"/>
              </w:rPr>
              <w:t>0.35</w:t>
            </w:r>
          </w:p>
        </w:tc>
        <w:tc>
          <w:tcPr>
            <w:tcW w:w="741" w:type="dxa"/>
            <w:vAlign w:val="center"/>
          </w:tcPr>
          <w:p>
            <w:pPr>
              <w:spacing w:line="300" w:lineRule="exact"/>
              <w:jc w:val="right"/>
              <w:rPr>
                <w:rFonts w:ascii="方正书宋_GBK" w:eastAsia="方正书宋_GBK"/>
              </w:rPr>
            </w:pPr>
            <w:r>
              <w:rPr>
                <w:rFonts w:hint="eastAsia" w:ascii="方正书宋_GBK" w:eastAsia="方正书宋_GBK"/>
              </w:rPr>
              <w:t>1</w:t>
            </w:r>
          </w:p>
        </w:tc>
        <w:tc>
          <w:tcPr>
            <w:tcW w:w="1045" w:type="dxa"/>
            <w:vAlign w:val="center"/>
          </w:tcPr>
          <w:p>
            <w:pPr>
              <w:spacing w:line="300" w:lineRule="exact"/>
              <w:jc w:val="right"/>
              <w:rPr>
                <w:rFonts w:ascii="方正书宋_GBK" w:eastAsia="方正书宋_GBK"/>
              </w:rPr>
            </w:pPr>
            <w:r>
              <w:rPr>
                <w:rFonts w:hint="eastAsia" w:ascii="方正书宋_GBK" w:eastAsia="方正书宋_GBK" w:cs="方正书宋_GBK"/>
              </w:rPr>
              <w:t>0.35</w:t>
            </w:r>
          </w:p>
        </w:tc>
        <w:tc>
          <w:tcPr>
            <w:tcW w:w="947" w:type="dxa"/>
            <w:vAlign w:val="center"/>
          </w:tcPr>
          <w:p>
            <w:pPr>
              <w:spacing w:line="300" w:lineRule="exact"/>
              <w:jc w:val="right"/>
              <w:rPr>
                <w:rFonts w:ascii="方正书宋_GBK" w:eastAsia="方正书宋_GBK"/>
              </w:rPr>
            </w:pPr>
            <w:r>
              <w:rPr>
                <w:rFonts w:hint="eastAsia" w:ascii="方正书宋_GBK" w:eastAsia="方正书宋_GBK" w:cs="方正书宋_GBK"/>
              </w:rPr>
              <w:t>0.35</w:t>
            </w:r>
          </w:p>
        </w:tc>
        <w:tc>
          <w:tcPr>
            <w:tcW w:w="994" w:type="dxa"/>
            <w:vAlign w:val="center"/>
          </w:tcPr>
          <w:p>
            <w:pPr>
              <w:spacing w:line="300" w:lineRule="exact"/>
              <w:jc w:val="right"/>
              <w:rPr>
                <w:rFonts w:ascii="方正书宋_GBK" w:eastAsia="方正书宋_GBK"/>
              </w:rPr>
            </w:pPr>
            <w:r>
              <w:rPr>
                <w:rFonts w:hint="eastAsia" w:ascii="方正书宋_GBK" w:eastAsia="方正书宋_GBK" w:cs="方正书宋_GBK"/>
              </w:rPr>
              <w:t>0.35</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bl>
    <w:p>
      <w:pPr>
        <w:pStyle w:val="11"/>
        <w:numPr>
          <w:ilvl w:val="0"/>
          <w:numId w:val="1"/>
        </w:numPr>
        <w:spacing w:line="300" w:lineRule="exact"/>
        <w:ind w:firstLineChars="0"/>
        <w:jc w:val="left"/>
        <w:outlineLvl w:val="0"/>
        <w:sectPr>
          <w:headerReference r:id="rId3" w:type="default"/>
          <w:pgSz w:w="16839" w:h="11907" w:orient="landscape"/>
          <w:pgMar w:top="1020" w:right="1361" w:bottom="1020" w:left="1361" w:header="851" w:footer="992" w:gutter="0"/>
          <w:cols w:space="720" w:num="1"/>
          <w:docGrid w:type="lines" w:linePitch="312" w:charSpace="0"/>
        </w:sectPr>
      </w:pPr>
    </w:p>
    <w:p>
      <w:pPr>
        <w:pStyle w:val="11"/>
        <w:autoSpaceDE w:val="0"/>
        <w:autoSpaceDN w:val="0"/>
        <w:adjustRightInd w:val="0"/>
        <w:ind w:left="630" w:firstLine="0" w:firstLineChars="0"/>
        <w:jc w:val="left"/>
        <w:rPr>
          <w:rFonts w:ascii="黑体" w:hAnsi="黑体" w:eastAsia="黑体"/>
          <w:b/>
          <w:bCs/>
          <w:sz w:val="32"/>
          <w:szCs w:val="32"/>
        </w:rPr>
      </w:pPr>
      <w:r>
        <w:rPr>
          <w:rFonts w:hint="eastAsia" w:ascii="黑体" w:hAnsi="黑体" w:eastAsia="黑体" w:cs="黑体"/>
          <w:b/>
          <w:bCs/>
          <w:sz w:val="32"/>
          <w:szCs w:val="32"/>
        </w:rPr>
        <w:t>七、国有资产信息</w:t>
      </w:r>
    </w:p>
    <w:p>
      <w:pPr>
        <w:pStyle w:val="11"/>
        <w:ind w:left="160" w:leftChars="76" w:firstLine="800" w:firstLineChars="250"/>
        <w:outlineLvl w:val="0"/>
        <w:rPr>
          <w:rFonts w:ascii="Times New Roman" w:hAnsi="Times New Roman" w:eastAsia="方正仿宋_GBK"/>
          <w:sz w:val="32"/>
          <w:szCs w:val="32"/>
        </w:rPr>
      </w:pPr>
      <w:r>
        <w:rPr>
          <w:rFonts w:hint="eastAsia" w:ascii="Times New Roman" w:hAnsi="Times New Roman" w:eastAsia="方正仿宋_GBK"/>
          <w:sz w:val="32"/>
          <w:szCs w:val="32"/>
        </w:rPr>
        <w:t>遵化市民政局部门上年末固定资产金额为641.84万元（详见下表），其中房屋建筑物522.91万元，车辆65.42万元,电脑等其他固定资产电子产品53.51万元。本年度无新增固定资产预算。</w:t>
      </w:r>
    </w:p>
    <w:tbl>
      <w:tblPr>
        <w:tblStyle w:val="5"/>
        <w:tblW w:w="13482" w:type="dxa"/>
        <w:tblInd w:w="-106" w:type="dxa"/>
        <w:tblLayout w:type="fixed"/>
        <w:tblCellMar>
          <w:top w:w="0" w:type="dxa"/>
          <w:left w:w="108" w:type="dxa"/>
          <w:bottom w:w="0" w:type="dxa"/>
          <w:right w:w="108" w:type="dxa"/>
        </w:tblCellMar>
      </w:tblPr>
      <w:tblGrid>
        <w:gridCol w:w="3333"/>
        <w:gridCol w:w="1701"/>
        <w:gridCol w:w="8448"/>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遵化市民政局部门固定资产占用情况表</w:t>
            </w:r>
          </w:p>
        </w:tc>
      </w:tr>
      <w:tr>
        <w:tblPrEx>
          <w:tblCellMar>
            <w:top w:w="0" w:type="dxa"/>
            <w:left w:w="108" w:type="dxa"/>
            <w:bottom w:w="0" w:type="dxa"/>
            <w:right w:w="108" w:type="dxa"/>
          </w:tblCellMar>
        </w:tblPrEx>
        <w:trPr>
          <w:trHeight w:val="510" w:hRule="atLeast"/>
        </w:trPr>
        <w:tc>
          <w:tcPr>
            <w:tcW w:w="5034" w:type="dxa"/>
            <w:gridSpan w:val="2"/>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rPr>
              <w:t>编制部门：遵化市民政局</w:t>
            </w:r>
          </w:p>
        </w:tc>
        <w:tc>
          <w:tcPr>
            <w:tcW w:w="8448" w:type="dxa"/>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rPr>
              <w:t>截止时间：</w:t>
            </w:r>
            <w:r>
              <w:rPr>
                <w:rFonts w:ascii="宋体" w:hAnsi="宋体" w:cs="宋体"/>
                <w:kern w:val="0"/>
                <w:sz w:val="22"/>
              </w:rPr>
              <w:t>201</w:t>
            </w:r>
            <w:r>
              <w:rPr>
                <w:rFonts w:hint="eastAsia" w:ascii="宋体" w:hAnsi="宋体" w:cs="宋体"/>
                <w:kern w:val="0"/>
                <w:sz w:val="22"/>
              </w:rPr>
              <w:t>9年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tblPrEx>
          <w:tblCellMar>
            <w:top w:w="0" w:type="dxa"/>
            <w:left w:w="108" w:type="dxa"/>
            <w:bottom w:w="0" w:type="dxa"/>
            <w:right w:w="108" w:type="dxa"/>
          </w:tblCellMar>
        </w:tblPrEx>
        <w:trPr>
          <w:trHeight w:val="567" w:hRule="exact"/>
        </w:trPr>
        <w:tc>
          <w:tcPr>
            <w:tcW w:w="33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项目</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rPr>
              <w:t>数量</w:t>
            </w:r>
          </w:p>
        </w:tc>
        <w:tc>
          <w:tcPr>
            <w:tcW w:w="8448" w:type="dxa"/>
            <w:tcBorders>
              <w:top w:val="single" w:color="auto" w:sz="4" w:space="0"/>
              <w:left w:val="nil"/>
              <w:bottom w:val="single" w:color="auto" w:sz="4" w:space="0"/>
              <w:right w:val="single" w:color="auto" w:sz="4" w:space="0"/>
            </w:tcBorders>
            <w:vAlign w:val="center"/>
          </w:tcPr>
          <w:p>
            <w:pPr>
              <w:widowControl/>
              <w:rPr>
                <w:rFonts w:ascii="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3333"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rPr>
              <w:t>资产总额</w:t>
            </w:r>
          </w:p>
        </w:tc>
        <w:tc>
          <w:tcPr>
            <w:tcW w:w="1701"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r>
              <w:rPr>
                <w:rFonts w:hint="eastAsia" w:ascii="方正仿宋简体" w:eastAsia="方正仿宋简体" w:cs="方正仿宋简体"/>
                <w:sz w:val="22"/>
              </w:rPr>
              <w:t>641.84</w:t>
            </w:r>
          </w:p>
        </w:tc>
      </w:tr>
      <w:tr>
        <w:tblPrEx>
          <w:tblCellMar>
            <w:top w:w="0" w:type="dxa"/>
            <w:left w:w="108" w:type="dxa"/>
            <w:bottom w:w="0" w:type="dxa"/>
            <w:right w:w="108" w:type="dxa"/>
          </w:tblCellMar>
        </w:tblPrEx>
        <w:trPr>
          <w:trHeight w:val="567" w:hRule="exact"/>
        </w:trPr>
        <w:tc>
          <w:tcPr>
            <w:tcW w:w="3333"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rPr>
              <w:t>1</w:t>
            </w:r>
            <w:r>
              <w:rPr>
                <w:rFonts w:hint="eastAsia" w:ascii="宋体" w:hAnsi="宋体" w:cs="宋体"/>
                <w:kern w:val="0"/>
                <w:sz w:val="22"/>
              </w:rPr>
              <w:t>、房屋（平方米）</w:t>
            </w:r>
          </w:p>
        </w:tc>
        <w:tc>
          <w:tcPr>
            <w:tcW w:w="1701"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sz w:val="22"/>
              </w:rPr>
              <w:t>4520</w:t>
            </w: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r>
              <w:rPr>
                <w:rFonts w:hint="eastAsia" w:ascii="方正仿宋简体" w:eastAsia="方正仿宋简体" w:cs="方正仿宋简体"/>
                <w:sz w:val="22"/>
              </w:rPr>
              <w:t>522.91</w:t>
            </w:r>
          </w:p>
        </w:tc>
      </w:tr>
      <w:tr>
        <w:tblPrEx>
          <w:tblCellMar>
            <w:top w:w="0" w:type="dxa"/>
            <w:left w:w="108" w:type="dxa"/>
            <w:bottom w:w="0" w:type="dxa"/>
            <w:right w:w="108" w:type="dxa"/>
          </w:tblCellMar>
        </w:tblPrEx>
        <w:trPr>
          <w:trHeight w:val="567" w:hRule="exact"/>
        </w:trPr>
        <w:tc>
          <w:tcPr>
            <w:tcW w:w="3333"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hint="eastAsia" w:ascii="宋体" w:hAnsi="宋体" w:cs="宋体"/>
                <w:kern w:val="0"/>
                <w:sz w:val="22"/>
              </w:rPr>
              <w:t>其中：办公用房（平方米）</w:t>
            </w:r>
          </w:p>
        </w:tc>
        <w:tc>
          <w:tcPr>
            <w:tcW w:w="1701"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cs="方正仿宋简体"/>
                <w:sz w:val="22"/>
              </w:rPr>
              <w:t>2000</w:t>
            </w: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p>
        </w:tc>
      </w:tr>
      <w:tr>
        <w:tblPrEx>
          <w:tblCellMar>
            <w:top w:w="0" w:type="dxa"/>
            <w:left w:w="108" w:type="dxa"/>
            <w:bottom w:w="0" w:type="dxa"/>
            <w:right w:w="108" w:type="dxa"/>
          </w:tblCellMar>
        </w:tblPrEx>
        <w:trPr>
          <w:trHeight w:val="567" w:hRule="exact"/>
        </w:trPr>
        <w:tc>
          <w:tcPr>
            <w:tcW w:w="3333"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rPr>
              <w:t>2</w:t>
            </w:r>
            <w:r>
              <w:rPr>
                <w:rFonts w:hint="eastAsia" w:ascii="宋体" w:hAnsi="宋体" w:cs="宋体"/>
                <w:kern w:val="0"/>
                <w:sz w:val="22"/>
              </w:rPr>
              <w:t>、车辆（台、辆）</w:t>
            </w:r>
          </w:p>
        </w:tc>
        <w:tc>
          <w:tcPr>
            <w:tcW w:w="1701"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cs="方正仿宋简体"/>
                <w:sz w:val="22"/>
              </w:rPr>
              <w:t>4</w:t>
            </w: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r>
              <w:rPr>
                <w:rFonts w:hint="eastAsia" w:ascii="方正仿宋简体" w:eastAsia="方正仿宋简体" w:cs="方正仿宋简体"/>
                <w:sz w:val="22"/>
              </w:rPr>
              <w:t>65.42</w:t>
            </w:r>
          </w:p>
        </w:tc>
      </w:tr>
      <w:tr>
        <w:tblPrEx>
          <w:tblCellMar>
            <w:top w:w="0" w:type="dxa"/>
            <w:left w:w="108" w:type="dxa"/>
            <w:bottom w:w="0" w:type="dxa"/>
            <w:right w:w="108" w:type="dxa"/>
          </w:tblCellMar>
        </w:tblPrEx>
        <w:trPr>
          <w:trHeight w:val="567" w:hRule="exact"/>
        </w:trPr>
        <w:tc>
          <w:tcPr>
            <w:tcW w:w="3333"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1701"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cs="方正仿宋简体"/>
                <w:sz w:val="22"/>
              </w:rPr>
              <w:t>　</w:t>
            </w:r>
            <w:r>
              <w:rPr>
                <w:rFonts w:ascii="方正仿宋简体" w:eastAsia="方正仿宋简体" w:cs="方正仿宋简体"/>
                <w:sz w:val="22"/>
              </w:rPr>
              <w:t>0</w:t>
            </w: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r>
              <w:rPr>
                <w:rFonts w:ascii="方正仿宋简体" w:eastAsia="方正仿宋简体" w:cs="方正仿宋简体"/>
                <w:sz w:val="22"/>
              </w:rPr>
              <w:t>0</w:t>
            </w:r>
          </w:p>
        </w:tc>
      </w:tr>
      <w:tr>
        <w:tblPrEx>
          <w:tblCellMar>
            <w:top w:w="0" w:type="dxa"/>
            <w:left w:w="108" w:type="dxa"/>
            <w:bottom w:w="0" w:type="dxa"/>
            <w:right w:w="108" w:type="dxa"/>
          </w:tblCellMar>
        </w:tblPrEx>
        <w:trPr>
          <w:trHeight w:val="540" w:hRule="exact"/>
        </w:trPr>
        <w:tc>
          <w:tcPr>
            <w:tcW w:w="3333"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rPr>
              <w:t>4</w:t>
            </w:r>
            <w:r>
              <w:rPr>
                <w:rFonts w:hint="eastAsia" w:ascii="宋体" w:hAnsi="宋体" w:cs="宋体"/>
                <w:kern w:val="0"/>
                <w:sz w:val="22"/>
              </w:rPr>
              <w:t>、其他固定资产</w:t>
            </w:r>
          </w:p>
        </w:tc>
        <w:tc>
          <w:tcPr>
            <w:tcW w:w="1701" w:type="dxa"/>
            <w:tcBorders>
              <w:top w:val="nil"/>
              <w:left w:val="nil"/>
              <w:bottom w:val="single" w:color="auto" w:sz="4" w:space="0"/>
              <w:right w:val="single" w:color="auto" w:sz="4" w:space="0"/>
            </w:tcBorders>
            <w:vAlign w:val="center"/>
          </w:tcPr>
          <w:p>
            <w:pPr>
              <w:jc w:val="center"/>
              <w:rPr>
                <w:rFonts w:ascii="宋体"/>
                <w:sz w:val="22"/>
              </w:rPr>
            </w:pPr>
            <w:r>
              <w:rPr>
                <w:rFonts w:hint="eastAsia" w:ascii="宋体"/>
                <w:sz w:val="22"/>
              </w:rPr>
              <w:t>430</w:t>
            </w:r>
          </w:p>
        </w:tc>
        <w:tc>
          <w:tcPr>
            <w:tcW w:w="8448" w:type="dxa"/>
            <w:tcBorders>
              <w:top w:val="nil"/>
              <w:left w:val="nil"/>
              <w:bottom w:val="single" w:color="auto" w:sz="4" w:space="0"/>
              <w:right w:val="single" w:color="auto" w:sz="4" w:space="0"/>
            </w:tcBorders>
            <w:vAlign w:val="center"/>
          </w:tcPr>
          <w:p>
            <w:pPr>
              <w:rPr>
                <w:rFonts w:ascii="方正仿宋简体" w:eastAsia="方正仿宋简体"/>
                <w:sz w:val="22"/>
              </w:rPr>
            </w:pPr>
            <w:r>
              <w:rPr>
                <w:rFonts w:hint="eastAsia" w:ascii="方正仿宋简体" w:eastAsia="方正仿宋简体" w:cs="方正仿宋简体"/>
                <w:sz w:val="22"/>
              </w:rPr>
              <w:t>53.51</w:t>
            </w:r>
          </w:p>
        </w:tc>
      </w:tr>
    </w:tbl>
    <w:p>
      <w:pPr>
        <w:pStyle w:val="11"/>
        <w:autoSpaceDE w:val="0"/>
        <w:autoSpaceDN w:val="0"/>
        <w:adjustRightInd w:val="0"/>
        <w:ind w:left="630" w:firstLine="0" w:firstLineChars="0"/>
        <w:jc w:val="left"/>
        <w:rPr>
          <w:rFonts w:ascii="黑体" w:hAnsi="黑体" w:eastAsia="黑体"/>
          <w:b/>
          <w:bCs/>
          <w:sz w:val="32"/>
          <w:szCs w:val="32"/>
        </w:rPr>
      </w:pPr>
      <w:r>
        <w:rPr>
          <w:rFonts w:hint="eastAsia" w:ascii="黑体" w:hAnsi="黑体" w:eastAsia="黑体" w:cs="黑体"/>
          <w:b/>
          <w:bCs/>
          <w:sz w:val="32"/>
          <w:szCs w:val="32"/>
        </w:rPr>
        <w:t>八、名词解释</w:t>
      </w:r>
    </w:p>
    <w:p>
      <w:pPr>
        <w:pStyle w:val="11"/>
        <w:numPr>
          <w:ilvl w:val="0"/>
          <w:numId w:val="2"/>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pStyle w:val="11"/>
        <w:numPr>
          <w:ilvl w:val="0"/>
          <w:numId w:val="2"/>
        </w:numPr>
        <w:tabs>
          <w:tab w:val="left" w:pos="11490"/>
        </w:tabs>
        <w:ind w:firstLineChars="0"/>
        <w:rPr>
          <w:rFonts w:ascii="Times New Roman" w:hAnsi="Times New Roman" w:eastAsia="方正仿宋_GBK"/>
          <w:sz w:val="32"/>
          <w:szCs w:val="32"/>
        </w:rPr>
      </w:pP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left="315"/>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pStyle w:val="11"/>
        <w:tabs>
          <w:tab w:val="left" w:pos="11490"/>
        </w:tabs>
        <w:ind w:firstLine="0" w:firstLineChars="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left="315"/>
        <w:rPr>
          <w:rFonts w:ascii="Times New Roman" w:hAnsi="Times New Roman" w:eastAsia="方正仿宋_GBK"/>
          <w:sz w:val="32"/>
          <w:szCs w:val="32"/>
        </w:rPr>
      </w:pPr>
      <w:r>
        <w:rPr>
          <w:rFonts w:ascii="Times New Roman" w:hAnsi="Times New Roman" w:eastAsia="方正仿宋_GBK"/>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315"/>
        <w:jc w:val="left"/>
        <w:rPr>
          <w:rFonts w:ascii="黑体" w:hAnsi="黑体" w:eastAsia="黑体"/>
          <w:b/>
          <w:bCs/>
          <w:sz w:val="32"/>
          <w:szCs w:val="32"/>
        </w:rPr>
      </w:pPr>
      <w:r>
        <w:rPr>
          <w:rFonts w:hint="eastAsia" w:ascii="黑体" w:hAnsi="黑体" w:eastAsia="黑体" w:cs="黑体"/>
          <w:b/>
          <w:bCs/>
          <w:sz w:val="32"/>
          <w:szCs w:val="32"/>
        </w:rPr>
        <w:t>九、其他需要说明的事项</w:t>
      </w:r>
    </w:p>
    <w:p>
      <w:pPr>
        <w:pStyle w:val="11"/>
        <w:ind w:left="1035" w:firstLine="0" w:firstLineChars="0"/>
        <w:rPr>
          <w:rFonts w:ascii="Times New Roman" w:hAnsi="Times New Roman" w:eastAsia="方正仿宋_GBK"/>
          <w:sz w:val="32"/>
          <w:szCs w:val="32"/>
        </w:rPr>
      </w:pPr>
      <w:r>
        <w:rPr>
          <w:rFonts w:hint="eastAsia" w:ascii="Times New Roman" w:hAnsi="Times New Roman" w:eastAsia="方正仿宋_GBK" w:cs="方正仿宋_GBK"/>
          <w:sz w:val="32"/>
          <w:szCs w:val="32"/>
        </w:rPr>
        <w:t>遵化市民政局</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hint="eastAsia" w:ascii="Times New Roman" w:hAnsi="Times New Roman" w:eastAsia="方正仿宋_GBK" w:cs="方正仿宋_GBK"/>
          <w:sz w:val="32"/>
          <w:szCs w:val="32"/>
        </w:rPr>
        <w:t>年部门预算中未安排国有资本经营预算，故国有资本经营预算支出表为空。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9A049"/>
    <w:multiLevelType w:val="singleLevel"/>
    <w:tmpl w:val="FBE9A049"/>
    <w:lvl w:ilvl="0" w:tentative="0">
      <w:start w:val="1"/>
      <w:numFmt w:val="chineseCounting"/>
      <w:suff w:val="nothing"/>
      <w:lvlText w:val="（%1）"/>
      <w:lvlJc w:val="left"/>
      <w:rPr>
        <w:rFonts w:hint="eastAsia"/>
        <w:lang w:val="en-US"/>
      </w:rPr>
    </w:lvl>
  </w:abstractNum>
  <w:abstractNum w:abstractNumId="1">
    <w:nsid w:val="415171CA"/>
    <w:multiLevelType w:val="multilevel"/>
    <w:tmpl w:val="415171CA"/>
    <w:lvl w:ilvl="0" w:tentative="0">
      <w:start w:val="1"/>
      <w:numFmt w:val="decimal"/>
      <w:lvlText w:val="%1、"/>
      <w:lvlJc w:val="left"/>
      <w:pPr>
        <w:ind w:left="1035" w:hanging="720"/>
      </w:pPr>
      <w:rPr>
        <w:rFonts w:ascii="Times New Roman" w:hAnsi="Times New Roman" w:eastAsia="方正仿宋_GBK" w:cs="方正仿宋_GBK"/>
        <w:b/>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MmRhZGI5NTdhMDU1ZDllNTZjNDg5M2VhM2JmODEifQ=="/>
  </w:docVars>
  <w:rsids>
    <w:rsidRoot w:val="007C64E7"/>
    <w:rsid w:val="000824B1"/>
    <w:rsid w:val="000F2D2B"/>
    <w:rsid w:val="001213B8"/>
    <w:rsid w:val="00334964"/>
    <w:rsid w:val="0037544A"/>
    <w:rsid w:val="003C717B"/>
    <w:rsid w:val="0042178C"/>
    <w:rsid w:val="00425A28"/>
    <w:rsid w:val="00466B51"/>
    <w:rsid w:val="00493830"/>
    <w:rsid w:val="004D3AC6"/>
    <w:rsid w:val="004E71DE"/>
    <w:rsid w:val="00645913"/>
    <w:rsid w:val="00681409"/>
    <w:rsid w:val="007C64E7"/>
    <w:rsid w:val="007E261E"/>
    <w:rsid w:val="008B5B18"/>
    <w:rsid w:val="009175BA"/>
    <w:rsid w:val="00932798"/>
    <w:rsid w:val="00994A2B"/>
    <w:rsid w:val="00AD2814"/>
    <w:rsid w:val="00B73442"/>
    <w:rsid w:val="00BE2259"/>
    <w:rsid w:val="00C71BA1"/>
    <w:rsid w:val="00D310CC"/>
    <w:rsid w:val="00E538FF"/>
    <w:rsid w:val="00F66493"/>
    <w:rsid w:val="00F76868"/>
    <w:rsid w:val="09A1580D"/>
    <w:rsid w:val="0CC653F0"/>
    <w:rsid w:val="20FB06D3"/>
    <w:rsid w:val="230B225A"/>
    <w:rsid w:val="2C024740"/>
    <w:rsid w:val="2F24462F"/>
    <w:rsid w:val="2F8E23ED"/>
    <w:rsid w:val="34CE4DB0"/>
    <w:rsid w:val="366A411B"/>
    <w:rsid w:val="385E7402"/>
    <w:rsid w:val="4AB34EFE"/>
    <w:rsid w:val="4C887E93"/>
    <w:rsid w:val="4DA27F53"/>
    <w:rsid w:val="57C460B7"/>
    <w:rsid w:val="59EF5236"/>
    <w:rsid w:val="63B6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rPr>
      <w:szCs w:val="24"/>
    </w:rPr>
  </w:style>
  <w:style w:type="table" w:styleId="6">
    <w:name w:val="Table Grid"/>
    <w:basedOn w:val="5"/>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3"/>
    <w:semiHidden/>
    <w:qFormat/>
    <w:uiPriority w:val="99"/>
    <w:rPr>
      <w:rFonts w:ascii="Calibri" w:hAnsi="Calibri" w:eastAsia="宋体" w:cs="Times New Roman"/>
      <w:sz w:val="18"/>
      <w:szCs w:val="18"/>
    </w:rPr>
  </w:style>
  <w:style w:type="character" w:customStyle="1" w:styleId="10">
    <w:name w:val="页脚 Char"/>
    <w:basedOn w:val="7"/>
    <w:link w:val="2"/>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Normal]"/>
    <w:uiPriority w:val="6"/>
    <w:rPr>
      <w:rFonts w:ascii="宋体" w:hAnsi="宋体" w:eastAsia="宋体" w:cs="Times New Roman"/>
      <w:sz w:val="24"/>
      <w:lang w:val="en-US" w:eastAsia="en-US" w:bidi="ar-SA"/>
    </w:rPr>
  </w:style>
  <w:style w:type="paragraph" w:customStyle="1" w:styleId="13">
    <w:name w:val="Normal (Web)1"/>
    <w:basedOn w:val="1"/>
    <w:uiPriority w:val="7"/>
    <w:pPr>
      <w:widowControl/>
      <w:spacing w:before="100" w:after="100"/>
      <w:jc w:val="left"/>
    </w:pPr>
    <w:rPr>
      <w:rFonts w:ascii="宋体" w:hAnsi="宋体"/>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0444B-DE57-4C40-84E9-85F9DFFA86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89</Pages>
  <Words>7693</Words>
  <Characters>43851</Characters>
  <Lines>365</Lines>
  <Paragraphs>102</Paragraphs>
  <TotalTime>8</TotalTime>
  <ScaleCrop>false</ScaleCrop>
  <LinksUpToDate>false</LinksUpToDate>
  <CharactersWithSpaces>51442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2020-03-24T01:35:00Z</dcterms:created>
  <dc:creator>微软用户</dc:creator>
  <cp:lastModifiedBy>璀璨之星</cp:lastModifiedBy>
  <dcterms:modified xsi:type="dcterms:W3CDTF">2024-03-19T06:07:18Z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C1A0466315914646970E901655E717B0</vt:lpwstr>
  </property>
</Properties>
</file>