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even"/>
          <w:pgSz w:w="11906" w:h="16838"/>
          <w:pgMar w:top="0" w:right="0" w:bottom="0" w:left="0" w:header="851" w:footer="992" w:gutter="0"/>
          <w:cols w:space="425" w:num="1"/>
          <w:titlePg/>
          <w:docGrid w:type="lines" w:linePitch="312" w:charSpace="0"/>
        </w:sectPr>
      </w:pPr>
      <w:r>
        <w:pict>
          <v:shape id="文本框 10" o:spid="_x0000_s1033"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34"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shape>
        </w:pict>
      </w:r>
      <w:r>
        <w:pict>
          <v:rect id="矩形 14" o:spid="_x0000_s1035"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3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37" o:spid="_x0000_s1037"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57216;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43"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遵化市</w:t>
      </w:r>
      <w:r>
        <w:rPr>
          <w:rFonts w:ascii="楷体_GB2312" w:hAnsi="楷体_GB2312" w:eastAsia="楷体_GB2312" w:cs="楷体_GB2312"/>
          <w:color w:val="000000"/>
          <w:kern w:val="0"/>
          <w:sz w:val="44"/>
          <w:szCs w:val="44"/>
        </w:rPr>
        <w:t>商务和投资促进局</w:t>
      </w:r>
    </w:p>
    <w:p>
      <w:pPr>
        <w:snapToGrid w:val="0"/>
        <w:jc w:val="center"/>
        <w:rPr>
          <w:rFonts w:ascii="楷体_GB2312" w:hAns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二〇二〇年八月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pict>
          <v:shape id="_x0000_s1053" o:spid="_x0000_s1053"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focussize="0,0"/>
            <v:stroke weight="1pt" color="#FFD966" joinstyle="round"/>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我局主要职责是：</w:t>
      </w:r>
    </w:p>
    <w:p>
      <w:pPr>
        <w:rPr>
          <w:rFonts w:hint="eastAsia" w:ascii="仿宋_GB2312" w:hAnsi="仿宋" w:eastAsia="仿宋_GB2312"/>
          <w:sz w:val="32"/>
          <w:szCs w:val="32"/>
        </w:rPr>
      </w:pPr>
      <w:r>
        <w:rPr>
          <w:rFonts w:hint="eastAsia" w:ascii="仿宋_GB2312" w:hAnsi="仿宋" w:eastAsia="仿宋_GB2312"/>
          <w:sz w:val="32"/>
          <w:szCs w:val="32"/>
        </w:rPr>
        <w:t xml:space="preserve">    1、贯彻落实国家和省有关内外贸易、国际经济合作发展战略、方针、政策以及相关法律法规；拟订全市国内外贸易发展规划，促进城乡市场发展。</w:t>
      </w:r>
    </w:p>
    <w:p>
      <w:pPr>
        <w:rPr>
          <w:rFonts w:hint="eastAsia" w:ascii="仿宋_GB2312" w:hAnsi="仿宋" w:eastAsia="仿宋_GB2312"/>
          <w:sz w:val="32"/>
          <w:szCs w:val="32"/>
        </w:rPr>
      </w:pPr>
      <w:r>
        <w:rPr>
          <w:rFonts w:hint="eastAsia" w:ascii="仿宋_GB2312" w:hAnsi="仿宋" w:eastAsia="仿宋_GB2312"/>
          <w:sz w:val="32"/>
          <w:szCs w:val="32"/>
        </w:rPr>
        <w:t xml:space="preserve">    2、负责指导商贸服务业和社区商业发展；推动流通标准化和连锁经营、商业特许经营、物流配送、电子商务等现代流通方式的发展。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3、承担牵头协调整顿和规范市场秩序工作的责任。</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4、承担组织实施重要消费品市场调控和重要生产资料流通管理的责任；负责对成品油流通进行监督管理；负责全市典当、拍卖等特种商品及行业的监督管理；负责报废汽车回收拆解的组织协调工作。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5、执行国家制定的进出口商品、加工贸易管理办法和进出口商品、技术目录。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6、拟定和推进全市科技兴贸战略；依法监督技术引进、设备进口、国家限制出口的技术工作。</w:t>
      </w:r>
    </w:p>
    <w:p>
      <w:pPr>
        <w:ind w:left="640"/>
        <w:rPr>
          <w:rFonts w:hint="eastAsia" w:ascii="仿宋_GB2312" w:hAnsi="仿宋" w:eastAsia="仿宋_GB2312"/>
          <w:sz w:val="32"/>
          <w:szCs w:val="32"/>
        </w:rPr>
      </w:pPr>
      <w:r>
        <w:rPr>
          <w:rFonts w:hint="eastAsia" w:ascii="仿宋_GB2312" w:hAnsi="仿宋" w:eastAsia="仿宋_GB2312"/>
          <w:sz w:val="32"/>
          <w:szCs w:val="32"/>
        </w:rPr>
        <w:t>7、贯彻执行国家促进服务业出口和服务业外包发展的</w:t>
      </w:r>
    </w:p>
    <w:p>
      <w:pPr>
        <w:rPr>
          <w:rFonts w:hint="eastAsia" w:ascii="仿宋_GB2312" w:hAnsi="仿宋" w:eastAsia="仿宋_GB2312"/>
          <w:sz w:val="32"/>
          <w:szCs w:val="32"/>
        </w:rPr>
      </w:pPr>
      <w:r>
        <w:rPr>
          <w:rFonts w:hint="eastAsia" w:ascii="仿宋_GB2312" w:hAnsi="仿宋" w:eastAsia="仿宋_GB2312"/>
          <w:sz w:val="32"/>
          <w:szCs w:val="32"/>
        </w:rPr>
        <w:t>规划、政策，牵头拟订全市服务贸易发展规划并组织实施。</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8、负责全市对外贸易经济合作工作。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9、负责推进我市进出口贸易的标准化建设。</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10、指导协调产业安全应对工作及国外对我市出口商品的反倾销、反补贴、保障措施的应诉工作。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11、贯彻执行国家制定的对香港、澳门特别行政区和台湾地区的经贸规划、政策，组织实施我市对台直接通商工作。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12、依法对经营者集中行为进行反垄断审查，指导企业在国外的反垄断应诉工作。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13、负责组织拟订全市现代物流发展规划；指导物流业的发展；负责全市重点物流项目和重点物流企业的认定工作。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14、指导监督以遵化市名义在境外举办的各种交易会、展览会、展销会等活动。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15、负责全市商务工作新闻发布会、宣传工作和提供信息咨询服务。</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16、研究拟订全市招商引资的发展战略、政策措施，并组织实施。</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17、研究拟订全市招商引资、利用外资、利用国内资金和经济技术合作、区域协作的工作目标，并组织实施。</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18、统筹全市招商引资和经济协作工作；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19、负责全市招商工作体系、工作机制的建立，对各乡镇、园区招商工作的管理、指导、协调和绩效评估、考核工作。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20、负责全市对境内外重要招商项目的谋划、包装、发布、推介工作，建立项目库和客户库；组织招商引资和经济协作重点项目的推介、洽谈和协调工作。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21、负责全市对境内外重要客户的联络拓展、重要团组和客户来访考察、洽谈的组织接待工作；负责全市利用外资、利用国内资金项目洽谈、签约工作的组织、指导、协调；负责签约项目的履约落实；承办市政府招商引资代表团出访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22、组织和促进委托招商、代理招商、中介招商、专业招商、网上招商等多种形式的招商活动。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23、负责全市外商投资项目的备案、核准和申报、外商投资企业的设立及变更审批和申报工作。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24、负责牵头组织全市外商投资企业联合年检工作；受理外商投资企业投诉。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25、指导外商投资企业协会、外来投资企业协会和其他相关服务机构的工作。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26、负责对全市贯彻落实招商引资、利用外资、利用国内资金的方针、政策情况的监督、检查。</w:t>
      </w:r>
    </w:p>
    <w:p>
      <w:pPr>
        <w:widowControl/>
        <w:spacing w:line="580" w:lineRule="exact"/>
        <w:ind w:firstLine="640" w:firstLineChars="200"/>
        <w:rPr>
          <w:rFonts w:ascii="仿宋_GB2312" w:hAnsi="Calibri" w:eastAsia="仿宋_GB2312" w:cs="ArialUnicodeMS"/>
          <w:kern w:val="0"/>
          <w:sz w:val="32"/>
          <w:szCs w:val="32"/>
        </w:rPr>
      </w:pPr>
      <w:r>
        <w:rPr>
          <w:rFonts w:hint="eastAsia" w:ascii="仿宋_GB2312" w:hAnsi="仿宋" w:eastAsia="仿宋_GB2312"/>
          <w:sz w:val="32"/>
          <w:szCs w:val="32"/>
        </w:rPr>
        <w:t>27、承办市政府交办的其他事项。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年度本部门决算汇编范围的独立核算单位（以下简称“单位”）共1</w:t>
      </w:r>
      <w:r>
        <w:rPr>
          <w:rFonts w:ascii="仿宋_GB2312" w:hAnsi="Calibri" w:eastAsia="仿宋_GB2312" w:cs="ArialUnicodeMS"/>
          <w:kern w:val="0"/>
          <w:sz w:val="32"/>
          <w:szCs w:val="32"/>
        </w:rPr>
        <w:t xml:space="preserve"> </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遵化市</w:t>
            </w:r>
            <w:r>
              <w:rPr>
                <w:rFonts w:ascii="仿宋_GB2312" w:hAnsi="Calibri" w:eastAsia="仿宋_GB2312" w:cs="ArialUnicodeMS"/>
                <w:kern w:val="0"/>
                <w:sz w:val="28"/>
                <w:szCs w:val="28"/>
              </w:rPr>
              <w:t>商务和投资促进局(</w:t>
            </w:r>
            <w:r>
              <w:rPr>
                <w:rFonts w:hint="eastAsia" w:ascii="仿宋_GB2312" w:hAnsi="Calibri" w:eastAsia="仿宋_GB2312" w:cs="ArialUnicodeMS"/>
                <w:kern w:val="0"/>
                <w:sz w:val="28"/>
                <w:szCs w:val="28"/>
              </w:rPr>
              <w:t>本级</w:t>
            </w:r>
            <w:r>
              <w:rPr>
                <w:rFonts w:ascii="仿宋_GB2312" w:hAnsi="Calibri" w:eastAsia="仿宋_GB2312" w:cs="ArialUnicodeMS"/>
                <w:kern w:val="0"/>
                <w:sz w:val="28"/>
                <w:szCs w:val="28"/>
              </w:rPr>
              <w:t>)</w:t>
            </w:r>
          </w:p>
        </w:tc>
        <w:tc>
          <w:tcPr>
            <w:tcW w:w="244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8" w:type="first"/>
          <w:footerReference r:id="rId10" w:type="first"/>
          <w:headerReference r:id="rId7" w:type="default"/>
          <w:footerReference r:id="rId9"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61" o:spid="_x0000_s1061"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pict>
          <v:shape id="_x0000_s1062" o:spid="_x0000_s1062"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年度收支总计（含结转和结余）790.25万元。与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年度决算相比，收支各增加110.26万元，增长16.22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，主要原因是招商引资及电商补助项目经费增加。</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黑体" w:hAnsi="Calibri" w:eastAsia="黑体"/>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年度本年收入合计790.25万元，其中：财政拨款收入790.25万元，占100</w:t>
      </w:r>
      <w:r>
        <w:rPr>
          <w:rFonts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黑体" w:hAnsi="Calibri" w:eastAsia="黑体"/>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年度本年支出合计790.25万元，其中：基本支出541.94万元，占69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；项目支出248.31万元，占31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年度形成的财政拨款收支均为一般公共预算财政拨款，其中本年收入790.25万元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年度增加110.26万元，增长16.22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，主要原因是招商引资及电商补助项目经费增加；本年支出790.25万元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年度增加110.26万元，增长16.22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，主要原因是招商引资及电商补助项目经费增加。</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年度一般公共预算财政拨款收入790.25万元，完成年初预算的100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。本年支出790.25万元，完成年初预算的100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年度财政拨款支出790.25万元，主要用于以下方面：一般公共服务（类）支出517万元，占65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；社会保障和就业（类）支出28.95万元，占4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；卫生健康（类）支出53.71万元，占7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；住房保障（类）支出40.58万元，占5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商品和服务（类）支出150万元，占19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年度财政拨款基本支出541.94万元，其中：人员经费</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513.7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28.23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年度“三公”经费支出共计5.64万元，完成预算的91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较预算减少0.51万元，降低9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，主要是本年度厉行节俭，节约开支；较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年度增加0.615万元，增长10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仿宋" w:eastAsia="仿宋_GB2312"/>
          <w:sz w:val="32"/>
          <w:szCs w:val="32"/>
        </w:rPr>
        <w:t>2019年公车运行维护费比2018年增加支出了部分保险</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（二）公务用车购置及运行维护费支出5.64万元。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年度公务用车购置及运行维护费较预算减少0.51万元，降低9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主要是减少</w:t>
      </w:r>
      <w:r>
        <w:rPr>
          <w:rFonts w:ascii="仿宋_GB2312" w:hAnsi="Times New Roman" w:eastAsia="仿宋_GB2312" w:cs="DengXian-Regular"/>
          <w:sz w:val="32"/>
          <w:szCs w:val="32"/>
        </w:rPr>
        <w:t>燃油使用</w:t>
      </w:r>
      <w:r>
        <w:rPr>
          <w:rFonts w:hint="eastAsia" w:ascii="仿宋_GB2312" w:hAnsi="Times New Roman" w:eastAsia="仿宋_GB2312" w:cs="DengXian-Regular"/>
          <w:sz w:val="32"/>
          <w:szCs w:val="32"/>
        </w:rPr>
        <w:t>；较上年增加0.615万元，增加10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仿宋" w:eastAsia="仿宋_GB2312"/>
          <w:sz w:val="32"/>
          <w:szCs w:val="32"/>
        </w:rPr>
        <w:t>2019年公车运行维护费比2018年增加支出了部分保险</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hint="eastAsia" w:ascii="仿宋_GB2312" w:hAnsi="Times New Roman" w:eastAsia="仿宋_GB2312" w:cs="DengXian-Regular"/>
          <w:color w:val="000000"/>
          <w:sz w:val="32"/>
          <w:szCs w:val="32"/>
        </w:rPr>
        <w:t>“未发生“公务用车购置”经费支出”。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算减少0.51万元，降低9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主要是减少</w:t>
      </w:r>
      <w:r>
        <w:rPr>
          <w:rFonts w:ascii="仿宋_GB2312" w:hAnsi="Times New Roman" w:eastAsia="仿宋_GB2312" w:cs="DengXian-Regular"/>
          <w:sz w:val="32"/>
          <w:szCs w:val="32"/>
        </w:rPr>
        <w:t>燃油使用</w:t>
      </w:r>
      <w:r>
        <w:rPr>
          <w:rFonts w:hint="eastAsia" w:ascii="仿宋_GB2312" w:hAnsi="Times New Roman" w:eastAsia="仿宋_GB2312" w:cs="DengXian-Regular"/>
          <w:sz w:val="32"/>
          <w:szCs w:val="32"/>
        </w:rPr>
        <w:t>；较上年增加0.615万元，增加10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仿宋" w:eastAsia="仿宋_GB2312"/>
          <w:sz w:val="32"/>
          <w:szCs w:val="32"/>
        </w:rPr>
        <w:t>2019年公车运行维护费比2018年增加支出了部分保险</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hint="eastAsia" w:ascii="仿宋_GB2312" w:hAnsi="Times New Roman" w:eastAsia="仿宋_GB2312" w:cs="DengXian-Regular"/>
          <w:color w:val="000000"/>
          <w:sz w:val="32"/>
          <w:szCs w:val="32"/>
        </w:rPr>
        <w:t>“未发生“</w:t>
      </w:r>
      <w:r>
        <w:rPr>
          <w:rFonts w:hint="eastAsia" w:ascii="仿宋_GB2312" w:hAnsi="Times New Roman" w:eastAsia="仿宋_GB2312" w:cs="DengXian-Regular"/>
          <w:sz w:val="32"/>
          <w:szCs w:val="32"/>
        </w:rPr>
        <w:t>公务接待”经费支出。</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年度一般公共预算项目支出全面开展绩效自评，其中，一级项目1个，二级项目4个，共涉及资金248.31万元，占一般公共预算项目支出总额的31%。组织对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 “电子商务</w:t>
      </w:r>
      <w:r>
        <w:rPr>
          <w:rFonts w:ascii="仿宋_GB2312" w:hAnsi="仿宋_GB2312" w:eastAsia="仿宋_GB2312" w:cs="仿宋_GB2312"/>
          <w:sz w:val="32"/>
          <w:szCs w:val="32"/>
        </w:rPr>
        <w:t>示范</w:t>
      </w:r>
      <w:r>
        <w:rPr>
          <w:rFonts w:hint="eastAsia" w:ascii="仿宋_GB2312" w:hAnsi="仿宋_GB2312" w:eastAsia="仿宋_GB2312" w:cs="仿宋_GB2312"/>
          <w:sz w:val="32"/>
          <w:szCs w:val="32"/>
        </w:rPr>
        <w:t>”“执法检查</w:t>
      </w:r>
      <w:r>
        <w:rPr>
          <w:rFonts w:ascii="仿宋_GB2312" w:hAnsi="仿宋_GB2312" w:eastAsia="仿宋_GB2312" w:cs="仿宋_GB2312"/>
          <w:sz w:val="32"/>
          <w:szCs w:val="32"/>
        </w:rPr>
        <w:t>专项经费</w:t>
      </w:r>
      <w:r>
        <w:rPr>
          <w:rFonts w:hint="eastAsia" w:ascii="仿宋_GB2312" w:hAnsi="仿宋_GB2312" w:eastAsia="仿宋_GB2312" w:cs="仿宋_GB2312"/>
          <w:sz w:val="32"/>
          <w:szCs w:val="32"/>
        </w:rPr>
        <w:t>”等5个项目开展了部门评价，涉及一般公共预算支出248.31万元。其中，对“电子商务</w:t>
      </w:r>
      <w:r>
        <w:rPr>
          <w:rFonts w:ascii="仿宋_GB2312" w:hAnsi="仿宋_GB2312" w:eastAsia="仿宋_GB2312" w:cs="仿宋_GB2312"/>
          <w:sz w:val="32"/>
          <w:szCs w:val="32"/>
        </w:rPr>
        <w:t>示范</w:t>
      </w:r>
      <w:r>
        <w:rPr>
          <w:rFonts w:hint="eastAsia" w:ascii="仿宋_GB2312" w:hAnsi="仿宋_GB2312" w:eastAsia="仿宋_GB2312" w:cs="仿宋_GB2312"/>
          <w:sz w:val="32"/>
          <w:szCs w:val="32"/>
        </w:rPr>
        <w:t>”“执法检查</w:t>
      </w:r>
      <w:r>
        <w:rPr>
          <w:rFonts w:ascii="仿宋_GB2312" w:hAnsi="仿宋_GB2312" w:eastAsia="仿宋_GB2312" w:cs="仿宋_GB2312"/>
          <w:sz w:val="32"/>
          <w:szCs w:val="32"/>
        </w:rPr>
        <w:t>专项经费</w:t>
      </w:r>
      <w:r>
        <w:rPr>
          <w:rFonts w:hint="eastAsia" w:ascii="仿宋_GB2312" w:hAnsi="仿宋_GB2312" w:eastAsia="仿宋_GB2312" w:cs="仿宋_GB2312"/>
          <w:sz w:val="32"/>
          <w:szCs w:val="32"/>
        </w:rPr>
        <w:t>”等项目进行了自查，开展绩效评价。从评价情况来看，项目运行效果良好，达到了预期效益。</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“办公用房租赁”“执法检查</w:t>
      </w:r>
      <w:r>
        <w:rPr>
          <w:rFonts w:ascii="仿宋_GB2312" w:hAnsi="仿宋_GB2312" w:eastAsia="仿宋_GB2312" w:cs="仿宋_GB2312"/>
          <w:sz w:val="32"/>
          <w:szCs w:val="32"/>
        </w:rPr>
        <w:t>专项经费</w:t>
      </w:r>
      <w:r>
        <w:rPr>
          <w:rFonts w:hint="eastAsia" w:ascii="仿宋_GB2312" w:hAnsi="仿宋_GB2312" w:eastAsia="仿宋_GB2312" w:cs="仿宋_GB2312"/>
          <w:sz w:val="32"/>
          <w:szCs w:val="32"/>
        </w:rPr>
        <w:t>”等4个项目绩效自评结果。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用房租赁项目自评综述：根据年初设定的绩效目标，办公用房租赁项目绩效自评得分为100分（绩效自评表附后）。全年预算数为25万元，执行数为25万元，完成预算的100%。该项目目标明确，项目资金申报、批复程序符合相关管理办法，项目实施过程有专人负责，组织机构健全。资金管理方面，财务方面制度健全，对项目做了合理、规范的预算安排，项目资金合理合规，无截留、挤占现象，实际资金支出到位占实际要求的100%，发放过程中做到了及时、足额拨付，保证了项目有效实施。</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加上级组织国内展会专项经费项目绩效自评综述：根据年初设定的绩效目标，参加上级组织国内展会专项经费项目绩效自评得分为100分（绩效自评表附后）。全年预算数为20万元，执行数为9.07万元，完成预算的45%。该项目目标明确，项目资金申报、批复程序符合相关管理办法，项目实施过程有专人负责，组织机构健全。组织企业走出去开拓市场：组织企业报名参加125届春季广交会、高交会、中日采购对接会等大型活动，宣传推介企业产品优势，与日本、韩国、东南亚、中东以及欧美国等20个国家、地区签署订单。主要绩效表现为：1、参展企业普遍提升自身企业品牌影响力。2、有效的帮助企业提升产品形象，扩大外贸出口量。</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法检查专项经费项目绩效自评综述：根据年初设定的绩效目标，执法检查专项经费项目绩效自评得分为100分。全年预算数为10万元，执行数为7.05万元，完成预算的70%。2019年度，全市现有132家加油站，其中：建成区38家。对成品油市场的管理，我局重点放在了加油站依法经营监管上，健全完善了加油站“购、销、存”</w:t>
      </w:r>
      <w:r>
        <w:rPr>
          <w:rFonts w:hint="eastAsia" w:ascii="仿宋_GB2312" w:hAnsi="仿宋_GB2312" w:eastAsia="仿宋_GB2312" w:cs="仿宋_GB2312"/>
          <w:sz w:val="32"/>
          <w:szCs w:val="32"/>
          <w:lang w:val="en-US" w:eastAsia="zh-CN"/>
        </w:rPr>
        <w:t>台账</w:t>
      </w:r>
      <w:r>
        <w:rPr>
          <w:rFonts w:hint="eastAsia" w:ascii="仿宋_GB2312" w:hAnsi="仿宋_GB2312" w:eastAsia="仿宋_GB2312" w:cs="仿宋_GB2312"/>
          <w:sz w:val="32"/>
          <w:szCs w:val="32"/>
        </w:rPr>
        <w:t>，实行责任分级、事故追究、公平竞争、消费者监督的网络体系；完善了油品销售和车用尿素销售不定期抽查、巡查制度，建立了来源可追溯、去向能查明、违法</w:t>
      </w:r>
      <w:bookmarkStart w:id="0" w:name="_GoBack"/>
      <w:bookmarkEnd w:id="0"/>
      <w:r>
        <w:rPr>
          <w:rFonts w:hint="eastAsia" w:ascii="仿宋_GB2312" w:hAnsi="仿宋_GB2312" w:eastAsia="仿宋_GB2312" w:cs="仿宋_GB2312"/>
          <w:sz w:val="32"/>
          <w:szCs w:val="32"/>
        </w:rPr>
        <w:t>受追究的监控体系；依法查处具备成品油零售经营资格企业的违法行为，对无证经营者进行甄别并协调有关部门依法取缔。截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目前，我局已累计开展日常检查活动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53余次，柴油和车用尿素票据质量抽检合格率达到98％以上，成品油市场经营秩序日趋优化。主要绩效表现为：1、全年各项工作圆满完成。2、执法效果显著。</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（4）招商经费项目绩效自评综述：根据年初设定的绩效目标，招商经费项目绩效自评得分为100分。全年预算数为100万元，执行数为57.18万元，完成预算的57%。2019年度以来，我局先后对接洽谈了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多次，重点对接了唐山爱信佳工汽车零部件有限公司汽车零部件基地、天山</w:t>
      </w:r>
      <w:r>
        <w:rPr>
          <w:rFonts w:ascii="仿宋_GB2312" w:hAnsi="仿宋_GB2312" w:eastAsia="仿宋_GB2312" w:cs="仿宋_GB2312"/>
          <w:sz w:val="32"/>
          <w:szCs w:val="32"/>
        </w:rPr>
        <w:t>海世界室内大型恒温水上娱乐</w:t>
      </w:r>
      <w:r>
        <w:rPr>
          <w:rFonts w:hint="eastAsia" w:ascii="仿宋_GB2312" w:hAnsi="仿宋_GB2312" w:eastAsia="仿宋_GB2312" w:cs="仿宋_GB2312"/>
          <w:sz w:val="32"/>
          <w:szCs w:val="32"/>
        </w:rPr>
        <w:t>、总部基地控股集团微型总部基地、福建圣农集团与美客多集团合作建设大型白羽鸡全生产链、应急电源装备制造等项目。设立了全市招商引资工作台账，协调承担招商引资任务的单位推进招商引资工作，按月督办55个单位招商引资工作并列入台账。逐月审核汇总各单位招商引资工作情况，形成报表按月上报市政府，为市领导掌握全市招商引资情况，指导招商引资工作提供准确依据。截止到目前，全市纳入招商引资工作台账管理的在谈项目信息269个，其中：第一产业29个，第二产业109个，第三产业131个。在谈项目中，正在重点推进的项目47个，意向投资总额248.406亿元，其中：第一产业2个，意向投资金额1.6亿元；第二产业22个，意向投资金额41.656亿元；第三产业23个，意向投资205.15亿元；已签约项目106个，总投资357.3亿元，其中第一产业10个，第二产业58个，第三产业38个。主要绩效表现为：1、全年各项工作圆满完成。2、招商引资效果显著，引进了一批大项目，好项目。</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本部门属于行政和事业混编并行，</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年度无机关运行经费。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年度政府采购支出总额10.723万元，从采购类型来看，</w:t>
      </w:r>
      <w:r>
        <w:rPr>
          <w:rFonts w:hint="eastAsia" w:ascii="仿宋_GB2312" w:hAnsi="仿宋_GB2312" w:eastAsia="仿宋_GB2312" w:cs="仿宋_GB2312"/>
          <w:color w:val="000000"/>
          <w:kern w:val="0"/>
          <w:sz w:val="32"/>
          <w:szCs w:val="32"/>
        </w:rPr>
        <w:t>政府采购货物支出10.723万元，占政府采购支出总额的100</w:t>
      </w:r>
      <w:r>
        <w:rPr>
          <w:rFonts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日，本部门共有车辆3辆，与上年相比无增减。其中，机要通信用车1辆，应急保障用车1辆，执法执勤用车1辆。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单位无价值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年度国有资本经营预算财政拨款无收支及结转结余情况，故国有资本经营预算财政拨款支出决算表以空表列示。</w:t>
      </w:r>
    </w:p>
    <w:p>
      <w:pPr>
        <w:widowControl/>
        <w:spacing w:line="580" w:lineRule="exact"/>
        <w:ind w:firstLine="640" w:firstLineChars="200"/>
        <w:jc w:val="left"/>
        <w:rPr>
          <w:rFonts w:ascii="仿宋_GB2312" w:hAnsi="仿宋_GB2312" w:eastAsia="仿宋_GB2312" w:cs="仿宋_GB2312"/>
          <w:sz w:val="32"/>
          <w:szCs w:val="32"/>
        </w:rPr>
        <w:sectPr>
          <w:type w:val="continuous"/>
          <w:pgSz w:w="11906" w:h="16838"/>
          <w:pgMar w:top="2098" w:right="1474" w:bottom="1984" w:left="1588" w:header="851" w:footer="992" w:gutter="0"/>
          <w:pgNumType w:fmt="numberInDash"/>
          <w:cols w:space="0" w:num="1"/>
          <w:docGrid w:type="lines" w:linePitch="312" w:charSpace="0"/>
        </w:sect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由于决算公开表格中金额数值应当保留两位小数，公开数据为四舍五入计算结果，个别数据合计项与分项之和存在小数点后差额，特此说明。</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pict>
          <v:shape id="_x0000_s1088" o:spid="_x0000_s1088"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focussize="0,0"/>
            <v:stroke weight="0.5pt" color="#FFD966" joinstyle="round"/>
            <v:imagedata o:title=""/>
            <o:lock v:ext="edit"/>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p/>
    <w:p/>
    <w:p/>
    <w:p/>
    <w:p/>
    <w:p/>
    <w:p/>
    <w:p/>
    <w:p/>
    <w:p/>
    <w:p/>
    <w:p/>
    <w:p>
      <w:pPr>
        <w:tabs>
          <w:tab w:val="left" w:pos="886"/>
        </w:tabs>
        <w:jc w:val="left"/>
        <w:sectPr>
          <w:headerReference r:id="rId11"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1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rPr>
          <w:rFonts w:hint="eastAsia"/>
        </w:r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pict>
          <v:shape id="_x0000_s1089" o:spid="_x0000_s1089"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790.25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28.96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53.70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40.58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790.25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790.25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790.25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790.25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5000" w:type="pct"/>
        <w:tblInd w:w="0" w:type="dxa"/>
        <w:tblLayout w:type="autofit"/>
        <w:tblCellMar>
          <w:top w:w="0" w:type="dxa"/>
          <w:left w:w="108" w:type="dxa"/>
          <w:bottom w:w="0" w:type="dxa"/>
          <w:right w:w="108" w:type="dxa"/>
        </w:tblCellMar>
      </w:tblPr>
      <w:tblGrid>
        <w:gridCol w:w="137"/>
        <w:gridCol w:w="137"/>
        <w:gridCol w:w="138"/>
        <w:gridCol w:w="136"/>
        <w:gridCol w:w="136"/>
        <w:gridCol w:w="134"/>
        <w:gridCol w:w="1086"/>
        <w:gridCol w:w="1051"/>
        <w:gridCol w:w="887"/>
        <w:gridCol w:w="444"/>
        <w:gridCol w:w="443"/>
        <w:gridCol w:w="487"/>
        <w:gridCol w:w="487"/>
        <w:gridCol w:w="440"/>
        <w:gridCol w:w="198"/>
        <w:gridCol w:w="315"/>
        <w:gridCol w:w="534"/>
        <w:gridCol w:w="124"/>
        <w:gridCol w:w="713"/>
        <w:gridCol w:w="440"/>
        <w:gridCol w:w="821"/>
      </w:tblGrid>
      <w:tr>
        <w:tblPrEx>
          <w:tblCellMar>
            <w:top w:w="0" w:type="dxa"/>
            <w:left w:w="108" w:type="dxa"/>
            <w:bottom w:w="0" w:type="dxa"/>
            <w:right w:w="108" w:type="dxa"/>
          </w:tblCellMar>
        </w:tblPrEx>
        <w:trPr>
          <w:gridAfter w:val="2"/>
          <w:wAfter w:w="594" w:type="pct"/>
          <w:trHeight w:val="390" w:hRule="atLeast"/>
        </w:trPr>
        <w:tc>
          <w:tcPr>
            <w:tcW w:w="213"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7"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8"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15" w:type="pct"/>
            <w:gridSpan w:val="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c>
          <w:tcPr>
            <w:tcW w:w="21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9"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2"/>
          <w:wAfter w:w="594" w:type="pct"/>
          <w:trHeight w:val="255" w:hRule="atLeast"/>
        </w:trPr>
        <w:tc>
          <w:tcPr>
            <w:tcW w:w="213"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0"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7"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8"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15"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9" w:type="pct"/>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gridAfter w:val="2"/>
          <w:wAfter w:w="594" w:type="pct"/>
          <w:trHeight w:val="255" w:hRule="atLeast"/>
        </w:trPr>
        <w:tc>
          <w:tcPr>
            <w:tcW w:w="2126" w:type="pct"/>
            <w:gridSpan w:val="9"/>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部门：遵化市商务和投资促进局</w:t>
            </w:r>
          </w:p>
        </w:tc>
        <w:tc>
          <w:tcPr>
            <w:tcW w:w="478"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15"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9" w:type="pct"/>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gridAfter w:val="2"/>
          <w:wAfter w:w="594" w:type="pct"/>
          <w:trHeight w:val="308" w:hRule="atLeast"/>
        </w:trPr>
        <w:tc>
          <w:tcPr>
            <w:tcW w:w="1636" w:type="pct"/>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9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478"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515"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214"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326"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299"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449"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gridAfter w:val="2"/>
          <w:wAfter w:w="594" w:type="pct"/>
          <w:trHeight w:val="312" w:hRule="atLeast"/>
        </w:trPr>
        <w:tc>
          <w:tcPr>
            <w:tcW w:w="630" w:type="pct"/>
            <w:gridSpan w:val="6"/>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006" w:type="pct"/>
            <w:gridSpan w:val="2"/>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49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78"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15"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26"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9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49"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594" w:type="pct"/>
          <w:trHeight w:val="312" w:hRule="atLeast"/>
        </w:trPr>
        <w:tc>
          <w:tcPr>
            <w:tcW w:w="630" w:type="pct"/>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06"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78"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15"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26"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9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49"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594" w:type="pct"/>
          <w:trHeight w:val="312" w:hRule="atLeast"/>
        </w:trPr>
        <w:tc>
          <w:tcPr>
            <w:tcW w:w="630" w:type="pct"/>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06"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78"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15"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26"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9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49"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594" w:type="pct"/>
          <w:trHeight w:val="308" w:hRule="atLeast"/>
        </w:trPr>
        <w:tc>
          <w:tcPr>
            <w:tcW w:w="1636" w:type="pct"/>
            <w:gridSpan w:val="8"/>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9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78"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515"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21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326"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99"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449"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gridAfter w:val="2"/>
          <w:wAfter w:w="594" w:type="pct"/>
          <w:trHeight w:val="308" w:hRule="atLeast"/>
        </w:trPr>
        <w:tc>
          <w:tcPr>
            <w:tcW w:w="1636" w:type="pct"/>
            <w:gridSpan w:val="8"/>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7,902,521.94</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7,902,521.94</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商贸事务</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2011301</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2011302</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411,244.00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411,244.00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2011308</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招商引资</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571,863.00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571,863.00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2160299</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其他商业流通事务支出</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630"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1006"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4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47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51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49"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94" w:type="pct"/>
          <w:trHeight w:val="308" w:hRule="atLeast"/>
        </w:trPr>
        <w:tc>
          <w:tcPr>
            <w:tcW w:w="4406" w:type="pct"/>
            <w:gridSpan w:val="1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r>
        <w:tblPrEx>
          <w:tblCellMar>
            <w:top w:w="0" w:type="dxa"/>
            <w:left w:w="108" w:type="dxa"/>
            <w:bottom w:w="0" w:type="dxa"/>
            <w:right w:w="108" w:type="dxa"/>
          </w:tblCellMar>
        </w:tblPrEx>
        <w:trPr>
          <w:gridBefore w:val="1"/>
          <w:wBefore w:w="107" w:type="pct"/>
          <w:trHeight w:val="390" w:hRule="atLeast"/>
        </w:trPr>
        <w:tc>
          <w:tcPr>
            <w:tcW w:w="212"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8"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0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32"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19" w:type="pct"/>
            <w:gridSpan w:val="3"/>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c>
          <w:tcPr>
            <w:tcW w:w="546"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Before w:val="1"/>
          <w:wBefore w:w="107" w:type="pct"/>
          <w:trHeight w:val="255" w:hRule="atLeast"/>
        </w:trPr>
        <w:tc>
          <w:tcPr>
            <w:tcW w:w="212"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8"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0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32"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19"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46"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0"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gridBefore w:val="1"/>
          <w:wBefore w:w="107" w:type="pct"/>
          <w:trHeight w:val="255" w:hRule="atLeast"/>
        </w:trPr>
        <w:tc>
          <w:tcPr>
            <w:tcW w:w="2258" w:type="pct"/>
            <w:gridSpan w:val="9"/>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部门：遵化市商务和投资促进局</w:t>
            </w:r>
          </w:p>
        </w:tc>
        <w:tc>
          <w:tcPr>
            <w:tcW w:w="496"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19"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46" w:type="pct"/>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0"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gridBefore w:val="1"/>
          <w:wBefore w:w="107" w:type="pct"/>
          <w:trHeight w:val="308" w:hRule="atLeast"/>
        </w:trPr>
        <w:tc>
          <w:tcPr>
            <w:tcW w:w="2258" w:type="pct"/>
            <w:gridSpan w:val="9"/>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96" w:type="pct"/>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619" w:type="pct"/>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546" w:type="pct"/>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38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214"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380" w:type="pct"/>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gridBefore w:val="1"/>
          <w:wBefore w:w="107" w:type="pct"/>
          <w:trHeight w:val="312" w:hRule="atLeast"/>
        </w:trPr>
        <w:tc>
          <w:tcPr>
            <w:tcW w:w="1026" w:type="pct"/>
            <w:gridSpan w:val="6"/>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232" w:type="pct"/>
            <w:gridSpan w:val="3"/>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496"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19" w:type="pct"/>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46" w:type="pct"/>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107" w:type="pct"/>
          <w:trHeight w:val="312" w:hRule="atLeast"/>
        </w:trPr>
        <w:tc>
          <w:tcPr>
            <w:tcW w:w="1026" w:type="pct"/>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32"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19" w:type="pct"/>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46" w:type="pct"/>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107" w:type="pct"/>
          <w:trHeight w:val="312" w:hRule="atLeast"/>
        </w:trPr>
        <w:tc>
          <w:tcPr>
            <w:tcW w:w="1026" w:type="pct"/>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32"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6"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19" w:type="pct"/>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46" w:type="pct"/>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4"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Before w:val="1"/>
          <w:wBefore w:w="107" w:type="pct"/>
          <w:trHeight w:val="308" w:hRule="atLeast"/>
        </w:trPr>
        <w:tc>
          <w:tcPr>
            <w:tcW w:w="2258" w:type="pct"/>
            <w:gridSpan w:val="9"/>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96" w:type="pct"/>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619" w:type="pct"/>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546" w:type="pct"/>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8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214"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80"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gridBefore w:val="1"/>
          <w:wBefore w:w="107" w:type="pct"/>
          <w:trHeight w:val="308" w:hRule="atLeast"/>
        </w:trPr>
        <w:tc>
          <w:tcPr>
            <w:tcW w:w="2258" w:type="pct"/>
            <w:gridSpan w:val="9"/>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7,902,521.94</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5,419,414.94</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2,483,107.00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983,107.00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商贸事务</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983,107.00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2011301</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2011302</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411,244.00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411,244.00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2011308</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招商引资</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571,863.00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571,863.00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2160299</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其他商业流通事务支出</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1026" w:type="pct"/>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1232"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49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619"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546"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1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Before w:val="1"/>
          <w:wBefore w:w="107" w:type="pct"/>
          <w:trHeight w:val="308" w:hRule="atLeast"/>
        </w:trPr>
        <w:tc>
          <w:tcPr>
            <w:tcW w:w="4893" w:type="pct"/>
            <w:gridSpan w:val="2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rPr>
          <w:rFonts w:hint="eastAsia"/>
        </w:rPr>
      </w:pPr>
    </w:p>
    <w:tbl>
      <w:tblPr>
        <w:tblStyle w:val="7"/>
        <w:tblW w:w="0" w:type="auto"/>
        <w:tblInd w:w="89" w:type="dxa"/>
        <w:tblLayout w:type="autofit"/>
        <w:tblCellMar>
          <w:top w:w="0" w:type="dxa"/>
          <w:left w:w="108" w:type="dxa"/>
          <w:bottom w:w="0" w:type="dxa"/>
          <w:right w:w="108" w:type="dxa"/>
        </w:tblCellMar>
      </w:tblPr>
      <w:tblGrid>
        <w:gridCol w:w="1988"/>
        <w:gridCol w:w="352"/>
        <w:gridCol w:w="1034"/>
        <w:gridCol w:w="2446"/>
        <w:gridCol w:w="352"/>
        <w:gridCol w:w="1034"/>
        <w:gridCol w:w="1034"/>
        <w:gridCol w:w="959"/>
      </w:tblGrid>
      <w:tr>
        <w:tblPrEx>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部门：遵化市商务和投资促进局</w:t>
            </w: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7,902,521.94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7,902,521.94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7,902,521.94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7,902,521.94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7,902,521.94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7,902,521.94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7,902,521.94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注：本表反映部门本年度一般公共预算财政拨款和政府性基金预算财政拨款的总收支和年末结转结余情况。</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0" w:type="auto"/>
        <w:tblInd w:w="89" w:type="dxa"/>
        <w:tblLayout w:type="autofit"/>
        <w:tblCellMar>
          <w:top w:w="0" w:type="dxa"/>
          <w:left w:w="108" w:type="dxa"/>
          <w:bottom w:w="0" w:type="dxa"/>
          <w:right w:w="108" w:type="dxa"/>
        </w:tblCellMar>
      </w:tblPr>
      <w:tblGrid>
        <w:gridCol w:w="293"/>
        <w:gridCol w:w="293"/>
        <w:gridCol w:w="293"/>
        <w:gridCol w:w="2774"/>
        <w:gridCol w:w="3293"/>
        <w:gridCol w:w="1126"/>
        <w:gridCol w:w="1127"/>
      </w:tblGrid>
      <w:tr>
        <w:tblPrEx>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部门：遵化市商务和投资促进局</w:t>
            </w: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0" w:type="auto"/>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7,902,521.94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5,419,414.94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2,483,107.00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983,107.00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商贸事务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5,170,010.74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983,107.00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4,186,903.74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411,244.00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411,244.00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招商引资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571,863.00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571,863.00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289,581.40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537,074.80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其他商业流通事务支出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rPr>
          <w:rFonts w:hint="eastAsia"/>
        </w:rPr>
      </w:pPr>
    </w:p>
    <w:tbl>
      <w:tblPr>
        <w:tblStyle w:val="7"/>
        <w:tblW w:w="0" w:type="auto"/>
        <w:tblInd w:w="89" w:type="dxa"/>
        <w:tblLayout w:type="autofit"/>
        <w:tblCellMar>
          <w:top w:w="0" w:type="dxa"/>
          <w:left w:w="108" w:type="dxa"/>
          <w:bottom w:w="0" w:type="dxa"/>
          <w:right w:w="108" w:type="dxa"/>
        </w:tblCellMar>
      </w:tblPr>
      <w:tblGrid>
        <w:gridCol w:w="440"/>
        <w:gridCol w:w="1564"/>
        <w:gridCol w:w="755"/>
        <w:gridCol w:w="441"/>
        <w:gridCol w:w="2301"/>
        <w:gridCol w:w="666"/>
        <w:gridCol w:w="441"/>
        <w:gridCol w:w="1925"/>
        <w:gridCol w:w="666"/>
      </w:tblGrid>
      <w:tr>
        <w:tblPrEx>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一般公共预算财政拨款基本支出决算表</w:t>
            </w: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部门：遵化市商务和投资促进局</w:t>
            </w: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5,109,325.64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282,333.30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1,824,892.70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1,257,377.00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43,310.00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356,016.00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513,704.04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272,674.80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23,962.50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264,400.00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26,346.10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2,099.00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405,855.00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144,750.00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27,756.00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23,976.00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39,700.00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32,900.00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56,421.80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86,250.00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5,137,081.64</w:t>
            </w:r>
          </w:p>
        </w:tc>
        <w:tc>
          <w:tcPr>
            <w:tcW w:w="0" w:type="auto"/>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282,333.30</w:t>
            </w:r>
          </w:p>
        </w:tc>
      </w:tr>
      <w:tr>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rPr>
          <w:rFonts w:hint="eastAsia"/>
        </w:rPr>
      </w:pPr>
    </w:p>
    <w:p>
      <w:pPr>
        <w:rPr>
          <w:rFonts w:hint="eastAsia"/>
        </w:rPr>
      </w:pPr>
    </w:p>
    <w:tbl>
      <w:tblPr>
        <w:tblStyle w:val="7"/>
        <w:tblW w:w="5000" w:type="pct"/>
        <w:tblInd w:w="0" w:type="dxa"/>
        <w:tblLayout w:type="autofit"/>
        <w:tblCellMar>
          <w:top w:w="0" w:type="dxa"/>
          <w:left w:w="108" w:type="dxa"/>
          <w:bottom w:w="0" w:type="dxa"/>
          <w:right w:w="108" w:type="dxa"/>
        </w:tblCellMar>
      </w:tblPr>
      <w:tblGrid>
        <w:gridCol w:w="658"/>
        <w:gridCol w:w="659"/>
        <w:gridCol w:w="556"/>
        <w:gridCol w:w="367"/>
        <w:gridCol w:w="556"/>
        <w:gridCol w:w="3387"/>
        <w:gridCol w:w="556"/>
        <w:gridCol w:w="442"/>
        <w:gridCol w:w="556"/>
        <w:gridCol w:w="367"/>
        <w:gridCol w:w="556"/>
        <w:gridCol w:w="628"/>
      </w:tblGrid>
      <w:tr>
        <w:tblPrEx>
          <w:tblCellMar>
            <w:top w:w="0" w:type="dxa"/>
            <w:left w:w="108" w:type="dxa"/>
            <w:bottom w:w="0" w:type="dxa"/>
            <w:right w:w="108" w:type="dxa"/>
          </w:tblCellMar>
        </w:tblPrEx>
        <w:trPr>
          <w:trHeight w:val="540" w:hRule="atLeast"/>
        </w:trPr>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hint="eastAsia" w:ascii="Arial" w:hAnsi="Arial" w:eastAsia="宋体" w:cs="Arial"/>
                <w:color w:val="000000"/>
                <w:kern w:val="0"/>
                <w:sz w:val="20"/>
                <w:szCs w:val="20"/>
              </w:rPr>
            </w:pPr>
          </w:p>
          <w:p>
            <w:pPr>
              <w:widowControl/>
              <w:jc w:val="left"/>
              <w:rPr>
                <w:rFonts w:hint="eastAsia" w:ascii="Arial" w:hAnsi="Arial" w:eastAsia="宋体" w:cs="Arial"/>
                <w:color w:val="000000"/>
                <w:kern w:val="0"/>
                <w:sz w:val="20"/>
                <w:szCs w:val="20"/>
              </w:rPr>
            </w:pPr>
          </w:p>
          <w:p>
            <w:pPr>
              <w:widowControl/>
              <w:jc w:val="left"/>
              <w:rPr>
                <w:rFonts w:hint="eastAsia" w:ascii="Arial" w:hAnsi="Arial" w:eastAsia="宋体" w:cs="Arial"/>
                <w:color w:val="000000"/>
                <w:kern w:val="0"/>
                <w:sz w:val="20"/>
                <w:szCs w:val="20"/>
              </w:rPr>
            </w:pPr>
          </w:p>
          <w:p>
            <w:pPr>
              <w:widowControl/>
              <w:jc w:val="left"/>
              <w:rPr>
                <w:rFonts w:hint="eastAsia" w:ascii="Arial" w:hAnsi="Arial" w:eastAsia="宋体" w:cs="Arial"/>
                <w:color w:val="000000"/>
                <w:kern w:val="0"/>
                <w:sz w:val="20"/>
                <w:szCs w:val="20"/>
              </w:rPr>
            </w:pPr>
          </w:p>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44"/>
                <w:szCs w:val="44"/>
              </w:rPr>
            </w:pPr>
          </w:p>
          <w:p>
            <w:pPr>
              <w:widowControl/>
              <w:jc w:val="center"/>
              <w:rPr>
                <w:rFonts w:hint="eastAsia" w:ascii="宋体" w:hAnsi="宋体" w:eastAsia="宋体" w:cs="Arial"/>
                <w:color w:val="000000"/>
                <w:kern w:val="0"/>
                <w:sz w:val="44"/>
                <w:szCs w:val="44"/>
              </w:rPr>
            </w:pPr>
          </w:p>
          <w:p>
            <w:pPr>
              <w:widowControl/>
              <w:jc w:val="center"/>
              <w:rPr>
                <w:rFonts w:hint="eastAsia" w:ascii="宋体" w:hAnsi="宋体" w:eastAsia="宋体" w:cs="Arial"/>
                <w:color w:val="000000"/>
                <w:kern w:val="0"/>
                <w:sz w:val="44"/>
                <w:szCs w:val="44"/>
              </w:rPr>
            </w:pPr>
          </w:p>
          <w:p>
            <w:pPr>
              <w:widowControl/>
              <w:jc w:val="center"/>
              <w:rPr>
                <w:rFonts w:hint="eastAsia" w:ascii="宋体" w:hAnsi="宋体" w:eastAsia="宋体" w:cs="Arial"/>
                <w:color w:val="000000"/>
                <w:kern w:val="0"/>
                <w:sz w:val="44"/>
                <w:szCs w:val="44"/>
              </w:rPr>
            </w:pPr>
          </w:p>
          <w:p>
            <w:pPr>
              <w:widowControl/>
              <w:jc w:val="center"/>
              <w:rPr>
                <w:rFonts w:hint="eastAsia" w:ascii="宋体" w:hAnsi="宋体" w:eastAsia="宋体" w:cs="Arial"/>
                <w:color w:val="000000"/>
                <w:kern w:val="0"/>
                <w:sz w:val="44"/>
                <w:szCs w:val="44"/>
              </w:rPr>
            </w:pPr>
          </w:p>
          <w:p>
            <w:pPr>
              <w:widowControl/>
              <w:jc w:val="center"/>
              <w:rPr>
                <w:rFonts w:hint="eastAsia" w:ascii="宋体" w:hAnsi="宋体" w:eastAsia="宋体" w:cs="Arial"/>
                <w:color w:val="000000"/>
                <w:kern w:val="0"/>
                <w:sz w:val="44"/>
                <w:szCs w:val="44"/>
              </w:rPr>
            </w:pPr>
          </w:p>
          <w:p>
            <w:pPr>
              <w:widowControl/>
              <w:jc w:val="center"/>
              <w:rPr>
                <w:rFonts w:hint="eastAsia" w:ascii="宋体" w:hAnsi="宋体" w:eastAsia="宋体" w:cs="Arial"/>
                <w:color w:val="000000"/>
                <w:kern w:val="0"/>
                <w:sz w:val="44"/>
                <w:szCs w:val="44"/>
              </w:rPr>
            </w:pPr>
          </w:p>
          <w:p>
            <w:pPr>
              <w:widowControl/>
              <w:jc w:val="center"/>
              <w:rPr>
                <w:rFonts w:hint="eastAsia" w:ascii="宋体" w:hAnsi="宋体" w:eastAsia="宋体" w:cs="Arial"/>
                <w:color w:val="000000"/>
                <w:kern w:val="0"/>
                <w:sz w:val="44"/>
                <w:szCs w:val="44"/>
              </w:rPr>
            </w:pPr>
          </w:p>
          <w:p>
            <w:pPr>
              <w:widowControl/>
              <w:jc w:val="center"/>
              <w:rPr>
                <w:rFonts w:hint="eastAsia"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一般公共预算财政拨款“三公”经费支出决算表</w:t>
            </w: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833" w:type="pct"/>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部门：遵化市商务和投资促进局</w:t>
            </w: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2500" w:type="pct"/>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417" w:type="pct"/>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17"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1250" w:type="pct"/>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417"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417"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17"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1250" w:type="pct"/>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417" w:type="pct"/>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41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17" w:type="pc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417" w:type="pc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417"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61,500.10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61,500.00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61,500.00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56,421.80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56,421.80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56,421.80</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pict>
          <v:rect id="_x0000_s1105" o:spid="_x0000_s1105"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2"/>
  </w:compat>
  <w:rsids>
    <w:rsidRoot w:val="6AAF1C96"/>
    <w:rsid w:val="0007063E"/>
    <w:rsid w:val="00073392"/>
    <w:rsid w:val="00073F4E"/>
    <w:rsid w:val="00086C89"/>
    <w:rsid w:val="000A39FB"/>
    <w:rsid w:val="00117746"/>
    <w:rsid w:val="00140901"/>
    <w:rsid w:val="00163F95"/>
    <w:rsid w:val="00167EA4"/>
    <w:rsid w:val="00180A9A"/>
    <w:rsid w:val="001829C0"/>
    <w:rsid w:val="00184809"/>
    <w:rsid w:val="00192112"/>
    <w:rsid w:val="001B0127"/>
    <w:rsid w:val="001C12D5"/>
    <w:rsid w:val="001C69F7"/>
    <w:rsid w:val="00247E5C"/>
    <w:rsid w:val="00254760"/>
    <w:rsid w:val="002650EC"/>
    <w:rsid w:val="002A6C46"/>
    <w:rsid w:val="002C19B5"/>
    <w:rsid w:val="002D1854"/>
    <w:rsid w:val="003A4EE8"/>
    <w:rsid w:val="00442CC2"/>
    <w:rsid w:val="00446244"/>
    <w:rsid w:val="00473C20"/>
    <w:rsid w:val="00475C4C"/>
    <w:rsid w:val="004D61CB"/>
    <w:rsid w:val="005011D6"/>
    <w:rsid w:val="00503F2E"/>
    <w:rsid w:val="00552226"/>
    <w:rsid w:val="00566120"/>
    <w:rsid w:val="00582E6D"/>
    <w:rsid w:val="005954D5"/>
    <w:rsid w:val="005A53FA"/>
    <w:rsid w:val="005D1293"/>
    <w:rsid w:val="006069EF"/>
    <w:rsid w:val="00644D5F"/>
    <w:rsid w:val="006727AD"/>
    <w:rsid w:val="00691425"/>
    <w:rsid w:val="006A516E"/>
    <w:rsid w:val="006B0830"/>
    <w:rsid w:val="00716E2B"/>
    <w:rsid w:val="00736A43"/>
    <w:rsid w:val="00770F18"/>
    <w:rsid w:val="00773B74"/>
    <w:rsid w:val="0078275D"/>
    <w:rsid w:val="0078290C"/>
    <w:rsid w:val="007A7966"/>
    <w:rsid w:val="007C06CA"/>
    <w:rsid w:val="008163FB"/>
    <w:rsid w:val="0082605B"/>
    <w:rsid w:val="00855C36"/>
    <w:rsid w:val="00857DBE"/>
    <w:rsid w:val="008701BC"/>
    <w:rsid w:val="00883D92"/>
    <w:rsid w:val="008A5362"/>
    <w:rsid w:val="008B0F9F"/>
    <w:rsid w:val="008F21F1"/>
    <w:rsid w:val="008F221B"/>
    <w:rsid w:val="008F5A2D"/>
    <w:rsid w:val="00921602"/>
    <w:rsid w:val="00957EA1"/>
    <w:rsid w:val="00966E5B"/>
    <w:rsid w:val="009B4EF0"/>
    <w:rsid w:val="009D271F"/>
    <w:rsid w:val="00A30E36"/>
    <w:rsid w:val="00A60ED0"/>
    <w:rsid w:val="00A929C2"/>
    <w:rsid w:val="00AB3CC1"/>
    <w:rsid w:val="00AD097F"/>
    <w:rsid w:val="00B844F4"/>
    <w:rsid w:val="00BA06A1"/>
    <w:rsid w:val="00BA770A"/>
    <w:rsid w:val="00C054DE"/>
    <w:rsid w:val="00C45032"/>
    <w:rsid w:val="00C679A9"/>
    <w:rsid w:val="00C7541C"/>
    <w:rsid w:val="00CB2FB8"/>
    <w:rsid w:val="00CC0FAA"/>
    <w:rsid w:val="00CD0736"/>
    <w:rsid w:val="00D1570F"/>
    <w:rsid w:val="00D32830"/>
    <w:rsid w:val="00DA1B34"/>
    <w:rsid w:val="00DB7153"/>
    <w:rsid w:val="00DB7F05"/>
    <w:rsid w:val="00E028C3"/>
    <w:rsid w:val="00E14F77"/>
    <w:rsid w:val="00E3076B"/>
    <w:rsid w:val="00E36978"/>
    <w:rsid w:val="00E74912"/>
    <w:rsid w:val="00E82A1E"/>
    <w:rsid w:val="00EC06F4"/>
    <w:rsid w:val="00EE4E36"/>
    <w:rsid w:val="00EF3CAD"/>
    <w:rsid w:val="00F665F4"/>
    <w:rsid w:val="00FD225F"/>
    <w:rsid w:val="109F6479"/>
    <w:rsid w:val="1F5B6DBF"/>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iPriority w:val="99"/>
    <w:rPr>
      <w:rFonts w:ascii="仿宋_GB2312" w:hAnsi="仿宋_GB2312" w:eastAsia="仿宋_GB2312" w:cs="仿宋_GB2312"/>
      <w:sz w:val="32"/>
      <w:szCs w:val="32"/>
      <w:lang w:val="zh-CN"/>
    </w:rPr>
  </w:style>
  <w:style w:type="paragraph" w:styleId="4">
    <w:name w:val="Balloon Text"/>
    <w:basedOn w:val="1"/>
    <w:link w:val="15"/>
    <w:semiHidden/>
    <w:unhideWhenUsed/>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basedOn w:val="7"/>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uiPriority w:val="9"/>
    <w:rPr>
      <w:rFonts w:ascii="等线" w:hAnsi="等线" w:eastAsia="等线"/>
      <w:b/>
      <w:bCs/>
      <w:kern w:val="44"/>
      <w:sz w:val="44"/>
      <w:szCs w:val="44"/>
    </w:rPr>
  </w:style>
  <w:style w:type="character" w:customStyle="1" w:styleId="11">
    <w:name w:val="正文文本 Char"/>
    <w:basedOn w:val="9"/>
    <w:link w:val="3"/>
    <w:semiHidden/>
    <w:uiPriority w:val="99"/>
    <w:rPr>
      <w:rFonts w:ascii="等线" w:hAnsi="等线" w:eastAsia="等线"/>
    </w:rPr>
  </w:style>
  <w:style w:type="character" w:customStyle="1" w:styleId="12">
    <w:name w:val="页脚 Char"/>
    <w:basedOn w:val="9"/>
    <w:link w:val="5"/>
    <w:locked/>
    <w:uiPriority w:val="99"/>
    <w:rPr>
      <w:rFonts w:cs="Times New Roman"/>
      <w:sz w:val="18"/>
      <w:szCs w:val="18"/>
    </w:rPr>
  </w:style>
  <w:style w:type="character" w:customStyle="1" w:styleId="13">
    <w:name w:val="页眉 Char"/>
    <w:basedOn w:val="9"/>
    <w:link w:val="6"/>
    <w:locked/>
    <w:uiPriority w:val="99"/>
    <w:rPr>
      <w:rFonts w:ascii="等线" w:hAnsi="等线" w:eastAsia="等线" w:cs="Times New Roman"/>
      <w:sz w:val="18"/>
      <w:szCs w:val="18"/>
    </w:rPr>
  </w:style>
  <w:style w:type="paragraph" w:customStyle="1" w:styleId="14">
    <w:name w:val="List Paragraph1"/>
    <w:basedOn w:val="1"/>
    <w:uiPriority w:val="99"/>
    <w:pPr>
      <w:spacing w:before="2"/>
      <w:ind w:left="119" w:right="434" w:firstLine="643"/>
    </w:pPr>
    <w:rPr>
      <w:rFonts w:ascii="仿宋_GB2312" w:hAnsi="仿宋_GB2312" w:eastAsia="仿宋_GB2312" w:cs="仿宋_GB2312"/>
      <w:lang w:val="zh-CN"/>
    </w:rPr>
  </w:style>
  <w:style w:type="character" w:customStyle="1" w:styleId="15">
    <w:name w:val="批注框文本 Char"/>
    <w:basedOn w:val="9"/>
    <w:link w:val="4"/>
    <w:semiHidden/>
    <w:uiPriority w:val="99"/>
    <w:rPr>
      <w:rFonts w:ascii="等线" w:hAnsi="等线" w:eastAsia="等线"/>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3"/>
    <customShpInfo spid="_x0000_s1034"/>
    <customShpInfo spid="_x0000_s1035"/>
    <customShpInfo spid="_x0000_s1036"/>
    <customShpInfo spid="_x0000_s1038"/>
    <customShpInfo spid="_x0000_s1039"/>
    <customShpInfo spid="_x0000_s1037"/>
    <customShpInfo spid="_x0000_s1041"/>
    <customShpInfo spid="_x0000_s1042"/>
    <customShpInfo spid="_x0000_s1040"/>
    <customShpInfo spid="_x0000_s1043"/>
    <customShpInfo spid="_x0000_s1053"/>
    <customShpInfo spid="_x0000_s1061"/>
    <customShpInfo spid="_x0000_s1062"/>
    <customShpInfo spid="_x0000_s1088"/>
    <customShpInfo spid="_x0000_s1089"/>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35</Pages>
  <Words>2220</Words>
  <Characters>12654</Characters>
  <Lines>105</Lines>
  <Paragraphs>29</Paragraphs>
  <TotalTime>78</TotalTime>
  <ScaleCrop>false</ScaleCrop>
  <LinksUpToDate>false</LinksUpToDate>
  <CharactersWithSpaces>14845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2020-08-28T03:08:00Z</dcterms:created>
  <dc:creator>王明新TIAD</dc:creator>
  <cp:lastModifiedBy>JAYCHOU</cp:lastModifiedBy>
  <cp:lastPrinted>2020-07-30T02:37:00Z</cp:lastPrinted>
  <dcterms:modified xsi:type="dcterms:W3CDTF">2024-03-19T05:50:39Z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