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方正超大字符集" w:eastAsia="方正小标宋简体" w:cs="宋体-方正超大字符集"/>
          <w:b/>
          <w:bCs/>
          <w:sz w:val="44"/>
          <w:szCs w:val="44"/>
          <w:lang w:eastAsia="zh-CN"/>
        </w:rPr>
      </w:pPr>
    </w:p>
    <w:p>
      <w:pPr>
        <w:widowControl w:val="0"/>
        <w:jc w:val="center"/>
        <w:outlineLvl w:val="0"/>
        <w:rPr>
          <w:rFonts w:ascii="黑体" w:hAnsi="Calibri" w:eastAsia="黑体" w:cs="Times New Roman"/>
          <w:b/>
          <w:kern w:val="2"/>
          <w:sz w:val="44"/>
          <w:szCs w:val="22"/>
          <w:lang w:eastAsia="zh-CN"/>
        </w:rPr>
      </w:pPr>
      <w:r>
        <w:rPr>
          <w:rFonts w:hint="eastAsia" w:ascii="黑体" w:hAnsi="Calibri" w:eastAsia="黑体" w:cs="Times New Roman"/>
          <w:b/>
          <w:kern w:val="2"/>
          <w:sz w:val="44"/>
          <w:szCs w:val="22"/>
          <w:lang w:eastAsia="zh-CN"/>
        </w:rPr>
        <w:t>2023年所属单位预算信息公开</w:t>
      </w:r>
    </w:p>
    <w:p>
      <w:pPr>
        <w:spacing w:line="560" w:lineRule="exact"/>
        <w:rPr>
          <w:rFonts w:ascii="方正小标宋简体" w:hAnsi="宋体-方正超大字符集" w:eastAsia="方正小标宋简体" w:cs="宋体-方正超大字符集"/>
          <w:b/>
          <w:bCs/>
          <w:sz w:val="44"/>
          <w:szCs w:val="44"/>
          <w:lang w:eastAsia="zh-CN"/>
        </w:rPr>
      </w:pPr>
    </w:p>
    <w:p>
      <w:pPr>
        <w:numPr>
          <w:ilvl w:val="0"/>
          <w:numId w:val="1"/>
        </w:numPr>
        <w:spacing w:line="560" w:lineRule="exact"/>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遵化市城市管理综合行政执法局收支预算......................................................................................1</w:t>
      </w:r>
    </w:p>
    <w:p>
      <w:pPr>
        <w:spacing w:line="560" w:lineRule="exact"/>
        <w:rPr>
          <w:rFonts w:hint="default" w:ascii="方正仿宋简体" w:hAnsi="方正仿宋简体" w:eastAsia="方正仿宋简体" w:cs="方正仿宋简体"/>
          <w:color w:val="000000"/>
          <w:sz w:val="32"/>
          <w:szCs w:val="32"/>
          <w:lang w:val="en-US" w:eastAsia="zh-CN"/>
        </w:rPr>
        <w:sectPr>
          <w:footerReference r:id="rId3" w:type="default"/>
          <w:footerReference r:id="rId4" w:type="even"/>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32"/>
          <w:szCs w:val="32"/>
          <w:lang w:eastAsia="zh-CN"/>
        </w:rPr>
        <w:t>2、遵化市环境卫生管理中心收支预算...............................................................................................6</w:t>
      </w:r>
      <w:r>
        <w:rPr>
          <w:rFonts w:hint="eastAsia" w:ascii="方正仿宋简体" w:hAnsi="方正仿宋简体" w:eastAsia="方正仿宋简体" w:cs="方正仿宋简体"/>
          <w:color w:val="000000"/>
          <w:sz w:val="32"/>
          <w:szCs w:val="32"/>
          <w:lang w:val="en-US" w:eastAsia="zh-CN"/>
        </w:rPr>
        <w:t>0</w:t>
      </w:r>
    </w:p>
    <w:p>
      <w:pPr>
        <w:widowControl w:val="0"/>
        <w:jc w:val="center"/>
        <w:outlineLvl w:val="0"/>
        <w:rPr>
          <w:rFonts w:ascii="黑体" w:hAnsi="Calibri" w:eastAsia="黑体" w:cs="Times New Roman"/>
          <w:b/>
          <w:kern w:val="2"/>
          <w:sz w:val="44"/>
          <w:szCs w:val="22"/>
          <w:lang w:eastAsia="zh-CN"/>
        </w:rPr>
      </w:pPr>
      <w:r>
        <w:rPr>
          <w:rFonts w:hint="eastAsia" w:ascii="黑体" w:hAnsi="Calibri" w:eastAsia="黑体" w:cs="Times New Roman"/>
          <w:b/>
          <w:kern w:val="2"/>
          <w:sz w:val="44"/>
          <w:szCs w:val="22"/>
          <w:lang w:eastAsia="zh-CN"/>
        </w:rPr>
        <w:t>2023年单位预算信息公开目录</w:t>
      </w:r>
    </w:p>
    <w:p>
      <w:pPr>
        <w:tabs>
          <w:tab w:val="left" w:pos="2561"/>
          <w:tab w:val="center" w:pos="7421"/>
        </w:tabs>
      </w:pPr>
      <w:r>
        <w:rPr>
          <w:rFonts w:hint="eastAsia" w:ascii="黑体" w:hAnsi="黑体" w:eastAsia="黑体" w:cs="黑体"/>
          <w:b/>
          <w:color w:val="000000"/>
          <w:sz w:val="30"/>
          <w:lang w:eastAsia="zh-CN"/>
        </w:rPr>
        <w:tab/>
      </w:r>
      <w:r>
        <w:rPr>
          <w:rFonts w:hint="eastAsia" w:ascii="黑体" w:hAnsi="黑体" w:eastAsia="黑体" w:cs="黑体"/>
          <w:b/>
          <w:color w:val="000000"/>
          <w:sz w:val="30"/>
          <w:lang w:eastAsia="zh-CN"/>
        </w:rPr>
        <w:tab/>
      </w:r>
    </w:p>
    <w:p>
      <w:pPr>
        <w:widowControl w:val="0"/>
        <w:rPr>
          <w:rFonts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单位预算公开表</w:t>
      </w:r>
    </w:p>
    <w:p>
      <w:pPr>
        <w:pStyle w:val="7"/>
        <w:tabs>
          <w:tab w:val="right" w:leader="dot" w:pos="14562"/>
        </w:tabs>
        <w:rPr>
          <w:rFonts w:ascii="方正仿宋简体" w:hAnsi="方正仿宋简体" w:eastAsia="方正仿宋简体" w:cs="方正仿宋简体"/>
          <w:sz w:val="32"/>
          <w:szCs w:val="32"/>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"2-2" \h \z \u</w:instrText>
      </w:r>
      <w:r>
        <w:rPr>
          <w:rFonts w:hint="eastAsia" w:ascii="方正仿宋简体" w:hAnsi="方正仿宋简体" w:eastAsia="方正仿宋简体" w:cs="方正仿宋简体"/>
        </w:rPr>
        <w:fldChar w:fldCharType="separate"/>
      </w:r>
      <w:r>
        <w:fldChar w:fldCharType="begin"/>
      </w:r>
      <w:r>
        <w:instrText xml:space="preserve"> HYPERLINK \l "_Toc_2_2_0000000001"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"_Toc_2_2_0000000002"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"_Toc_2_2_0000000003"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"_Toc_2_2_0000000004"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7</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"_Toc_2_2_0000000005"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"_Toc_2_2_0000000006"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1</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"_Toc_2_2_0000000007"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13</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"_Toc_2_2_0000000008"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14</w:t>
      </w:r>
    </w:p>
    <w:p>
      <w:pPr>
        <w:pStyle w:val="7"/>
        <w:tabs>
          <w:tab w:val="right" w:leader="dot" w:pos="14562"/>
        </w:tabs>
        <w:rPr>
          <w:rFonts w:ascii="方正仿宋简体" w:hAnsi="方正仿宋简体" w:eastAsia="方正仿宋简体" w:cs="方正仿宋简体"/>
          <w:lang w:eastAsia="zh-CN"/>
        </w:rPr>
      </w:pPr>
      <w:r>
        <w:fldChar w:fldCharType="begin"/>
      </w:r>
      <w:r>
        <w:instrText xml:space="preserve"> HYPERLINK \l "_Toc_2_2_0000000009"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15</w:t>
      </w:r>
    </w:p>
    <w:p>
      <w:r>
        <w:rPr>
          <w:rFonts w:hint="eastAsia" w:ascii="方正仿宋简体" w:hAnsi="方正仿宋简体" w:eastAsia="方正仿宋简体" w:cs="方正仿宋简体"/>
        </w:rPr>
        <w:fldChar w:fldCharType="end"/>
      </w:r>
    </w:p>
    <w:p>
      <w:pPr>
        <w:widowControl w:val="0"/>
        <w:rPr>
          <w:rFonts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单位预算信息公开情况说明</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16</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"_Toc_3_3_0000000011" </w:instrText>
      </w:r>
      <w: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2</w:t>
      </w:r>
    </w:p>
    <w:p>
      <w:pPr>
        <w:pStyle w:val="7"/>
        <w:tabs>
          <w:tab w:val="right" w:leader="dot" w:pos="14562"/>
        </w:tabs>
        <w:rPr>
          <w:rFonts w:hint="eastAsia" w:ascii="方正仿宋简体" w:hAnsi="方正仿宋简体" w:eastAsia="方正仿宋简体" w:cs="方正仿宋简体"/>
          <w:sz w:val="32"/>
          <w:szCs w:val="32"/>
          <w:lang w:eastAsia="zh-CN"/>
        </w:rPr>
      </w:pPr>
      <w:r>
        <w:fldChar w:fldCharType="begin"/>
      </w:r>
      <w:r>
        <w:instrText xml:space="preserve"> HYPERLINK \l "_Toc_3_3_0000000012" </w:instrText>
      </w:r>
      <w:r>
        <w:fldChar w:fldCharType="separate"/>
      </w:r>
      <w:r>
        <w:rPr>
          <w:rFonts w:hint="eastAsia" w:ascii="方正仿宋简体" w:hAnsi="方正仿宋简体" w:eastAsia="方正仿宋简体" w:cs="方正仿宋简体"/>
          <w:sz w:val="32"/>
          <w:szCs w:val="32"/>
        </w:rPr>
        <w:t>三、机关行经费安排情况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3</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"_Toc_3_3_0000000013" </w:instrText>
      </w:r>
      <w: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3</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"_Toc_3_3_0000000014" </w:instrText>
      </w:r>
      <w: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4</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"_Toc_3_3_0000000015" </w:instrText>
      </w:r>
      <w: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val="en-US" w:eastAsia="zh-CN"/>
        </w:rPr>
        <w:t>6</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"_Toc_3_3_0000000016" </w:instrText>
      </w:r>
      <w: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val="en-US" w:eastAsia="zh-CN"/>
        </w:rPr>
        <w:t>7</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"_Toc_3_3_0000000017" </w:instrText>
      </w:r>
      <w: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val="en-US" w:eastAsia="zh-CN"/>
        </w:rPr>
        <w:t>7</w:t>
      </w:r>
    </w:p>
    <w:p>
      <w:pPr>
        <w:pStyle w:val="7"/>
        <w:tabs>
          <w:tab w:val="right" w:leader="dot" w:pos="14562"/>
        </w:tabs>
        <w:sectPr>
          <w:footerReference r:id="rId5" w:type="default"/>
          <w:footerReference r:id="rId6" w:type="even"/>
          <w:pgSz w:w="16840" w:h="11900" w:orient="landscape"/>
          <w:pgMar w:top="1361" w:right="1020" w:bottom="1134" w:left="1020" w:header="720" w:footer="720" w:gutter="0"/>
          <w:pgNumType w:fmt="decimal" w:start="1"/>
          <w:cols w:space="720" w:num="1"/>
        </w:sectPr>
      </w:pPr>
      <w:r>
        <w:fldChar w:fldCharType="begin"/>
      </w:r>
      <w:r>
        <w:instrText xml:space="preserve"> HYPERLINK \l "_Toc_3_3_0000000018" </w:instrText>
      </w:r>
      <w: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val="en-US" w:eastAsia="zh-CN"/>
        </w:rPr>
        <w:t>9</w:t>
      </w:r>
    </w:p>
    <w:p>
      <w:pPr>
        <w:jc w:val="center"/>
        <w:rPr>
          <w:rFonts w:ascii="黑体" w:hAnsi="Calibri" w:eastAsia="黑体" w:cs="Times New Roman"/>
          <w:b/>
          <w:kern w:val="2"/>
          <w:sz w:val="44"/>
          <w:szCs w:val="22"/>
          <w:lang w:eastAsia="zh-CN"/>
        </w:rPr>
      </w:pPr>
      <w:r>
        <w:fldChar w:fldCharType="end"/>
      </w:r>
      <w:bookmarkStart w:id="0" w:name="_Toc_4_4_0000000019"/>
      <w:r>
        <w:rPr>
          <w:rFonts w:hint="eastAsia" w:ascii="黑体" w:hAnsi="Calibri" w:eastAsia="黑体" w:cs="Times New Roman"/>
          <w:b/>
          <w:kern w:val="2"/>
          <w:sz w:val="44"/>
          <w:szCs w:val="22"/>
          <w:lang w:eastAsia="zh-CN"/>
        </w:rPr>
        <w:t>遵化市城市管理综合行政执法局本级收支预算</w:t>
      </w:r>
      <w:bookmarkEnd w:id="0"/>
    </w:p>
    <w:p>
      <w:pPr>
        <w:jc w:val="left"/>
        <w:outlineLvl w:val="4"/>
        <w:rPr>
          <w:rFonts w:ascii="宋体" w:hAnsi="宋体" w:eastAsia="宋体" w:cs="宋体"/>
          <w:color w:val="000000"/>
          <w:sz w:val="44"/>
          <w:szCs w:val="44"/>
        </w:rPr>
      </w:pPr>
      <w:r>
        <w:rPr>
          <w:rFonts w:hint="eastAsia" w:ascii="方正仿宋简体" w:hAnsi="方正仿宋简体" w:eastAsia="方正仿宋简体" w:cs="方正仿宋简体"/>
          <w:color w:val="000000"/>
          <w:lang w:eastAsia="zh-CN"/>
        </w:rPr>
        <w:t>附表1-1</w:t>
      </w:r>
      <w:r>
        <w:rPr>
          <w:rFonts w:hint="eastAsia" w:ascii="方正仿宋简体" w:hAnsi="方正仿宋简体" w:eastAsia="方正仿宋简体" w:cs="方正仿宋简体"/>
          <w:color w:val="000000"/>
          <w:lang w:val="en-US" w:eastAsia="zh-CN"/>
        </w:rPr>
        <w:t xml:space="preserve">                                                              </w:t>
      </w:r>
      <w:r>
        <w:rPr>
          <w:rFonts w:hint="eastAsia" w:ascii="宋体" w:hAnsi="宋体" w:eastAsia="宋体" w:cs="宋体"/>
          <w:color w:val="000000"/>
          <w:sz w:val="44"/>
          <w:szCs w:val="44"/>
        </w:rPr>
        <w:t>单位预算收支总表</w:t>
      </w:r>
    </w:p>
    <w:p>
      <w:pPr>
        <w:pStyle w:val="2"/>
        <w:ind w:firstLine="480"/>
        <w:rPr>
          <w:rFonts w:eastAsia="宋体"/>
          <w:lang w:eastAsia="zh-CN"/>
        </w:rPr>
      </w:pP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5"/>
        <w:gridCol w:w="3843"/>
        <w:gridCol w:w="2140"/>
        <w:gridCol w:w="4305"/>
        <w:gridCol w:w="2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656001遵化市城市管理综合行政执法局本级</w:t>
            </w:r>
          </w:p>
        </w:tc>
        <w:tc>
          <w:tcPr>
            <w:tcW w:w="2140"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6737"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5" w:type="dxa"/>
            <w:vMerge w:val="restart"/>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序号</w:t>
            </w:r>
          </w:p>
        </w:tc>
        <w:tc>
          <w:tcPr>
            <w:tcW w:w="5983" w:type="dxa"/>
            <w:gridSpan w:val="2"/>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收入</w:t>
            </w:r>
          </w:p>
        </w:tc>
        <w:tc>
          <w:tcPr>
            <w:tcW w:w="6737" w:type="dxa"/>
            <w:gridSpan w:val="2"/>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tblHeader/>
          <w:jc w:val="center"/>
        </w:trPr>
        <w:tc>
          <w:tcPr>
            <w:tcW w:w="2075" w:type="dxa"/>
            <w:vMerge w:val="continue"/>
          </w:tcPr>
          <w:p>
            <w:pPr>
              <w:rPr>
                <w:rFonts w:ascii="方正仿宋简体" w:hAnsi="方正仿宋简体" w:eastAsia="方正仿宋简体" w:cs="方正仿宋简体"/>
                <w:sz w:val="21"/>
                <w:szCs w:val="21"/>
              </w:rPr>
            </w:pPr>
          </w:p>
        </w:tc>
        <w:tc>
          <w:tcPr>
            <w:tcW w:w="3843"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项  目</w:t>
            </w:r>
          </w:p>
        </w:tc>
        <w:tc>
          <w:tcPr>
            <w:tcW w:w="2140"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预算数</w:t>
            </w:r>
          </w:p>
        </w:tc>
        <w:tc>
          <w:tcPr>
            <w:tcW w:w="4305"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项  目</w:t>
            </w:r>
          </w:p>
        </w:tc>
        <w:tc>
          <w:tcPr>
            <w:tcW w:w="2432"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5"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栏次</w:t>
            </w:r>
          </w:p>
        </w:tc>
        <w:tc>
          <w:tcPr>
            <w:tcW w:w="3843"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1</w:t>
            </w:r>
          </w:p>
        </w:tc>
        <w:tc>
          <w:tcPr>
            <w:tcW w:w="2140"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2</w:t>
            </w:r>
          </w:p>
        </w:tc>
        <w:tc>
          <w:tcPr>
            <w:tcW w:w="4305"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3</w:t>
            </w:r>
          </w:p>
        </w:tc>
        <w:tc>
          <w:tcPr>
            <w:tcW w:w="2432" w:type="dxa"/>
            <w:vAlign w:val="center"/>
          </w:tcPr>
          <w:p>
            <w:pPr>
              <w:pStyle w:val="17"/>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一、一般公共预算拨款收入</w:t>
            </w:r>
          </w:p>
        </w:tc>
        <w:tc>
          <w:tcPr>
            <w:tcW w:w="2140" w:type="dxa"/>
            <w:vAlign w:val="center"/>
          </w:tcPr>
          <w:p>
            <w:pPr>
              <w:pStyle w:val="18"/>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9085.55</w:t>
            </w: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二、政府性基金预算拨款收入</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三、国有资本经营预算拨款收入</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四、财政专户管理资金收入</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五、事业收入</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六、事业单位经营收入</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七、上级补助收入</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八、附属单位上缴收入</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2432" w:type="dxa"/>
            <w:vAlign w:val="center"/>
          </w:tcPr>
          <w:p>
            <w:pPr>
              <w:pStyle w:val="18"/>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九、其他收入</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2432" w:type="dxa"/>
            <w:vAlign w:val="center"/>
          </w:tcPr>
          <w:p>
            <w:pPr>
              <w:pStyle w:val="18"/>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2432" w:type="dxa"/>
            <w:vAlign w:val="center"/>
          </w:tcPr>
          <w:p>
            <w:pPr>
              <w:pStyle w:val="18"/>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8269.97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2432" w:type="dxa"/>
            <w:vAlign w:val="center"/>
          </w:tcPr>
          <w:p>
            <w:pPr>
              <w:pStyle w:val="18"/>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3843" w:type="dxa"/>
            <w:vAlign w:val="center"/>
          </w:tcPr>
          <w:p>
            <w:pPr>
              <w:pStyle w:val="19"/>
              <w:rPr>
                <w:rFonts w:ascii="方正仿宋简体" w:hAnsi="方正仿宋简体" w:eastAsia="方正仿宋简体" w:cs="方正仿宋简体"/>
                <w:sz w:val="21"/>
                <w:szCs w:val="21"/>
              </w:rPr>
            </w:pP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3843" w:type="dxa"/>
            <w:vAlign w:val="center"/>
          </w:tcPr>
          <w:p>
            <w:pPr>
              <w:pStyle w:val="21"/>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本年收入合计</w:t>
            </w:r>
          </w:p>
        </w:tc>
        <w:tc>
          <w:tcPr>
            <w:tcW w:w="2140" w:type="dxa"/>
            <w:vAlign w:val="center"/>
          </w:tcPr>
          <w:p>
            <w:pPr>
              <w:pStyle w:val="22"/>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9085.55</w:t>
            </w:r>
          </w:p>
        </w:tc>
        <w:tc>
          <w:tcPr>
            <w:tcW w:w="4305" w:type="dxa"/>
            <w:vAlign w:val="center"/>
          </w:tcPr>
          <w:p>
            <w:pPr>
              <w:pStyle w:val="21"/>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本年支出合计</w:t>
            </w:r>
          </w:p>
        </w:tc>
        <w:tc>
          <w:tcPr>
            <w:tcW w:w="2432" w:type="dxa"/>
            <w:vAlign w:val="center"/>
          </w:tcPr>
          <w:p>
            <w:pPr>
              <w:pStyle w:val="22"/>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9085.55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3843"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上年结转结余</w:t>
            </w:r>
          </w:p>
        </w:tc>
        <w:tc>
          <w:tcPr>
            <w:tcW w:w="2140" w:type="dxa"/>
            <w:vAlign w:val="center"/>
          </w:tcPr>
          <w:p>
            <w:pPr>
              <w:pStyle w:val="18"/>
              <w:rPr>
                <w:rFonts w:ascii="方正仿宋简体" w:hAnsi="方正仿宋简体" w:eastAsia="方正仿宋简体" w:cs="方正仿宋简体"/>
                <w:sz w:val="21"/>
                <w:szCs w:val="21"/>
              </w:rPr>
            </w:pPr>
          </w:p>
        </w:tc>
        <w:tc>
          <w:tcPr>
            <w:tcW w:w="4305" w:type="dxa"/>
            <w:vAlign w:val="center"/>
          </w:tcPr>
          <w:p>
            <w:pPr>
              <w:pStyle w:val="19"/>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年终结转结余</w:t>
            </w:r>
          </w:p>
        </w:tc>
        <w:tc>
          <w:tcPr>
            <w:tcW w:w="2432" w:type="dxa"/>
            <w:vAlign w:val="center"/>
          </w:tcPr>
          <w:p>
            <w:pPr>
              <w:pStyle w:val="18"/>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5" w:type="dxa"/>
            <w:vAlign w:val="center"/>
          </w:tcPr>
          <w:p>
            <w:pPr>
              <w:pStyle w:val="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3843" w:type="dxa"/>
            <w:vAlign w:val="center"/>
          </w:tcPr>
          <w:p>
            <w:pPr>
              <w:pStyle w:val="21"/>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收入总计</w:t>
            </w:r>
          </w:p>
        </w:tc>
        <w:tc>
          <w:tcPr>
            <w:tcW w:w="2140" w:type="dxa"/>
            <w:vAlign w:val="center"/>
          </w:tcPr>
          <w:p>
            <w:pPr>
              <w:pStyle w:val="22"/>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9085.55</w:t>
            </w:r>
          </w:p>
        </w:tc>
        <w:tc>
          <w:tcPr>
            <w:tcW w:w="4305" w:type="dxa"/>
            <w:vAlign w:val="center"/>
          </w:tcPr>
          <w:p>
            <w:pPr>
              <w:pStyle w:val="21"/>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支出总计</w:t>
            </w:r>
          </w:p>
        </w:tc>
        <w:tc>
          <w:tcPr>
            <w:tcW w:w="2432" w:type="dxa"/>
            <w:vAlign w:val="center"/>
          </w:tcPr>
          <w:p>
            <w:pPr>
              <w:pStyle w:val="22"/>
              <w:rPr>
                <w:rFonts w:ascii="方正仿宋简体" w:hAnsi="方正仿宋简体" w:eastAsia="方正仿宋简体" w:cs="方正仿宋简体"/>
                <w:b w:val="0"/>
                <w:sz w:val="21"/>
                <w:szCs w:val="21"/>
              </w:rPr>
            </w:pPr>
            <w:r>
              <w:rPr>
                <w:rFonts w:hint="eastAsia" w:ascii="方正仿宋简体" w:hAnsi="方正仿宋简体" w:eastAsia="方正仿宋简体" w:cs="方正仿宋简体"/>
                <w:b w:val="0"/>
                <w:sz w:val="21"/>
                <w:szCs w:val="21"/>
              </w:rPr>
              <w:t>9085.55</w:t>
            </w:r>
          </w:p>
        </w:tc>
      </w:tr>
    </w:tbl>
    <w:p>
      <w:pPr>
        <w:rPr>
          <w:rFonts w:ascii="方正仿宋简体" w:hAnsi="方正仿宋简体" w:eastAsia="方正仿宋简体" w:cs="方正仿宋简体"/>
        </w:r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outlineLvl w:val="4"/>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附表1-2</w:t>
      </w:r>
    </w:p>
    <w:p>
      <w:pPr>
        <w:jc w:val="center"/>
        <w:outlineLvl w:val="4"/>
        <w:rPr>
          <w:rFonts w:asciiTheme="minorEastAsia" w:hAnsiTheme="minorEastAsia" w:eastAsiaTheme="minorEastAsia" w:cstheme="minorEastAsia"/>
          <w:sz w:val="44"/>
          <w:szCs w:val="44"/>
        </w:rPr>
      </w:pPr>
      <w:r>
        <w:rPr>
          <w:rFonts w:hint="eastAsia" w:asciiTheme="minorEastAsia" w:hAnsiTheme="minorEastAsia" w:eastAsiaTheme="minorEastAsia" w:cstheme="minorEastAsia"/>
          <w:color w:val="000000"/>
          <w:sz w:val="44"/>
          <w:szCs w:val="44"/>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155"/>
        <w:gridCol w:w="1494"/>
        <w:gridCol w:w="975"/>
        <w:gridCol w:w="996"/>
        <w:gridCol w:w="1155"/>
        <w:gridCol w:w="1155"/>
        <w:gridCol w:w="1156"/>
        <w:gridCol w:w="1155"/>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4" w:type="dxa"/>
            <w:gridSpan w:val="5"/>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656001遵化市城市管理综合行政执法局本级</w:t>
            </w:r>
          </w:p>
        </w:tc>
        <w:tc>
          <w:tcPr>
            <w:tcW w:w="3466" w:type="dxa"/>
            <w:gridSpan w:val="3"/>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776" w:type="dxa"/>
            <w:gridSpan w:val="5"/>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2649"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975"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9083" w:type="dxa"/>
            <w:gridSpan w:val="8"/>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本年收入</w:t>
            </w:r>
          </w:p>
        </w:tc>
        <w:tc>
          <w:tcPr>
            <w:tcW w:w="1155"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continue"/>
          </w:tcPr>
          <w:p>
            <w:pPr>
              <w:rPr>
                <w:rFonts w:ascii="方正仿宋简体" w:hAnsi="方正仿宋简体" w:eastAsia="方正仿宋简体" w:cs="方正仿宋简体"/>
                <w:sz w:val="21"/>
                <w:szCs w:val="21"/>
              </w:rPr>
            </w:pP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    编码</w:t>
            </w:r>
          </w:p>
        </w:tc>
        <w:tc>
          <w:tcPr>
            <w:tcW w:w="14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975" w:type="dxa"/>
            <w:vMerge w:val="continue"/>
          </w:tcPr>
          <w:p>
            <w:pPr>
              <w:rPr>
                <w:rFonts w:ascii="方正仿宋简体" w:hAnsi="方正仿宋简体" w:eastAsia="方正仿宋简体" w:cs="方正仿宋简体"/>
                <w:sz w:val="21"/>
                <w:szCs w:val="21"/>
              </w:rPr>
            </w:pPr>
          </w:p>
        </w:tc>
        <w:tc>
          <w:tcPr>
            <w:tcW w:w="99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小计</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财政拨款 收入</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财政专户 收入</w:t>
            </w:r>
          </w:p>
        </w:tc>
        <w:tc>
          <w:tcPr>
            <w:tcW w:w="115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事业收入</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经营收入</w:t>
            </w:r>
          </w:p>
        </w:tc>
        <w:tc>
          <w:tcPr>
            <w:tcW w:w="115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上级补助收入</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附属单位上缴收入</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其他收入</w:t>
            </w:r>
          </w:p>
        </w:tc>
        <w:tc>
          <w:tcPr>
            <w:tcW w:w="1155"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14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97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99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w:t>
            </w:r>
          </w:p>
        </w:tc>
        <w:tc>
          <w:tcPr>
            <w:tcW w:w="115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7</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w:t>
            </w:r>
          </w:p>
        </w:tc>
        <w:tc>
          <w:tcPr>
            <w:tcW w:w="115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11</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155" w:type="dxa"/>
            <w:vAlign w:val="center"/>
          </w:tcPr>
          <w:p>
            <w:pPr>
              <w:pStyle w:val="23"/>
              <w:rPr>
                <w:rFonts w:ascii="方正仿宋简体" w:hAnsi="方正仿宋简体" w:eastAsia="方正仿宋简体" w:cs="方正仿宋简体"/>
                <w:b w:val="0"/>
                <w:szCs w:val="21"/>
              </w:rPr>
            </w:pPr>
          </w:p>
        </w:tc>
        <w:tc>
          <w:tcPr>
            <w:tcW w:w="1494"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975"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9085.55</w:t>
            </w:r>
          </w:p>
        </w:tc>
        <w:tc>
          <w:tcPr>
            <w:tcW w:w="996"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9085.55</w:t>
            </w:r>
          </w:p>
        </w:tc>
        <w:tc>
          <w:tcPr>
            <w:tcW w:w="1155"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9085.55</w:t>
            </w:r>
          </w:p>
        </w:tc>
        <w:tc>
          <w:tcPr>
            <w:tcW w:w="1155" w:type="dxa"/>
            <w:vAlign w:val="center"/>
          </w:tcPr>
          <w:p>
            <w:pPr>
              <w:pStyle w:val="22"/>
              <w:rPr>
                <w:rFonts w:ascii="方正仿宋简体" w:hAnsi="方正仿宋简体" w:eastAsia="方正仿宋简体" w:cs="方正仿宋简体"/>
                <w:b w:val="0"/>
                <w:szCs w:val="21"/>
              </w:rPr>
            </w:pPr>
          </w:p>
        </w:tc>
        <w:tc>
          <w:tcPr>
            <w:tcW w:w="1156" w:type="dxa"/>
            <w:vAlign w:val="center"/>
          </w:tcPr>
          <w:p>
            <w:pPr>
              <w:pStyle w:val="22"/>
              <w:rPr>
                <w:rFonts w:ascii="方正仿宋简体" w:hAnsi="方正仿宋简体" w:eastAsia="方正仿宋简体" w:cs="方正仿宋简体"/>
                <w:b w:val="0"/>
                <w:szCs w:val="21"/>
              </w:rPr>
            </w:pPr>
          </w:p>
        </w:tc>
        <w:tc>
          <w:tcPr>
            <w:tcW w:w="1155" w:type="dxa"/>
            <w:vAlign w:val="center"/>
          </w:tcPr>
          <w:p>
            <w:pPr>
              <w:pStyle w:val="22"/>
              <w:rPr>
                <w:rFonts w:ascii="方正仿宋简体" w:hAnsi="方正仿宋简体" w:eastAsia="方正仿宋简体" w:cs="方正仿宋简体"/>
                <w:b w:val="0"/>
                <w:szCs w:val="21"/>
              </w:rPr>
            </w:pPr>
          </w:p>
        </w:tc>
        <w:tc>
          <w:tcPr>
            <w:tcW w:w="1156" w:type="dxa"/>
            <w:vAlign w:val="center"/>
          </w:tcPr>
          <w:p>
            <w:pPr>
              <w:pStyle w:val="22"/>
              <w:rPr>
                <w:rFonts w:ascii="方正仿宋简体" w:hAnsi="方正仿宋简体" w:eastAsia="方正仿宋简体" w:cs="方正仿宋简体"/>
                <w:b w:val="0"/>
                <w:szCs w:val="21"/>
              </w:rPr>
            </w:pPr>
          </w:p>
        </w:tc>
        <w:tc>
          <w:tcPr>
            <w:tcW w:w="1155" w:type="dxa"/>
            <w:vAlign w:val="center"/>
          </w:tcPr>
          <w:p>
            <w:pPr>
              <w:pStyle w:val="22"/>
              <w:rPr>
                <w:rFonts w:ascii="方正仿宋简体" w:hAnsi="方正仿宋简体" w:eastAsia="方正仿宋简体" w:cs="方正仿宋简体"/>
                <w:b w:val="0"/>
                <w:szCs w:val="21"/>
              </w:rPr>
            </w:pPr>
          </w:p>
        </w:tc>
        <w:tc>
          <w:tcPr>
            <w:tcW w:w="1155" w:type="dxa"/>
            <w:vAlign w:val="center"/>
          </w:tcPr>
          <w:p>
            <w:pPr>
              <w:pStyle w:val="22"/>
              <w:rPr>
                <w:rFonts w:ascii="方正仿宋简体" w:hAnsi="方正仿宋简体" w:eastAsia="方正仿宋简体" w:cs="方正仿宋简体"/>
                <w:b w:val="0"/>
                <w:szCs w:val="21"/>
              </w:rPr>
            </w:pPr>
          </w:p>
        </w:tc>
        <w:tc>
          <w:tcPr>
            <w:tcW w:w="1155" w:type="dxa"/>
            <w:vAlign w:val="center"/>
          </w:tcPr>
          <w:p>
            <w:pPr>
              <w:pStyle w:val="22"/>
              <w:rPr>
                <w:rFonts w:ascii="方正仿宋简体" w:hAnsi="方正仿宋简体" w:eastAsia="方正仿宋简体" w:cs="方正仿宋简体"/>
                <w:b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社会保障和就业支出</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行政事业单位养老支出</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2080505</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机关事业单位基本养老保险缴费支出</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252.55</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252.55</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252.55</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2080506</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机关事业单位职业年金缴费支出</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123.26</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123.26</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123.26</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卫生健康支出</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行政事业单位医疗</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2101102</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事业单位医疗</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城乡社区支出</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8269.97</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8269.97</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8269.97</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城乡社区管理事务</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2046.97</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2046.97</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2046.97</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2120102</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一般行政管理事务</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53.40</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53.40</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53.40</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2120104</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城管执法</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1993.57</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1993.57</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1993.57</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21202</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城乡社区规划与管理</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2120201</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城乡社区规划与管理</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21203</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城乡社区公共设施</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2120303</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小城镇基础设施建设</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住房保障支出</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住房改革支出</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11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2210201</w:t>
            </w:r>
          </w:p>
        </w:tc>
        <w:tc>
          <w:tcPr>
            <w:tcW w:w="14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住房公积金</w:t>
            </w:r>
          </w:p>
        </w:tc>
        <w:tc>
          <w:tcPr>
            <w:tcW w:w="9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996"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115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bl>
    <w:p>
      <w:pPr>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outlineLvl w:val="4"/>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附表1-3</w:t>
      </w:r>
    </w:p>
    <w:p>
      <w:pPr>
        <w:jc w:val="center"/>
        <w:outlineLvl w:val="4"/>
        <w:rPr>
          <w:rFonts w:asciiTheme="minorEastAsia" w:hAnsiTheme="minorEastAsia" w:eastAsiaTheme="minorEastAsia" w:cstheme="minorEastAsia"/>
          <w:sz w:val="44"/>
          <w:szCs w:val="44"/>
        </w:rPr>
      </w:pPr>
      <w:r>
        <w:rPr>
          <w:rFonts w:hint="eastAsia" w:asciiTheme="minorEastAsia" w:hAnsiTheme="minorEastAsia" w:eastAsiaTheme="minorEastAsia" w:cstheme="minorEastAsia"/>
          <w:color w:val="000000"/>
          <w:sz w:val="44"/>
          <w:szCs w:val="44"/>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265"/>
        <w:gridCol w:w="2340"/>
        <w:gridCol w:w="1401"/>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3"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656001遵化市城市管理综合行政执法局本级</w:t>
            </w:r>
          </w:p>
        </w:tc>
        <w:tc>
          <w:tcPr>
            <w:tcW w:w="3069" w:type="dxa"/>
            <w:gridSpan w:val="2"/>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6674" w:type="dxa"/>
            <w:gridSpan w:val="4"/>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序号</w:t>
            </w:r>
          </w:p>
        </w:tc>
        <w:tc>
          <w:tcPr>
            <w:tcW w:w="3605" w:type="dxa"/>
            <w:gridSpan w:val="2"/>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功能分类科目</w:t>
            </w:r>
          </w:p>
        </w:tc>
        <w:tc>
          <w:tcPr>
            <w:tcW w:w="1401" w:type="dxa"/>
            <w:vMerge w:val="restart"/>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合计</w:t>
            </w:r>
          </w:p>
        </w:tc>
        <w:tc>
          <w:tcPr>
            <w:tcW w:w="1668" w:type="dxa"/>
            <w:vMerge w:val="restart"/>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基本支出</w:t>
            </w:r>
          </w:p>
        </w:tc>
        <w:tc>
          <w:tcPr>
            <w:tcW w:w="1668" w:type="dxa"/>
            <w:vMerge w:val="restart"/>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项目支出</w:t>
            </w:r>
          </w:p>
        </w:tc>
        <w:tc>
          <w:tcPr>
            <w:tcW w:w="1669" w:type="dxa"/>
            <w:vMerge w:val="restart"/>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经营支出</w:t>
            </w:r>
          </w:p>
        </w:tc>
        <w:tc>
          <w:tcPr>
            <w:tcW w:w="1668" w:type="dxa"/>
            <w:vMerge w:val="restart"/>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上解上级     支出</w:t>
            </w:r>
          </w:p>
        </w:tc>
        <w:tc>
          <w:tcPr>
            <w:tcW w:w="1669" w:type="dxa"/>
            <w:vMerge w:val="restart"/>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pPr>
              <w:rPr>
                <w:rFonts w:ascii="方正仿宋简体" w:hAnsi="方正仿宋简体" w:eastAsia="方正仿宋简体" w:cs="方正仿宋简体"/>
                <w:bCs/>
              </w:rPr>
            </w:pPr>
          </w:p>
        </w:tc>
        <w:tc>
          <w:tcPr>
            <w:tcW w:w="1265"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科目    编码</w:t>
            </w:r>
          </w:p>
        </w:tc>
        <w:tc>
          <w:tcPr>
            <w:tcW w:w="2340"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科目名称</w:t>
            </w:r>
          </w:p>
        </w:tc>
        <w:tc>
          <w:tcPr>
            <w:tcW w:w="1401" w:type="dxa"/>
            <w:vMerge w:val="continue"/>
          </w:tcPr>
          <w:p>
            <w:pPr>
              <w:rPr>
                <w:rFonts w:ascii="方正仿宋简体" w:hAnsi="方正仿宋简体" w:eastAsia="方正仿宋简体" w:cs="方正仿宋简体"/>
                <w:bCs/>
              </w:rPr>
            </w:pPr>
          </w:p>
        </w:tc>
        <w:tc>
          <w:tcPr>
            <w:tcW w:w="1668" w:type="dxa"/>
            <w:vMerge w:val="continue"/>
          </w:tcPr>
          <w:p>
            <w:pPr>
              <w:rPr>
                <w:rFonts w:ascii="方正仿宋简体" w:hAnsi="方正仿宋简体" w:eastAsia="方正仿宋简体" w:cs="方正仿宋简体"/>
                <w:bCs/>
              </w:rPr>
            </w:pPr>
          </w:p>
        </w:tc>
        <w:tc>
          <w:tcPr>
            <w:tcW w:w="1668" w:type="dxa"/>
            <w:vMerge w:val="continue"/>
          </w:tcPr>
          <w:p>
            <w:pPr>
              <w:rPr>
                <w:rFonts w:ascii="方正仿宋简体" w:hAnsi="方正仿宋简体" w:eastAsia="方正仿宋简体" w:cs="方正仿宋简体"/>
                <w:bCs/>
              </w:rPr>
            </w:pPr>
          </w:p>
        </w:tc>
        <w:tc>
          <w:tcPr>
            <w:tcW w:w="1669" w:type="dxa"/>
            <w:vMerge w:val="continue"/>
          </w:tcPr>
          <w:p>
            <w:pPr>
              <w:rPr>
                <w:rFonts w:ascii="方正仿宋简体" w:hAnsi="方正仿宋简体" w:eastAsia="方正仿宋简体" w:cs="方正仿宋简体"/>
                <w:bCs/>
              </w:rPr>
            </w:pPr>
          </w:p>
        </w:tc>
        <w:tc>
          <w:tcPr>
            <w:tcW w:w="1668" w:type="dxa"/>
            <w:vMerge w:val="continue"/>
          </w:tcPr>
          <w:p>
            <w:pPr>
              <w:rPr>
                <w:rFonts w:ascii="方正仿宋简体" w:hAnsi="方正仿宋简体" w:eastAsia="方正仿宋简体" w:cs="方正仿宋简体"/>
                <w:bCs/>
              </w:rPr>
            </w:pPr>
          </w:p>
        </w:tc>
        <w:tc>
          <w:tcPr>
            <w:tcW w:w="1669" w:type="dxa"/>
            <w:vMerge w:val="continue"/>
          </w:tcPr>
          <w:p>
            <w:pPr>
              <w:rPr>
                <w:rFonts w:ascii="方正仿宋简体" w:hAnsi="方正仿宋简体" w:eastAsia="方正仿宋简体" w:cs="方正仿宋简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栏次</w:t>
            </w:r>
          </w:p>
        </w:tc>
        <w:tc>
          <w:tcPr>
            <w:tcW w:w="1265"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1</w:t>
            </w:r>
          </w:p>
        </w:tc>
        <w:tc>
          <w:tcPr>
            <w:tcW w:w="2340"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2</w:t>
            </w:r>
          </w:p>
        </w:tc>
        <w:tc>
          <w:tcPr>
            <w:tcW w:w="1401"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3</w:t>
            </w:r>
          </w:p>
        </w:tc>
        <w:tc>
          <w:tcPr>
            <w:tcW w:w="1668"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4</w:t>
            </w:r>
          </w:p>
        </w:tc>
        <w:tc>
          <w:tcPr>
            <w:tcW w:w="1668"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5</w:t>
            </w:r>
          </w:p>
        </w:tc>
        <w:tc>
          <w:tcPr>
            <w:tcW w:w="1669"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w:t>
            </w:r>
          </w:p>
        </w:tc>
        <w:tc>
          <w:tcPr>
            <w:tcW w:w="1668"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7</w:t>
            </w:r>
          </w:p>
        </w:tc>
        <w:tc>
          <w:tcPr>
            <w:tcW w:w="1669" w:type="dxa"/>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65" w:type="dxa"/>
            <w:vAlign w:val="center"/>
          </w:tcPr>
          <w:p>
            <w:pPr>
              <w:pStyle w:val="23"/>
              <w:rPr>
                <w:rFonts w:ascii="方正仿宋简体" w:hAnsi="方正仿宋简体" w:eastAsia="方正仿宋简体" w:cs="方正仿宋简体"/>
                <w:b w:val="0"/>
                <w:bCs/>
                <w:sz w:val="24"/>
              </w:rPr>
            </w:pPr>
          </w:p>
        </w:tc>
        <w:tc>
          <w:tcPr>
            <w:tcW w:w="2340" w:type="dxa"/>
            <w:vAlign w:val="center"/>
          </w:tcPr>
          <w:p>
            <w:pPr>
              <w:pStyle w:val="21"/>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合计</w:t>
            </w:r>
          </w:p>
        </w:tc>
        <w:tc>
          <w:tcPr>
            <w:tcW w:w="1401" w:type="dxa"/>
            <w:vAlign w:val="center"/>
          </w:tcPr>
          <w:p>
            <w:pPr>
              <w:pStyle w:val="2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9085.55</w:t>
            </w:r>
          </w:p>
        </w:tc>
        <w:tc>
          <w:tcPr>
            <w:tcW w:w="1668" w:type="dxa"/>
            <w:vAlign w:val="center"/>
          </w:tcPr>
          <w:p>
            <w:pPr>
              <w:pStyle w:val="2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2755.15</w:t>
            </w:r>
          </w:p>
        </w:tc>
        <w:tc>
          <w:tcPr>
            <w:tcW w:w="1668" w:type="dxa"/>
            <w:vAlign w:val="center"/>
          </w:tcPr>
          <w:p>
            <w:pPr>
              <w:pStyle w:val="2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6330.40</w:t>
            </w:r>
          </w:p>
        </w:tc>
        <w:tc>
          <w:tcPr>
            <w:tcW w:w="1669" w:type="dxa"/>
            <w:vAlign w:val="center"/>
          </w:tcPr>
          <w:p>
            <w:pPr>
              <w:pStyle w:val="22"/>
              <w:rPr>
                <w:rFonts w:ascii="方正仿宋简体" w:hAnsi="方正仿宋简体" w:eastAsia="方正仿宋简体" w:cs="方正仿宋简体"/>
                <w:b w:val="0"/>
                <w:bCs/>
                <w:sz w:val="24"/>
              </w:rPr>
            </w:pPr>
          </w:p>
        </w:tc>
        <w:tc>
          <w:tcPr>
            <w:tcW w:w="1668" w:type="dxa"/>
            <w:vAlign w:val="center"/>
          </w:tcPr>
          <w:p>
            <w:pPr>
              <w:pStyle w:val="22"/>
              <w:rPr>
                <w:rFonts w:ascii="方正仿宋简体" w:hAnsi="方正仿宋简体" w:eastAsia="方正仿宋简体" w:cs="方正仿宋简体"/>
                <w:b w:val="0"/>
                <w:bCs/>
                <w:sz w:val="24"/>
              </w:rPr>
            </w:pPr>
          </w:p>
        </w:tc>
        <w:tc>
          <w:tcPr>
            <w:tcW w:w="1669" w:type="dxa"/>
            <w:vAlign w:val="center"/>
          </w:tcPr>
          <w:p>
            <w:pPr>
              <w:pStyle w:val="22"/>
              <w:rPr>
                <w:rFonts w:ascii="方正仿宋简体" w:hAnsi="方正仿宋简体" w:eastAsia="方正仿宋简体" w:cs="方正仿宋简体"/>
                <w:b w:val="0"/>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375.81</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375.81</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375.81</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375.81</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252.55</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252.55</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123.26</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123.26</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241.34</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241.34</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241.34</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241.34</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241.34</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241.34</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212</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城乡社区支出</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8269.97</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1939.57</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6330.40</w:t>
            </w: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21201</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城乡社区管理事务</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2046.97</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1939.57</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107.40</w:t>
            </w: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2120102</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53.40</w:t>
            </w:r>
          </w:p>
        </w:tc>
        <w:tc>
          <w:tcPr>
            <w:tcW w:w="1668"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53.40</w:t>
            </w: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2120104</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城管执法</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1993.57</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1939.57</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54.00</w:t>
            </w: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21202</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城乡社区规划与管理</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180.00</w:t>
            </w:r>
          </w:p>
        </w:tc>
        <w:tc>
          <w:tcPr>
            <w:tcW w:w="1668"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180.00</w:t>
            </w: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2120201</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城乡社区规划与管理</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180.00</w:t>
            </w:r>
          </w:p>
        </w:tc>
        <w:tc>
          <w:tcPr>
            <w:tcW w:w="1668"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180.00</w:t>
            </w: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21203</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城乡社区公共设施</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6043.00</w:t>
            </w:r>
          </w:p>
        </w:tc>
        <w:tc>
          <w:tcPr>
            <w:tcW w:w="1668"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6043.00</w:t>
            </w: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2120303</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小城镇基础设施建设</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6043.00</w:t>
            </w:r>
          </w:p>
        </w:tc>
        <w:tc>
          <w:tcPr>
            <w:tcW w:w="1668"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6043.00</w:t>
            </w: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198.43</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198.43</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198.43</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198.43</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2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1265"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2340" w:type="dxa"/>
            <w:vAlign w:val="center"/>
          </w:tcPr>
          <w:p>
            <w:pPr>
              <w:pStyle w:val="19"/>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40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198.43</w:t>
            </w:r>
          </w:p>
        </w:tc>
        <w:tc>
          <w:tcPr>
            <w:tcW w:w="1668"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198.43</w:t>
            </w: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c>
          <w:tcPr>
            <w:tcW w:w="1668" w:type="dxa"/>
            <w:vAlign w:val="center"/>
          </w:tcPr>
          <w:p>
            <w:pPr>
              <w:pStyle w:val="18"/>
              <w:rPr>
                <w:rFonts w:ascii="方正仿宋简体" w:hAnsi="方正仿宋简体" w:eastAsia="方正仿宋简体" w:cs="方正仿宋简体"/>
                <w:bCs/>
                <w:sz w:val="24"/>
              </w:rPr>
            </w:pPr>
          </w:p>
        </w:tc>
        <w:tc>
          <w:tcPr>
            <w:tcW w:w="1669" w:type="dxa"/>
            <w:vAlign w:val="center"/>
          </w:tcPr>
          <w:p>
            <w:pPr>
              <w:pStyle w:val="18"/>
              <w:rPr>
                <w:rFonts w:ascii="方正仿宋简体" w:hAnsi="方正仿宋简体" w:eastAsia="方正仿宋简体" w:cs="方正仿宋简体"/>
                <w:bCs/>
                <w:sz w:val="24"/>
              </w:rPr>
            </w:pPr>
          </w:p>
        </w:tc>
      </w:tr>
    </w:tbl>
    <w:p/>
    <w:p>
      <w:pPr>
        <w:pStyle w:val="2"/>
        <w:ind w:firstLine="480"/>
        <w:sectPr>
          <w:pgSz w:w="16840" w:h="11900" w:orient="landscape"/>
          <w:pgMar w:top="1361" w:right="1020" w:bottom="1134" w:left="1020" w:header="720" w:footer="720" w:gutter="0"/>
          <w:pgNumType w:fmt="decimal"/>
          <w:cols w:space="720" w:num="1"/>
        </w:sectPr>
      </w:pPr>
    </w:p>
    <w:p>
      <w:pPr>
        <w:outlineLvl w:val="4"/>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附表1-4</w:t>
      </w:r>
    </w:p>
    <w:p>
      <w:pPr>
        <w:jc w:val="center"/>
        <w:outlineLvl w:val="4"/>
      </w:pPr>
      <w:r>
        <w:rPr>
          <w:rFonts w:hint="eastAsia" w:asciiTheme="minorEastAsia" w:hAnsiTheme="minorEastAsia" w:eastAsiaTheme="minorEastAsia" w:cstheme="minorEastAsia"/>
          <w:color w:val="000000"/>
          <w:sz w:val="44"/>
          <w:szCs w:val="44"/>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8"/>
        <w:gridCol w:w="2794"/>
        <w:gridCol w:w="1061"/>
        <w:gridCol w:w="3585"/>
        <w:gridCol w:w="1020"/>
        <w:gridCol w:w="1431"/>
        <w:gridCol w:w="2178"/>
        <w:gridCol w:w="1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3"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656001遵化市城市管理综合行政执法局本级</w:t>
            </w:r>
          </w:p>
        </w:tc>
        <w:tc>
          <w:tcPr>
            <w:tcW w:w="3585"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6368" w:type="dxa"/>
            <w:gridSpan w:val="4"/>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restart"/>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序号</w:t>
            </w:r>
          </w:p>
        </w:tc>
        <w:tc>
          <w:tcPr>
            <w:tcW w:w="3855" w:type="dxa"/>
            <w:gridSpan w:val="2"/>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收入</w:t>
            </w:r>
          </w:p>
        </w:tc>
        <w:tc>
          <w:tcPr>
            <w:tcW w:w="9953" w:type="dxa"/>
            <w:gridSpan w:val="5"/>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continue"/>
          </w:tcPr>
          <w:p>
            <w:pPr>
              <w:rPr>
                <w:rFonts w:ascii="方正仿宋简体" w:hAnsi="方正仿宋简体" w:eastAsia="方正仿宋简体" w:cs="方正仿宋简体"/>
                <w:sz w:val="18"/>
                <w:szCs w:val="18"/>
              </w:rPr>
            </w:pPr>
          </w:p>
        </w:tc>
        <w:tc>
          <w:tcPr>
            <w:tcW w:w="2794"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项  目</w:t>
            </w:r>
          </w:p>
        </w:tc>
        <w:tc>
          <w:tcPr>
            <w:tcW w:w="1061"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金额</w:t>
            </w:r>
          </w:p>
        </w:tc>
        <w:tc>
          <w:tcPr>
            <w:tcW w:w="3585"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项  目</w:t>
            </w:r>
          </w:p>
        </w:tc>
        <w:tc>
          <w:tcPr>
            <w:tcW w:w="1020"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合计</w:t>
            </w:r>
          </w:p>
        </w:tc>
        <w:tc>
          <w:tcPr>
            <w:tcW w:w="1431"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一般公共预算财政拨款</w:t>
            </w:r>
          </w:p>
        </w:tc>
        <w:tc>
          <w:tcPr>
            <w:tcW w:w="2178"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政府性基金预算财政    拨款</w:t>
            </w:r>
          </w:p>
        </w:tc>
        <w:tc>
          <w:tcPr>
            <w:tcW w:w="1739"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栏次</w:t>
            </w:r>
          </w:p>
        </w:tc>
        <w:tc>
          <w:tcPr>
            <w:tcW w:w="2794"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1</w:t>
            </w:r>
          </w:p>
        </w:tc>
        <w:tc>
          <w:tcPr>
            <w:tcW w:w="1061"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2</w:t>
            </w:r>
          </w:p>
        </w:tc>
        <w:tc>
          <w:tcPr>
            <w:tcW w:w="3585"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3</w:t>
            </w:r>
          </w:p>
        </w:tc>
        <w:tc>
          <w:tcPr>
            <w:tcW w:w="1020"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4</w:t>
            </w:r>
          </w:p>
        </w:tc>
        <w:tc>
          <w:tcPr>
            <w:tcW w:w="1431"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5</w:t>
            </w:r>
          </w:p>
        </w:tc>
        <w:tc>
          <w:tcPr>
            <w:tcW w:w="2178"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6</w:t>
            </w:r>
          </w:p>
        </w:tc>
        <w:tc>
          <w:tcPr>
            <w:tcW w:w="1739" w:type="dxa"/>
            <w:vAlign w:val="center"/>
          </w:tcPr>
          <w:p>
            <w:pPr>
              <w:pStyle w:val="17"/>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w:t>
            </w:r>
          </w:p>
        </w:tc>
        <w:tc>
          <w:tcPr>
            <w:tcW w:w="2794"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一、一般公共预算拨款</w:t>
            </w:r>
          </w:p>
        </w:tc>
        <w:tc>
          <w:tcPr>
            <w:tcW w:w="1061"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9085.55</w:t>
            </w: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一、一般公共服务支出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w:t>
            </w:r>
          </w:p>
        </w:tc>
        <w:tc>
          <w:tcPr>
            <w:tcW w:w="2794"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二、政府性基金预算拨款</w:t>
            </w: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二、外交支出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w:t>
            </w:r>
          </w:p>
        </w:tc>
        <w:tc>
          <w:tcPr>
            <w:tcW w:w="2794"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三、国有资本经营预算拨款</w:t>
            </w: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三、国防支出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四、公共安全支出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五、教育支出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六、科学技术支出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七、文化旅游体育与传媒支出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八、社会保障和就业支出</w:t>
            </w:r>
          </w:p>
        </w:tc>
        <w:tc>
          <w:tcPr>
            <w:tcW w:w="1020"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375.81</w:t>
            </w:r>
          </w:p>
        </w:tc>
        <w:tc>
          <w:tcPr>
            <w:tcW w:w="1431"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375.81</w:t>
            </w: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九、社会保险基金支出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十、卫生健康支出</w:t>
            </w:r>
          </w:p>
        </w:tc>
        <w:tc>
          <w:tcPr>
            <w:tcW w:w="1020"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241.34</w:t>
            </w:r>
          </w:p>
        </w:tc>
        <w:tc>
          <w:tcPr>
            <w:tcW w:w="1431"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241.34</w:t>
            </w: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十一、节能环保支出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十二、城乡社区支出</w:t>
            </w:r>
          </w:p>
        </w:tc>
        <w:tc>
          <w:tcPr>
            <w:tcW w:w="1020"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8269.97</w:t>
            </w:r>
          </w:p>
        </w:tc>
        <w:tc>
          <w:tcPr>
            <w:tcW w:w="1431"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8269.97</w:t>
            </w: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十三、农林水支出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十四、交通运输支出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十五、资源勘探工业信息等支出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十六、商业服务业等支出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十七、金融支出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18</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十八、援助其他地区支出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19</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十九、自然资源海洋气象等支出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20</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二十、住房保障支出</w:t>
            </w:r>
          </w:p>
        </w:tc>
        <w:tc>
          <w:tcPr>
            <w:tcW w:w="1020"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198.43</w:t>
            </w:r>
          </w:p>
        </w:tc>
        <w:tc>
          <w:tcPr>
            <w:tcW w:w="1431" w:type="dxa"/>
            <w:vAlign w:val="center"/>
          </w:tcPr>
          <w:p>
            <w:pPr>
              <w:pStyle w:val="18"/>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198.43</w:t>
            </w: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21</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二十一、粮油物资储备支出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22</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二十二、国有资本经营预算支出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23</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二十三、灾害防治及应急管理支出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24</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二十四、预备费</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25</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二十五、其他支出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26</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二十六、转移性支出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27</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二十七、债务还本支出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28</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二十八、债务付息支出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29</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二十九、债务发行费用支出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三十、抗疫特别国债安排的支出</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31</w:t>
            </w:r>
          </w:p>
        </w:tc>
        <w:tc>
          <w:tcPr>
            <w:tcW w:w="2794" w:type="dxa"/>
            <w:vAlign w:val="center"/>
          </w:tcPr>
          <w:p>
            <w:pPr>
              <w:pStyle w:val="19"/>
              <w:rPr>
                <w:rFonts w:ascii="方正仿宋简体" w:hAnsi="方正仿宋简体" w:eastAsia="方正仿宋简体" w:cs="方正仿宋简体"/>
                <w:sz w:val="18"/>
                <w:szCs w:val="18"/>
              </w:rPr>
            </w:pP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三十一、人行科目</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32</w:t>
            </w:r>
          </w:p>
        </w:tc>
        <w:tc>
          <w:tcPr>
            <w:tcW w:w="2794" w:type="dxa"/>
            <w:vAlign w:val="center"/>
          </w:tcPr>
          <w:p>
            <w:pPr>
              <w:pStyle w:val="21"/>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本年收入合计</w:t>
            </w:r>
          </w:p>
        </w:tc>
        <w:tc>
          <w:tcPr>
            <w:tcW w:w="1061" w:type="dxa"/>
            <w:vAlign w:val="center"/>
          </w:tcPr>
          <w:p>
            <w:pPr>
              <w:pStyle w:val="22"/>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9085.55</w:t>
            </w:r>
          </w:p>
        </w:tc>
        <w:tc>
          <w:tcPr>
            <w:tcW w:w="3585" w:type="dxa"/>
            <w:vAlign w:val="center"/>
          </w:tcPr>
          <w:p>
            <w:pPr>
              <w:pStyle w:val="21"/>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本年支出合计</w:t>
            </w:r>
          </w:p>
        </w:tc>
        <w:tc>
          <w:tcPr>
            <w:tcW w:w="1020" w:type="dxa"/>
            <w:vAlign w:val="center"/>
          </w:tcPr>
          <w:p>
            <w:pPr>
              <w:pStyle w:val="22"/>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9085.55</w:t>
            </w:r>
          </w:p>
        </w:tc>
        <w:tc>
          <w:tcPr>
            <w:tcW w:w="1431" w:type="dxa"/>
            <w:vAlign w:val="center"/>
          </w:tcPr>
          <w:p>
            <w:pPr>
              <w:pStyle w:val="22"/>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9085.55</w:t>
            </w:r>
          </w:p>
        </w:tc>
        <w:tc>
          <w:tcPr>
            <w:tcW w:w="2178" w:type="dxa"/>
            <w:vAlign w:val="center"/>
          </w:tcPr>
          <w:p>
            <w:pPr>
              <w:pStyle w:val="22"/>
              <w:rPr>
                <w:rFonts w:ascii="方正仿宋简体" w:hAnsi="方正仿宋简体" w:eastAsia="方正仿宋简体" w:cs="方正仿宋简体"/>
                <w:b w:val="0"/>
                <w:sz w:val="18"/>
                <w:szCs w:val="18"/>
              </w:rPr>
            </w:pPr>
          </w:p>
        </w:tc>
        <w:tc>
          <w:tcPr>
            <w:tcW w:w="1739" w:type="dxa"/>
            <w:vAlign w:val="center"/>
          </w:tcPr>
          <w:p>
            <w:pPr>
              <w:pStyle w:val="22"/>
              <w:rPr>
                <w:rFonts w:ascii="方正仿宋简体" w:hAnsi="方正仿宋简体" w:eastAsia="方正仿宋简体" w:cs="方正仿宋简体"/>
                <w:b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33</w:t>
            </w:r>
          </w:p>
        </w:tc>
        <w:tc>
          <w:tcPr>
            <w:tcW w:w="2794"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年初财政拨款结转和结余</w:t>
            </w: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年末财政拨款结转和结余</w:t>
            </w: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34</w:t>
            </w:r>
          </w:p>
        </w:tc>
        <w:tc>
          <w:tcPr>
            <w:tcW w:w="2794"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一、一般公共预算拨款</w:t>
            </w: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35</w:t>
            </w:r>
          </w:p>
        </w:tc>
        <w:tc>
          <w:tcPr>
            <w:tcW w:w="2794"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二、政府性基金预算拨款</w:t>
            </w: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36</w:t>
            </w:r>
          </w:p>
        </w:tc>
        <w:tc>
          <w:tcPr>
            <w:tcW w:w="2794" w:type="dxa"/>
            <w:vAlign w:val="center"/>
          </w:tcPr>
          <w:p>
            <w:pPr>
              <w:pStyle w:val="19"/>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三、国有资本经营预算拨款</w:t>
            </w:r>
          </w:p>
        </w:tc>
        <w:tc>
          <w:tcPr>
            <w:tcW w:w="1061" w:type="dxa"/>
            <w:vAlign w:val="center"/>
          </w:tcPr>
          <w:p>
            <w:pPr>
              <w:pStyle w:val="18"/>
              <w:rPr>
                <w:rFonts w:ascii="方正仿宋简体" w:hAnsi="方正仿宋简体" w:eastAsia="方正仿宋简体" w:cs="方正仿宋简体"/>
                <w:sz w:val="18"/>
                <w:szCs w:val="18"/>
              </w:rPr>
            </w:pPr>
          </w:p>
        </w:tc>
        <w:tc>
          <w:tcPr>
            <w:tcW w:w="3585" w:type="dxa"/>
            <w:vAlign w:val="center"/>
          </w:tcPr>
          <w:p>
            <w:pPr>
              <w:pStyle w:val="19"/>
              <w:rPr>
                <w:rFonts w:ascii="方正仿宋简体" w:hAnsi="方正仿宋简体" w:eastAsia="方正仿宋简体" w:cs="方正仿宋简体"/>
                <w:sz w:val="18"/>
                <w:szCs w:val="18"/>
              </w:rPr>
            </w:pPr>
          </w:p>
        </w:tc>
        <w:tc>
          <w:tcPr>
            <w:tcW w:w="1020" w:type="dxa"/>
            <w:vAlign w:val="center"/>
          </w:tcPr>
          <w:p>
            <w:pPr>
              <w:pStyle w:val="18"/>
              <w:rPr>
                <w:rFonts w:ascii="方正仿宋简体" w:hAnsi="方正仿宋简体" w:eastAsia="方正仿宋简体" w:cs="方正仿宋简体"/>
                <w:sz w:val="18"/>
                <w:szCs w:val="18"/>
              </w:rPr>
            </w:pPr>
          </w:p>
        </w:tc>
        <w:tc>
          <w:tcPr>
            <w:tcW w:w="1431" w:type="dxa"/>
            <w:vAlign w:val="center"/>
          </w:tcPr>
          <w:p>
            <w:pPr>
              <w:pStyle w:val="18"/>
              <w:rPr>
                <w:rFonts w:ascii="方正仿宋简体" w:hAnsi="方正仿宋简体" w:eastAsia="方正仿宋简体" w:cs="方正仿宋简体"/>
                <w:sz w:val="18"/>
                <w:szCs w:val="18"/>
              </w:rPr>
            </w:pPr>
          </w:p>
        </w:tc>
        <w:tc>
          <w:tcPr>
            <w:tcW w:w="2178" w:type="dxa"/>
            <w:vAlign w:val="center"/>
          </w:tcPr>
          <w:p>
            <w:pPr>
              <w:pStyle w:val="18"/>
              <w:rPr>
                <w:rFonts w:ascii="方正仿宋简体" w:hAnsi="方正仿宋简体" w:eastAsia="方正仿宋简体" w:cs="方正仿宋简体"/>
                <w:sz w:val="18"/>
                <w:szCs w:val="18"/>
              </w:rPr>
            </w:pPr>
          </w:p>
        </w:tc>
        <w:tc>
          <w:tcPr>
            <w:tcW w:w="1739" w:type="dxa"/>
            <w:vAlign w:val="center"/>
          </w:tcPr>
          <w:p>
            <w:pPr>
              <w:pStyle w:val="18"/>
              <w:rPr>
                <w:rFonts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20"/>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37</w:t>
            </w:r>
          </w:p>
        </w:tc>
        <w:tc>
          <w:tcPr>
            <w:tcW w:w="2794" w:type="dxa"/>
            <w:vAlign w:val="center"/>
          </w:tcPr>
          <w:p>
            <w:pPr>
              <w:pStyle w:val="21"/>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收入总计</w:t>
            </w:r>
          </w:p>
        </w:tc>
        <w:tc>
          <w:tcPr>
            <w:tcW w:w="1061" w:type="dxa"/>
            <w:vAlign w:val="center"/>
          </w:tcPr>
          <w:p>
            <w:pPr>
              <w:pStyle w:val="22"/>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9085.55</w:t>
            </w:r>
          </w:p>
        </w:tc>
        <w:tc>
          <w:tcPr>
            <w:tcW w:w="3585" w:type="dxa"/>
            <w:vAlign w:val="center"/>
          </w:tcPr>
          <w:p>
            <w:pPr>
              <w:pStyle w:val="21"/>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支出总计</w:t>
            </w:r>
          </w:p>
        </w:tc>
        <w:tc>
          <w:tcPr>
            <w:tcW w:w="1020" w:type="dxa"/>
            <w:vAlign w:val="center"/>
          </w:tcPr>
          <w:p>
            <w:pPr>
              <w:pStyle w:val="22"/>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9085.55</w:t>
            </w:r>
          </w:p>
        </w:tc>
        <w:tc>
          <w:tcPr>
            <w:tcW w:w="1431" w:type="dxa"/>
            <w:vAlign w:val="center"/>
          </w:tcPr>
          <w:p>
            <w:pPr>
              <w:pStyle w:val="22"/>
              <w:rPr>
                <w:rFonts w:ascii="方正仿宋简体" w:hAnsi="方正仿宋简体" w:eastAsia="方正仿宋简体" w:cs="方正仿宋简体"/>
                <w:b w:val="0"/>
                <w:sz w:val="18"/>
                <w:szCs w:val="18"/>
              </w:rPr>
            </w:pPr>
            <w:r>
              <w:rPr>
                <w:rFonts w:hint="eastAsia" w:ascii="方正仿宋简体" w:hAnsi="方正仿宋简体" w:eastAsia="方正仿宋简体" w:cs="方正仿宋简体"/>
                <w:b w:val="0"/>
                <w:sz w:val="18"/>
                <w:szCs w:val="18"/>
              </w:rPr>
              <w:t>9085.55</w:t>
            </w:r>
          </w:p>
        </w:tc>
        <w:tc>
          <w:tcPr>
            <w:tcW w:w="2178" w:type="dxa"/>
            <w:vAlign w:val="center"/>
          </w:tcPr>
          <w:p>
            <w:pPr>
              <w:pStyle w:val="22"/>
              <w:rPr>
                <w:rFonts w:ascii="方正仿宋简体" w:hAnsi="方正仿宋简体" w:eastAsia="方正仿宋简体" w:cs="方正仿宋简体"/>
                <w:b w:val="0"/>
                <w:sz w:val="18"/>
                <w:szCs w:val="18"/>
              </w:rPr>
            </w:pPr>
          </w:p>
        </w:tc>
        <w:tc>
          <w:tcPr>
            <w:tcW w:w="1739" w:type="dxa"/>
            <w:vAlign w:val="center"/>
          </w:tcPr>
          <w:p>
            <w:pPr>
              <w:pStyle w:val="22"/>
              <w:rPr>
                <w:rFonts w:ascii="方正仿宋简体" w:hAnsi="方正仿宋简体" w:eastAsia="方正仿宋简体" w:cs="方正仿宋简体"/>
                <w:b w:val="0"/>
                <w:sz w:val="18"/>
                <w:szCs w:val="18"/>
              </w:rPr>
            </w:pPr>
          </w:p>
        </w:tc>
      </w:tr>
    </w:tbl>
    <w:p>
      <w:pPr>
        <w:sectPr>
          <w:pgSz w:w="16840" w:h="11900" w:orient="landscape"/>
          <w:pgMar w:top="1361" w:right="1020" w:bottom="1134" w:left="1020" w:header="720" w:footer="720" w:gutter="0"/>
          <w:pgNumType w:fmt="decimal"/>
          <w:cols w:space="720" w:num="1"/>
        </w:sectPr>
      </w:pPr>
    </w:p>
    <w:p>
      <w:pPr>
        <w:outlineLvl w:val="4"/>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附表1-5</w:t>
      </w:r>
    </w:p>
    <w:p>
      <w:pPr>
        <w:jc w:val="center"/>
        <w:outlineLvl w:val="4"/>
        <w:rPr>
          <w:rFonts w:asciiTheme="minorEastAsia" w:hAnsiTheme="minorEastAsia" w:eastAsiaTheme="minorEastAsia" w:cstheme="minorEastAsia"/>
          <w:sz w:val="44"/>
          <w:szCs w:val="44"/>
        </w:rPr>
      </w:pPr>
      <w:r>
        <w:rPr>
          <w:rFonts w:hint="eastAsia" w:asciiTheme="minorEastAsia" w:hAnsiTheme="minorEastAsia" w:eastAsiaTheme="minorEastAsia" w:cstheme="minorEastAsia"/>
          <w:color w:val="000000"/>
          <w:sz w:val="44"/>
          <w:szCs w:val="44"/>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1979"/>
        <w:gridCol w:w="3960"/>
        <w:gridCol w:w="1569"/>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42"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656001遵化市城市管理综合行政执法局本级</w:t>
            </w:r>
          </w:p>
        </w:tc>
        <w:tc>
          <w:tcPr>
            <w:tcW w:w="1569"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939"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156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2"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基本支出</w:t>
            </w:r>
          </w:p>
        </w:tc>
        <w:tc>
          <w:tcPr>
            <w:tcW w:w="250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ascii="方正仿宋简体" w:hAnsi="方正仿宋简体" w:eastAsia="方正仿宋简体" w:cs="方正仿宋简体"/>
                <w:sz w:val="21"/>
                <w:szCs w:val="21"/>
              </w:rPr>
            </w:pPr>
          </w:p>
        </w:tc>
        <w:tc>
          <w:tcPr>
            <w:tcW w:w="197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科目编码</w:t>
            </w:r>
          </w:p>
        </w:tc>
        <w:tc>
          <w:tcPr>
            <w:tcW w:w="39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1569" w:type="dxa"/>
            <w:vMerge w:val="continue"/>
          </w:tcPr>
          <w:p>
            <w:pPr>
              <w:rPr>
                <w:rFonts w:ascii="方正仿宋简体" w:hAnsi="方正仿宋简体" w:eastAsia="方正仿宋简体" w:cs="方正仿宋简体"/>
                <w:sz w:val="21"/>
                <w:szCs w:val="21"/>
              </w:rPr>
            </w:pPr>
          </w:p>
        </w:tc>
        <w:tc>
          <w:tcPr>
            <w:tcW w:w="2502" w:type="dxa"/>
            <w:vMerge w:val="continue"/>
          </w:tcPr>
          <w:p>
            <w:pPr>
              <w:rPr>
                <w:rFonts w:ascii="方正仿宋简体" w:hAnsi="方正仿宋简体" w:eastAsia="方正仿宋简体" w:cs="方正仿宋简体"/>
                <w:sz w:val="21"/>
                <w:szCs w:val="21"/>
              </w:rPr>
            </w:pPr>
          </w:p>
        </w:tc>
        <w:tc>
          <w:tcPr>
            <w:tcW w:w="2503"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197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39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156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0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979" w:type="dxa"/>
            <w:vAlign w:val="center"/>
          </w:tcPr>
          <w:p>
            <w:pPr>
              <w:pStyle w:val="23"/>
              <w:rPr>
                <w:rFonts w:ascii="方正仿宋简体" w:hAnsi="方正仿宋简体" w:eastAsia="方正仿宋简体" w:cs="方正仿宋简体"/>
                <w:b w:val="0"/>
                <w:szCs w:val="21"/>
              </w:rPr>
            </w:pPr>
          </w:p>
        </w:tc>
        <w:tc>
          <w:tcPr>
            <w:tcW w:w="3960"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1569"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9085.55</w:t>
            </w:r>
          </w:p>
        </w:tc>
        <w:tc>
          <w:tcPr>
            <w:tcW w:w="2502"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2755.15</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6330.40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社会保障和就业支出</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行政事业单位养老支出</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375.81</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2080505</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机关事业单位基本养老保险缴费支出</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252.55</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252.55</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2080506</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机关事业单位职业年金缴费支出</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123.26</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123.26</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卫生健康支出</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行政事业单位医疗</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2101102</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事业单位医疗</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241.34</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城乡社区支出</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8269.97</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1939.57</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6330.40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城乡社区管理事务</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2046.97</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1939.57</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2120102</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一般行政管理事务</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53.40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2120104</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城管执法</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1993.57</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1939.57</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21202</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城乡社区规划与管理</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2120201</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城乡社区规划与管理</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21203</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城乡社区公共设施</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2120303</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小城镇基础设施建设</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住房保障支出</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住房改革支出</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197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2210201</w:t>
            </w:r>
          </w:p>
        </w:tc>
        <w:tc>
          <w:tcPr>
            <w:tcW w:w="39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住房公积金</w:t>
            </w:r>
          </w:p>
        </w:tc>
        <w:tc>
          <w:tcPr>
            <w:tcW w:w="156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2503" w:type="dxa"/>
            <w:vAlign w:val="center"/>
          </w:tcPr>
          <w:p>
            <w:pPr>
              <w:pStyle w:val="18"/>
              <w:rPr>
                <w:rFonts w:ascii="方正仿宋简体" w:hAnsi="方正仿宋简体" w:eastAsia="方正仿宋简体" w:cs="方正仿宋简体"/>
                <w:szCs w:val="21"/>
              </w:rPr>
            </w:pPr>
          </w:p>
        </w:tc>
      </w:tr>
    </w:tbl>
    <w:p>
      <w:pPr>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jc w:val="center"/>
        <w:outlineLvl w:val="4"/>
        <w:rPr>
          <w:rFonts w:ascii="方正仿宋简体" w:hAnsi="方正仿宋简体" w:eastAsia="方正仿宋简体" w:cs="方正仿宋简体"/>
          <w:color w:val="000000"/>
          <w:sz w:val="21"/>
          <w:szCs w:val="21"/>
        </w:rPr>
      </w:pPr>
    </w:p>
    <w:p>
      <w:pPr>
        <w:outlineLvl w:val="4"/>
        <w:rPr>
          <w:rFonts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附表1-6</w:t>
      </w:r>
    </w:p>
    <w:p>
      <w:pPr>
        <w:jc w:val="center"/>
        <w:outlineLvl w:val="4"/>
        <w:rPr>
          <w:rFonts w:asciiTheme="minorEastAsia" w:hAnsiTheme="minorEastAsia" w:eastAsiaTheme="minorEastAsia" w:cstheme="minorEastAsia"/>
          <w:sz w:val="44"/>
          <w:szCs w:val="44"/>
        </w:rPr>
      </w:pPr>
      <w:r>
        <w:rPr>
          <w:rFonts w:hint="eastAsia" w:asciiTheme="minorEastAsia" w:hAnsiTheme="minorEastAsia" w:eastAsiaTheme="minorEastAsia" w:cstheme="minorEastAsia"/>
          <w:color w:val="000000"/>
          <w:sz w:val="44"/>
          <w:szCs w:val="44"/>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1705"/>
        <w:gridCol w:w="3300"/>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656001遵化市城市管理综合行政执法局本级</w:t>
            </w:r>
          </w:p>
        </w:tc>
        <w:tc>
          <w:tcPr>
            <w:tcW w:w="250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06"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00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支出部门经济分类科目</w:t>
            </w:r>
          </w:p>
        </w:tc>
        <w:tc>
          <w:tcPr>
            <w:tcW w:w="7509" w:type="dxa"/>
            <w:gridSpan w:val="3"/>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continue"/>
          </w:tcPr>
          <w:p>
            <w:pPr>
              <w:rPr>
                <w:rFonts w:ascii="方正仿宋简体" w:hAnsi="方正仿宋简体" w:eastAsia="方正仿宋简体" w:cs="方正仿宋简体"/>
                <w:sz w:val="21"/>
                <w:szCs w:val="21"/>
              </w:rPr>
            </w:pPr>
          </w:p>
        </w:tc>
        <w:tc>
          <w:tcPr>
            <w:tcW w:w="170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科目编码</w:t>
            </w:r>
          </w:p>
        </w:tc>
        <w:tc>
          <w:tcPr>
            <w:tcW w:w="330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人员经费</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170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330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705" w:type="dxa"/>
            <w:vAlign w:val="center"/>
          </w:tcPr>
          <w:p>
            <w:pPr>
              <w:pStyle w:val="23"/>
              <w:rPr>
                <w:rFonts w:ascii="方正仿宋简体" w:hAnsi="方正仿宋简体" w:eastAsia="方正仿宋简体" w:cs="方正仿宋简体"/>
                <w:b w:val="0"/>
                <w:szCs w:val="21"/>
              </w:rPr>
            </w:pPr>
          </w:p>
        </w:tc>
        <w:tc>
          <w:tcPr>
            <w:tcW w:w="3300"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2755.15</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2698.37</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工资福利支出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2652.43</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2652.43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30101</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基本工资</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1184.36</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1184.36</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30102</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津贴补贴</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327.21</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327.21</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30103</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奖金</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239.03</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239.03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30107</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绩效工资</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72.19</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72.19</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30108</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机关事业单位基本养老保险缴费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263.15</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263.15</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30109</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职业年金缴费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123.26</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123.26</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30110</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职工基本医疗保险缴费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191.61</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191.61</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30111</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公务员医疗补助缴费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44.95</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44.95</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30112</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其他社会保障缴费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8.24</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8.24</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30113</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住房公积金</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198.43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商品和服务支出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56.78</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30201</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办公费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2.07</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30206</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电费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1.38</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30207</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邮电费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0.69</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30208</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取暖费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6.08</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30211</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差旅费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1.38</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30215</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会议费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0.34</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30216</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0.33</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30217</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公务接待费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0.07</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30228</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工会经费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7.22</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23</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30229</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福利费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7.57</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30231</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公务用车运行维护费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4.10</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30239</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其他交通费用</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24.48</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30299</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其他商品和服务支出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1.07</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27</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303</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对个人和家庭的补助</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45.94</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45.94</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28</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30302</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退休费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37.65</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37.65</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29</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30307</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医疗费补助</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7.43</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7.43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70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30309</w:t>
            </w:r>
          </w:p>
        </w:tc>
        <w:tc>
          <w:tcPr>
            <w:tcW w:w="33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奖励金</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0.86</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0.86</w:t>
            </w:r>
          </w:p>
        </w:tc>
        <w:tc>
          <w:tcPr>
            <w:tcW w:w="2503" w:type="dxa"/>
            <w:vAlign w:val="center"/>
          </w:tcPr>
          <w:p>
            <w:pPr>
              <w:pStyle w:val="18"/>
              <w:rPr>
                <w:rFonts w:ascii="方正仿宋简体" w:hAnsi="方正仿宋简体" w:eastAsia="方正仿宋简体" w:cs="方正仿宋简体"/>
                <w:szCs w:val="21"/>
              </w:rPr>
            </w:pPr>
          </w:p>
        </w:tc>
      </w:tr>
    </w:tbl>
    <w:p>
      <w:pPr>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outlineLvl w:val="4"/>
        <w:rPr>
          <w:rFonts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附表1-7</w:t>
      </w:r>
    </w:p>
    <w:p>
      <w:pPr>
        <w:jc w:val="center"/>
        <w:outlineLvl w:val="4"/>
        <w:rPr>
          <w:rFonts w:asciiTheme="minorEastAsia" w:hAnsiTheme="minorEastAsia" w:eastAsiaTheme="minorEastAsia" w:cstheme="minorEastAsia"/>
          <w:sz w:val="44"/>
          <w:szCs w:val="44"/>
        </w:rPr>
      </w:pPr>
      <w:r>
        <w:rPr>
          <w:rFonts w:hint="eastAsia" w:asciiTheme="minorEastAsia" w:hAnsiTheme="minorEastAsia" w:eastAsiaTheme="minorEastAsia" w:cstheme="minorEastAsia"/>
          <w:color w:val="000000"/>
          <w:sz w:val="44"/>
          <w:szCs w:val="44"/>
        </w:rPr>
        <w:t>单位预算政府基金预算财政拨款支出表</w:t>
      </w:r>
    </w:p>
    <w:tbl>
      <w:tblPr>
        <w:tblStyle w:val="10"/>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4"/>
        <w:gridCol w:w="2503"/>
        <w:gridCol w:w="2502"/>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7510"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656001遵化市城市管理综合行政执法局本级</w:t>
            </w:r>
          </w:p>
        </w:tc>
        <w:tc>
          <w:tcPr>
            <w:tcW w:w="250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06"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250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007"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250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2"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基本支出</w:t>
            </w:r>
          </w:p>
        </w:tc>
        <w:tc>
          <w:tcPr>
            <w:tcW w:w="2504"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2503" w:type="dxa"/>
            <w:vMerge w:val="continue"/>
          </w:tcPr>
          <w:p>
            <w:pPr>
              <w:rPr>
                <w:rFonts w:ascii="方正仿宋简体" w:hAnsi="方正仿宋简体" w:eastAsia="方正仿宋简体" w:cs="方正仿宋简体"/>
                <w:sz w:val="21"/>
                <w:szCs w:val="21"/>
              </w:rPr>
            </w:pP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科目编码</w:t>
            </w:r>
          </w:p>
        </w:tc>
        <w:tc>
          <w:tcPr>
            <w:tcW w:w="250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2503" w:type="dxa"/>
            <w:vMerge w:val="continue"/>
          </w:tcPr>
          <w:p>
            <w:pPr>
              <w:rPr>
                <w:rFonts w:ascii="方正仿宋简体" w:hAnsi="方正仿宋简体" w:eastAsia="方正仿宋简体" w:cs="方正仿宋简体"/>
                <w:sz w:val="21"/>
                <w:szCs w:val="21"/>
              </w:rPr>
            </w:pPr>
          </w:p>
        </w:tc>
        <w:tc>
          <w:tcPr>
            <w:tcW w:w="2502" w:type="dxa"/>
            <w:vMerge w:val="continue"/>
          </w:tcPr>
          <w:p>
            <w:pPr>
              <w:rPr>
                <w:rFonts w:ascii="方正仿宋简体" w:hAnsi="方正仿宋简体" w:eastAsia="方正仿宋简体" w:cs="方正仿宋简体"/>
                <w:sz w:val="21"/>
                <w:szCs w:val="21"/>
              </w:rPr>
            </w:pPr>
          </w:p>
        </w:tc>
        <w:tc>
          <w:tcPr>
            <w:tcW w:w="2504"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250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0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0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503" w:type="dxa"/>
            <w:vAlign w:val="center"/>
          </w:tcPr>
          <w:p>
            <w:pPr>
              <w:pStyle w:val="20"/>
              <w:rPr>
                <w:rFonts w:ascii="方正仿宋简体" w:hAnsi="方正仿宋简体" w:eastAsia="方正仿宋简体" w:cs="方正仿宋简体"/>
                <w:szCs w:val="21"/>
              </w:rPr>
            </w:pPr>
          </w:p>
        </w:tc>
        <w:tc>
          <w:tcPr>
            <w:tcW w:w="2503" w:type="dxa"/>
            <w:vAlign w:val="center"/>
          </w:tcPr>
          <w:p>
            <w:pPr>
              <w:pStyle w:val="19"/>
              <w:rPr>
                <w:rFonts w:ascii="方正仿宋简体" w:hAnsi="方正仿宋简体" w:eastAsia="方正仿宋简体" w:cs="方正仿宋简体"/>
                <w:szCs w:val="21"/>
              </w:rPr>
            </w:pPr>
          </w:p>
        </w:tc>
        <w:tc>
          <w:tcPr>
            <w:tcW w:w="2504" w:type="dxa"/>
            <w:vAlign w:val="center"/>
          </w:tcPr>
          <w:p>
            <w:pPr>
              <w:pStyle w:val="19"/>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2" w:type="dxa"/>
            <w:vAlign w:val="center"/>
          </w:tcPr>
          <w:p>
            <w:pPr>
              <w:pStyle w:val="18"/>
              <w:rPr>
                <w:rFonts w:ascii="方正仿宋简体" w:hAnsi="方正仿宋简体" w:eastAsia="方正仿宋简体" w:cs="方正仿宋简体"/>
                <w:szCs w:val="21"/>
              </w:rPr>
            </w:pPr>
          </w:p>
        </w:tc>
        <w:tc>
          <w:tcPr>
            <w:tcW w:w="2504" w:type="dxa"/>
            <w:vAlign w:val="center"/>
          </w:tcPr>
          <w:p>
            <w:pPr>
              <w:pStyle w:val="18"/>
              <w:rPr>
                <w:rFonts w:ascii="方正仿宋简体" w:hAnsi="方正仿宋简体" w:eastAsia="方正仿宋简体" w:cs="方正仿宋简体"/>
                <w:szCs w:val="21"/>
              </w:rPr>
            </w:pPr>
          </w:p>
        </w:tc>
      </w:tr>
    </w:tbl>
    <w:p>
      <w:pPr>
        <w:ind w:firstLine="420"/>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szCs w:val="21"/>
        </w:rPr>
        <w:t>注：无政府基金预算财政拨款预算，空表列示。</w:t>
      </w:r>
    </w:p>
    <w:p>
      <w:pPr>
        <w:outlineLvl w:val="4"/>
        <w:rPr>
          <w:rFonts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附表1-8</w:t>
      </w:r>
    </w:p>
    <w:p>
      <w:pPr>
        <w:jc w:val="center"/>
        <w:outlineLvl w:val="4"/>
        <w:rPr>
          <w:rFonts w:asciiTheme="minorEastAsia" w:hAnsiTheme="minorEastAsia" w:eastAsiaTheme="minorEastAsia" w:cstheme="minorEastAsia"/>
          <w:sz w:val="44"/>
          <w:szCs w:val="44"/>
        </w:rPr>
      </w:pPr>
      <w:r>
        <w:rPr>
          <w:rFonts w:hint="eastAsia" w:asciiTheme="minorEastAsia" w:hAnsiTheme="minorEastAsia" w:eastAsiaTheme="minorEastAsia" w:cstheme="minorEastAsia"/>
          <w:color w:val="000000"/>
          <w:sz w:val="44"/>
          <w:szCs w:val="44"/>
        </w:rPr>
        <w:t>单位预算国有资本经营预算财政拨款支出表</w:t>
      </w:r>
    </w:p>
    <w:tbl>
      <w:tblPr>
        <w:tblStyle w:val="10"/>
        <w:tblW w:w="15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3"/>
        <w:gridCol w:w="2513"/>
        <w:gridCol w:w="2514"/>
        <w:gridCol w:w="2513"/>
        <w:gridCol w:w="2512"/>
        <w:gridCol w:w="2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7540"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656001遵化市城市管理综合行政执法局本级</w:t>
            </w:r>
          </w:p>
        </w:tc>
        <w:tc>
          <w:tcPr>
            <w:tcW w:w="251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26"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251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027"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251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12"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基本支出</w:t>
            </w:r>
          </w:p>
        </w:tc>
        <w:tc>
          <w:tcPr>
            <w:tcW w:w="2514"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2513" w:type="dxa"/>
            <w:vMerge w:val="continue"/>
          </w:tcPr>
          <w:p>
            <w:pPr>
              <w:rPr>
                <w:rFonts w:ascii="方正仿宋简体" w:hAnsi="方正仿宋简体" w:eastAsia="方正仿宋简体" w:cs="方正仿宋简体"/>
                <w:sz w:val="21"/>
                <w:szCs w:val="21"/>
              </w:rPr>
            </w:pPr>
          </w:p>
        </w:tc>
        <w:tc>
          <w:tcPr>
            <w:tcW w:w="251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科目编码</w:t>
            </w:r>
          </w:p>
        </w:tc>
        <w:tc>
          <w:tcPr>
            <w:tcW w:w="251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2513" w:type="dxa"/>
            <w:vMerge w:val="continue"/>
          </w:tcPr>
          <w:p>
            <w:pPr>
              <w:rPr>
                <w:rFonts w:ascii="方正仿宋简体" w:hAnsi="方正仿宋简体" w:eastAsia="方正仿宋简体" w:cs="方正仿宋简体"/>
                <w:sz w:val="21"/>
                <w:szCs w:val="21"/>
              </w:rPr>
            </w:pPr>
          </w:p>
        </w:tc>
        <w:tc>
          <w:tcPr>
            <w:tcW w:w="2512" w:type="dxa"/>
            <w:vMerge w:val="continue"/>
          </w:tcPr>
          <w:p>
            <w:pPr>
              <w:rPr>
                <w:rFonts w:ascii="方正仿宋简体" w:hAnsi="方正仿宋简体" w:eastAsia="方正仿宋简体" w:cs="方正仿宋简体"/>
                <w:sz w:val="21"/>
                <w:szCs w:val="21"/>
              </w:rPr>
            </w:pPr>
          </w:p>
        </w:tc>
        <w:tc>
          <w:tcPr>
            <w:tcW w:w="2514"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251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251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251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1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1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1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2513" w:type="dxa"/>
            <w:vAlign w:val="center"/>
          </w:tcPr>
          <w:p>
            <w:pPr>
              <w:pStyle w:val="20"/>
              <w:rPr>
                <w:rFonts w:ascii="方正仿宋简体" w:hAnsi="方正仿宋简体" w:eastAsia="方正仿宋简体" w:cs="方正仿宋简体"/>
                <w:szCs w:val="21"/>
              </w:rPr>
            </w:pPr>
          </w:p>
        </w:tc>
        <w:tc>
          <w:tcPr>
            <w:tcW w:w="2513" w:type="dxa"/>
            <w:vAlign w:val="center"/>
          </w:tcPr>
          <w:p>
            <w:pPr>
              <w:pStyle w:val="19"/>
              <w:rPr>
                <w:rFonts w:ascii="方正仿宋简体" w:hAnsi="方正仿宋简体" w:eastAsia="方正仿宋简体" w:cs="方正仿宋简体"/>
                <w:szCs w:val="21"/>
              </w:rPr>
            </w:pPr>
          </w:p>
        </w:tc>
        <w:tc>
          <w:tcPr>
            <w:tcW w:w="2514" w:type="dxa"/>
            <w:vAlign w:val="center"/>
          </w:tcPr>
          <w:p>
            <w:pPr>
              <w:pStyle w:val="19"/>
              <w:rPr>
                <w:rFonts w:ascii="方正仿宋简体" w:hAnsi="方正仿宋简体" w:eastAsia="方正仿宋简体" w:cs="方正仿宋简体"/>
                <w:szCs w:val="21"/>
              </w:rPr>
            </w:pPr>
          </w:p>
        </w:tc>
        <w:tc>
          <w:tcPr>
            <w:tcW w:w="2513" w:type="dxa"/>
            <w:vAlign w:val="center"/>
          </w:tcPr>
          <w:p>
            <w:pPr>
              <w:pStyle w:val="18"/>
              <w:rPr>
                <w:rFonts w:ascii="方正仿宋简体" w:hAnsi="方正仿宋简体" w:eastAsia="方正仿宋简体" w:cs="方正仿宋简体"/>
                <w:szCs w:val="21"/>
              </w:rPr>
            </w:pPr>
          </w:p>
        </w:tc>
        <w:tc>
          <w:tcPr>
            <w:tcW w:w="2512" w:type="dxa"/>
            <w:vAlign w:val="center"/>
          </w:tcPr>
          <w:p>
            <w:pPr>
              <w:pStyle w:val="18"/>
              <w:rPr>
                <w:rFonts w:ascii="方正仿宋简体" w:hAnsi="方正仿宋简体" w:eastAsia="方正仿宋简体" w:cs="方正仿宋简体"/>
                <w:szCs w:val="21"/>
              </w:rPr>
            </w:pPr>
          </w:p>
        </w:tc>
        <w:tc>
          <w:tcPr>
            <w:tcW w:w="2514" w:type="dxa"/>
            <w:vAlign w:val="center"/>
          </w:tcPr>
          <w:p>
            <w:pPr>
              <w:pStyle w:val="18"/>
              <w:rPr>
                <w:rFonts w:ascii="方正仿宋简体" w:hAnsi="方正仿宋简体" w:eastAsia="方正仿宋简体" w:cs="方正仿宋简体"/>
                <w:szCs w:val="21"/>
              </w:rPr>
            </w:pPr>
          </w:p>
        </w:tc>
      </w:tr>
    </w:tbl>
    <w:p>
      <w:pPr>
        <w:ind w:firstLine="420"/>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szCs w:val="21"/>
        </w:rPr>
        <w:t>注：无国有资本经营预算财政拨款预算，空表列示。</w:t>
      </w:r>
    </w:p>
    <w:p>
      <w:pPr>
        <w:outlineLvl w:val="4"/>
        <w:rPr>
          <w:rFonts w:ascii="方正仿宋简体" w:hAnsi="方正仿宋简体" w:eastAsia="方正仿宋简体" w:cs="方正仿宋简体"/>
          <w:color w:val="000000"/>
          <w:sz w:val="21"/>
          <w:szCs w:val="21"/>
          <w:lang w:eastAsia="zh-CN"/>
        </w:rPr>
      </w:pPr>
      <w:r>
        <w:rPr>
          <w:rFonts w:hint="eastAsia" w:ascii="方正仿宋简体" w:hAnsi="方正仿宋简体" w:eastAsia="方正仿宋简体" w:cs="方正仿宋简体"/>
          <w:color w:val="000000"/>
          <w:sz w:val="21"/>
          <w:szCs w:val="21"/>
          <w:lang w:eastAsia="zh-CN"/>
        </w:rPr>
        <w:t>附表1-9</w:t>
      </w:r>
    </w:p>
    <w:p>
      <w:pPr>
        <w:jc w:val="center"/>
        <w:outlineLvl w:val="4"/>
        <w:rPr>
          <w:rFonts w:asciiTheme="minorEastAsia" w:hAnsiTheme="minorEastAsia" w:eastAsiaTheme="minorEastAsia" w:cstheme="minorEastAsia"/>
          <w:sz w:val="44"/>
          <w:szCs w:val="44"/>
        </w:rPr>
      </w:pPr>
      <w:r>
        <w:rPr>
          <w:rFonts w:hint="eastAsia" w:asciiTheme="minorEastAsia" w:hAnsiTheme="minorEastAsia" w:eastAsiaTheme="minorEastAsia" w:cstheme="minorEastAsia"/>
          <w:color w:val="000000"/>
          <w:sz w:val="44"/>
          <w:szCs w:val="44"/>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4736"/>
        <w:gridCol w:w="1410"/>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656001遵化市城市管理综合行政执法局本级</w:t>
            </w:r>
          </w:p>
        </w:tc>
        <w:tc>
          <w:tcPr>
            <w:tcW w:w="250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06"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4736"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  目</w:t>
            </w:r>
          </w:p>
        </w:tc>
        <w:tc>
          <w:tcPr>
            <w:tcW w:w="8919" w:type="dxa"/>
            <w:gridSpan w:val="4"/>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61" w:type="dxa"/>
            <w:vMerge w:val="continue"/>
          </w:tcPr>
          <w:p>
            <w:pPr>
              <w:rPr>
                <w:rFonts w:ascii="方正仿宋简体" w:hAnsi="方正仿宋简体" w:eastAsia="方正仿宋简体" w:cs="方正仿宋简体"/>
                <w:sz w:val="21"/>
                <w:szCs w:val="21"/>
              </w:rPr>
            </w:pPr>
          </w:p>
        </w:tc>
        <w:tc>
          <w:tcPr>
            <w:tcW w:w="4736" w:type="dxa"/>
            <w:vMerge w:val="continue"/>
          </w:tcPr>
          <w:p>
            <w:pPr>
              <w:rPr>
                <w:rFonts w:ascii="方正仿宋简体" w:hAnsi="方正仿宋简体" w:eastAsia="方正仿宋简体" w:cs="方正仿宋简体"/>
                <w:sz w:val="21"/>
                <w:szCs w:val="21"/>
              </w:rPr>
            </w:pPr>
          </w:p>
        </w:tc>
        <w:tc>
          <w:tcPr>
            <w:tcW w:w="141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一般公共预算              财政拨款</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政府性基金                  预算拨款</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361"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473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141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4736"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1410" w:type="dxa"/>
            <w:vAlign w:val="center"/>
          </w:tcPr>
          <w:p>
            <w:pPr>
              <w:pStyle w:val="22"/>
              <w:rPr>
                <w:rFonts w:hint="default" w:ascii="方正仿宋简体" w:hAnsi="方正仿宋简体" w:eastAsia="方正仿宋简体" w:cs="方正仿宋简体"/>
                <w:b w:val="0"/>
                <w:szCs w:val="21"/>
                <w:lang w:val="en-US" w:eastAsia="zh-CN"/>
              </w:rPr>
            </w:pPr>
            <w:r>
              <w:rPr>
                <w:rFonts w:hint="eastAsia" w:ascii="方正仿宋简体" w:hAnsi="方正仿宋简体" w:eastAsia="方正仿宋简体" w:cs="方正仿宋简体"/>
                <w:b w:val="0"/>
                <w:szCs w:val="21"/>
                <w:lang w:val="en-US" w:eastAsia="zh-CN"/>
              </w:rPr>
              <w:t>4.17</w:t>
            </w:r>
          </w:p>
        </w:tc>
        <w:tc>
          <w:tcPr>
            <w:tcW w:w="2503" w:type="dxa"/>
            <w:vAlign w:val="center"/>
          </w:tcPr>
          <w:p>
            <w:pPr>
              <w:pStyle w:val="22"/>
              <w:rPr>
                <w:rFonts w:hint="eastAsia" w:ascii="方正仿宋简体" w:hAnsi="方正仿宋简体" w:eastAsia="方正仿宋简体" w:cs="方正仿宋简体"/>
                <w:b w:val="0"/>
                <w:szCs w:val="21"/>
                <w:lang w:val="en-US" w:eastAsia="zh-CN"/>
              </w:rPr>
            </w:pPr>
            <w:r>
              <w:rPr>
                <w:rFonts w:hint="eastAsia" w:ascii="方正仿宋简体" w:hAnsi="方正仿宋简体" w:eastAsia="方正仿宋简体" w:cs="方正仿宋简体"/>
                <w:b w:val="0"/>
                <w:szCs w:val="21"/>
                <w:lang w:val="en-US" w:eastAsia="zh-CN"/>
              </w:rPr>
              <w:t>4.17</w:t>
            </w:r>
          </w:p>
          <w:p>
            <w:pPr>
              <w:pStyle w:val="22"/>
              <w:rPr>
                <w:rFonts w:hint="default" w:ascii="方正仿宋简体" w:hAnsi="方正仿宋简体" w:eastAsia="方正仿宋简体" w:cs="方正仿宋简体"/>
                <w:b w:val="0"/>
                <w:szCs w:val="21"/>
                <w:lang w:val="en-US" w:eastAsia="zh-CN"/>
              </w:rPr>
            </w:pPr>
          </w:p>
        </w:tc>
        <w:tc>
          <w:tcPr>
            <w:tcW w:w="2503" w:type="dxa"/>
            <w:vAlign w:val="center"/>
          </w:tcPr>
          <w:p>
            <w:pPr>
              <w:pStyle w:val="22"/>
              <w:rPr>
                <w:rFonts w:ascii="方正仿宋简体" w:hAnsi="方正仿宋简体" w:eastAsia="方正仿宋简体" w:cs="方正仿宋简体"/>
                <w:b w:val="0"/>
                <w:szCs w:val="21"/>
              </w:rPr>
            </w:pPr>
          </w:p>
        </w:tc>
        <w:tc>
          <w:tcPr>
            <w:tcW w:w="2503" w:type="dxa"/>
            <w:vAlign w:val="center"/>
          </w:tcPr>
          <w:p>
            <w:pPr>
              <w:pStyle w:val="22"/>
              <w:rPr>
                <w:rFonts w:ascii="方正仿宋简体" w:hAnsi="方正仿宋简体" w:eastAsia="方正仿宋简体" w:cs="方正仿宋简体"/>
                <w:b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473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“三公”经费小计</w:t>
            </w:r>
          </w:p>
        </w:tc>
        <w:tc>
          <w:tcPr>
            <w:tcW w:w="14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4.17</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4.17</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473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一、因公出国（境）费</w:t>
            </w:r>
          </w:p>
        </w:tc>
        <w:tc>
          <w:tcPr>
            <w:tcW w:w="1410"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473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其中：教学科研人员因公出国（境）费</w:t>
            </w:r>
          </w:p>
        </w:tc>
        <w:tc>
          <w:tcPr>
            <w:tcW w:w="1410"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473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其他因公出国（境）费</w:t>
            </w:r>
          </w:p>
        </w:tc>
        <w:tc>
          <w:tcPr>
            <w:tcW w:w="1410"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473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二、公务用车购置及运维费</w:t>
            </w:r>
          </w:p>
        </w:tc>
        <w:tc>
          <w:tcPr>
            <w:tcW w:w="14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4.10</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4.10</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473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其中：公务用车购置费</w:t>
            </w:r>
          </w:p>
        </w:tc>
        <w:tc>
          <w:tcPr>
            <w:tcW w:w="1410"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473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公务用车运行维护费</w:t>
            </w:r>
          </w:p>
        </w:tc>
        <w:tc>
          <w:tcPr>
            <w:tcW w:w="14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4.10</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4.10</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61"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473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三、公务接待费</w:t>
            </w:r>
          </w:p>
        </w:tc>
        <w:tc>
          <w:tcPr>
            <w:tcW w:w="14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0.07</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0.07</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bl>
    <w:p>
      <w:pPr>
        <w:sectPr>
          <w:pgSz w:w="16840" w:h="11900" w:orient="landscape"/>
          <w:pgMar w:top="1361" w:right="1020" w:bottom="1361" w:left="1020" w:header="720" w:footer="720" w:gutter="0"/>
          <w:pgNumType w:fmt="decimal"/>
          <w:cols w:space="720" w:num="1"/>
        </w:sectPr>
      </w:pP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遵化市城市管理综合行政执法局本级</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2023年单位预算信息公开情况说明</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按照《预算法》、《地方预决算公开操作规程》和《关于进一步推进预算公开工作的实施意见》规定，现将遵化市城市管理综合行政执法局本级2023年单位预算公开如下：</w:t>
      </w: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一、单位职责及机构设置情况</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(一）单位职责：</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根据《遵化市城市管理综合行政执法局职能配置、内设机构和人员编制规定》，遵化市城市管理综合行政执法局的主要职责是：</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贯彻落实党中央和省委、市委关于城市管理综合行政执法、城市管理工作的方针政策和决策部署，坚持和加强党对城市管理综合行政执法、城市管理工作的集中统一领导。主要职责是：</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1、贯彻执行国家、省、市城市管理综合行政执法和城市管理工作的方针政策、法律法规和规章；拟订全市城市管理综合行政执法和城市管理有关规范性文件和政策；贯彻执行行业标准及规范。</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2、参与城市总体规划、专项建设规划的编制；拟订全市城市管理中长期规划和年度计划；统筹城市管理和综合行政执法相关行业的统计工作。</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3、负责市容环境卫生、市政公用设施、园林绿化景观、城市供水、城市排水、城市公交、城市亮化照明、户外广告牌匾、数字化城管、城市防汛的年度计划、资金使用、日常管理、工程建设等工作。</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指导、协调、考核全市市容环境卫生、市政公用设施、园林绿化景观、城市供水、城市排水、城市亮化照明、户外广告牌匾、数字化城管等城市管理和城市管理综合行政执法工作；组织、协调、查处跨区域及重大复杂违法案件。</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6、负责开展城市管理综合行政执法方面的对外交流与合作。</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7、负责管理市绿化委员会城市绿化办公室。</w:t>
      </w:r>
    </w:p>
    <w:p>
      <w:pPr>
        <w:pStyle w:val="32"/>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8、完成市委、市政府交办的其他任务。</w:t>
      </w:r>
    </w:p>
    <w:p>
      <w:pPr>
        <w:adjustRightInd w:val="0"/>
        <w:spacing w:line="570" w:lineRule="exact"/>
        <w:ind w:firstLine="640" w:firstLineChars="20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（二）机构设置：</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市城市管理综合行政执法局设下列内设机构：</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综合办公室</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1、综合协调工作。负责协调局机关的日常政务，负责全局政务信息反馈、对外宣传、综合性文件的起草工作；拟订局机关行政管理工作制度；牵头负责局政务信息公开工作；负责文书档案、值班、保密、机关安全保卫工作和应急工作；负责办公用品、办公设施、车辆管理、文书处理、印章使用、机关后勤保障服务等行政事务工作；负责重要会议、重大活动的组织工作；负责局机关国有资产使用管理；负责机关网站、网上办公系统维护管理；负责局机关及直属单位的党群工作；负责来信来访事宜办理工作；负责机关离退休人员的管理服务工作。</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2、干部人事工作。负责全局人事、劳资和机构编制工作；按干部管理权限，负责干部管理工作；负责局机关科级及以下人员和局属单位的考核工作；负责专业技术干部职称评定和工人技术等级评定工作；负责组织指导全局职工培训和继续教育工作；负责局工作人员出国（境）管理工作；负责按照干部管理权限管理人事档案。</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3、财务审计工作。负责局机关会计核算和财务管理工作；负责局机关部门预算的编制和执行；负责局机关国有资产的管理；负责局机关政府采购工作；负责局属单位财务监督和内部审计工作；负责局机关及局属各单位各项收费管理情况的监督；监督局机关及局属各单位国有资本运营情况和国有资产情况；指导局属单位各类经济指标的制定及运行情况的监督工作。</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4、发展规划工作。参与拟订城市发展规划、行业专项规划；牵头拟定全市城市管理和综合行政执法工作发展战略、中长期规划；组织编制城建项目的财政资金年度使用计划；负责城市管理和综合行政执法行业统计工作。负责城市管理综合行政执法方面的对外交流与合作。负责组织协调局“一港双城”相关工作。</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5、督导考评工作。负责全市数字化城市管理工作；拟订城市管理和综合行政执法考评指标体系和考评办法;开展城市管理和综合行政执法的考评工作，并依据考评结果落实奖惩;制定局系统督查督办工作计划；负责对局系统重点项目、重点工作、上级督办事项进行督导和检查；负责局系统人大代表建议和政协提案的办理。</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 xml:space="preserve">6、政策法规工作。负责城市管理和综合行政执法方面规范性文件起草和修订的组织、申报和协调工作；负责全市城市管理和综合行政执法系统的行政复议工作；负责全市城市管理和综合行政执法系统案卷评查工作；负责局系统依法行政、法治政府建设工作；负责局系统法制教育宣传工作；负责局机关重大行政执法决定和行政决策的合法性审查工作；负责局机关行政应诉的协调工作;负责局机关起草规范性文件的法制初审工作。 </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7、安全管理工作。组织、协调局机关相关科室及局属各单位按照“一岗双责”要求贯彻落实城市管理行业安全生产政策、规章和技术标准；组织对局属各单位的安全生产进行监督检查；组织局机关及局属单位内部治安管理、安全保卫和消防安全工作；依法组织或参与有关事故调查处理；牵头负责社会治安综合治理工作。</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8、执法协调工作。指导全市综合行政执法工作；开展全市综合行政执法工作的监督、检查和考核；指导全市综合行政执法系统开展执法业务的培训工作；负责局属执法单位执法装备的计划申报和监管；负责局属和委托执法单位执法人员执法证件的审核工作；负责上级转办、交办执法案件的督办工作；负责组织全市城市管理专项整治工作；负责组织、协调、查处跨区域及重大复杂违法案件。</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综合业务科（挂城市防汛办公室牌子）</w:t>
      </w:r>
    </w:p>
    <w:p>
      <w:pPr>
        <w:adjustRightIn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市政管理工作。指导、考核全市市政道路、桥梁建设维护工作；起草并组织实施市政道路桥梁方面规范性文件；参与制定市政道路、桥梁行业专项规划和建设及维护管理的年度计划工作，核定设施量；负责全市市政建设企业资质事后监督检查工作；负责全市优质工程文明工地的评选工作和</w:t>
      </w:r>
      <w:r>
        <w:rPr>
          <w:rFonts w:hint="eastAsia" w:ascii="方正仿宋简体" w:hAnsi="方正仿宋简体" w:eastAsia="方正仿宋简体" w:cs="方正仿宋简体"/>
          <w:sz w:val="32"/>
          <w:szCs w:val="32"/>
          <w:lang w:eastAsia="zh-CN"/>
        </w:rPr>
        <w:t>市级</w:t>
      </w:r>
      <w:r>
        <w:rPr>
          <w:rFonts w:hint="eastAsia" w:ascii="方正仿宋简体" w:hAnsi="方正仿宋简体" w:eastAsia="方正仿宋简体" w:cs="方正仿宋简体"/>
          <w:sz w:val="32"/>
          <w:szCs w:val="32"/>
        </w:rPr>
        <w:t>优质工程文明工地的推荐工作；组织市政道路桥梁以及与道路同时建设的地下管线管廊工程（不含热力燃气）项目初步设计和施工方案的初步审查，负责竣工验收及备案，监督项目移交，协调项目前期和施工进度，监督管理扬尘治理工作，指导质量管理、安全生产、文明施工工作；负责全局科学技术管理及新技术、新材料、新工艺的推广使用工作。</w:t>
      </w:r>
    </w:p>
    <w:p>
      <w:pPr>
        <w:adjustRightIn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园林景观工作。指导、考核全市城市园林绿化、城市亮化照明、户外广告牌匾工作；起草并组织实施城市园林绿化、城市亮化照明、户外广告牌匾方面规范性文件；参与制定城市园林绿化、城市亮化照明、户外广告牌匾行业专项规划和建设及维护管理的年度计划工作，核定任务量；组织城市园林绿化、城市亮化照明工程项目初步设计和施工方案的初步审查，负责竣工验收及备案，监督项目移交工作，协调项目前期和施工进度，监督管理扬尘治理工作，指导质量管理、安全生产、文明施工工作；负责制定户外广告牌匾设置的工作目标，监督执行并考核。</w:t>
      </w:r>
    </w:p>
    <w:p>
      <w:pPr>
        <w:adjustRightInd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环卫管理工作。指导、考核全市环境卫生工作；起草并组织实施环境卫生方面规范性文件；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安全生产、文明施工工作；负责对环卫配套设备、设施管理和运行情况的监督检查；负责对生活垃圾转运处置进行监督检查;负责对市中心区餐厨垃圾处置环节进行监督；组织市中心区城市道路冬季除雪工作。</w:t>
      </w:r>
    </w:p>
    <w:p>
      <w:pPr>
        <w:adjustRightInd w:val="0"/>
        <w:spacing w:line="570" w:lineRule="exact"/>
        <w:ind w:firstLine="640" w:firstLineChars="200"/>
        <w:rPr>
          <w:rFonts w:ascii="方正仿宋简体" w:hAnsi="方正仿宋简体" w:eastAsia="方正仿宋简体" w:cs="方正仿宋简体"/>
          <w:color w:val="000000"/>
          <w:sz w:val="32"/>
        </w:rPr>
      </w:pPr>
      <w:r>
        <w:rPr>
          <w:rFonts w:hint="eastAsia" w:ascii="方正仿宋简体" w:hAnsi="方正仿宋简体" w:eastAsia="方正仿宋简体" w:cs="方正仿宋简体"/>
          <w:sz w:val="32"/>
          <w:szCs w:val="32"/>
        </w:rPr>
        <w:t>4、公用事业工作。指导、考核全市城市供水、排水、再生水工作；起草并组织实施供水、排水、再生水方面规范性文件；参与制定供水、排水、再生水行业专项规划和建设及维护管理的年度计划工作；组织供水、排水、再生水、公交工程项目初步设计和施工方案的初步审查，负责竣工验收及备案，监督项目移交工作，协调项目前期和施工进度，监督管理扬尘治理工作，指导质量管理、安全生产、文明施工工作；负责供水、排水、再生水、公交等公用事业单位公共服务工作的指导、协调、检查和考核；负责谋划城区涉及使用补助资金的防汛工程，负责防汛工程的补助资金使用、工程进度等管理工作；开展防汛宣传教育，组织汛期检查，做好城区防汛工作；负责市城市防汛办公室日常工作</w:t>
      </w:r>
      <w:r>
        <w:rPr>
          <w:rFonts w:hint="eastAsia" w:ascii="方正仿宋简体" w:hAnsi="方正仿宋简体" w:eastAsia="方正仿宋简体" w:cs="方正仿宋简体"/>
          <w:bCs/>
          <w:sz w:val="32"/>
          <w:szCs w:val="32"/>
        </w:rPr>
        <w:t>。</w:t>
      </w:r>
    </w:p>
    <w:p>
      <w:pPr>
        <w:widowControl w:val="0"/>
        <w:spacing w:line="570" w:lineRule="exact"/>
        <w:ind w:firstLine="560"/>
        <w:rPr>
          <w:rFonts w:ascii="方正楷体简体" w:hAnsi="方正楷体简体" w:eastAsia="方正楷体简体" w:cs="方正楷体简体"/>
          <w:kern w:val="2"/>
          <w:sz w:val="32"/>
          <w:szCs w:val="32"/>
          <w:lang w:eastAsia="zh-CN"/>
        </w:rPr>
      </w:pPr>
    </w:p>
    <w:p>
      <w:pPr>
        <w:jc w:val="center"/>
        <w:rPr>
          <w:rFonts w:ascii="方正小标宋_GBK" w:hAnsi="方正小标宋_GBK" w:eastAsia="方正小标宋_GBK" w:cs="方正小标宋_GBK"/>
          <w:color w:val="000000"/>
          <w:sz w:val="32"/>
        </w:rPr>
      </w:pPr>
    </w:p>
    <w:p>
      <w:pPr>
        <w:jc w:val="center"/>
        <w:rPr>
          <w:rFonts w:ascii="方正小标宋_GBK" w:hAnsi="方正小标宋_GBK" w:eastAsia="方正小标宋_GBK" w:cs="方正小标宋_GBK"/>
          <w:color w:val="000000"/>
          <w:sz w:val="32"/>
        </w:rPr>
      </w:pPr>
    </w:p>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单位名称</w:t>
            </w:r>
          </w:p>
        </w:tc>
        <w:tc>
          <w:tcPr>
            <w:tcW w:w="3754"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单位性质</w:t>
            </w:r>
          </w:p>
        </w:tc>
        <w:tc>
          <w:tcPr>
            <w:tcW w:w="3754"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单位规格</w:t>
            </w:r>
          </w:p>
        </w:tc>
        <w:tc>
          <w:tcPr>
            <w:tcW w:w="3754"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遵化市城市管理综合行政执法局本级</w:t>
            </w:r>
          </w:p>
        </w:tc>
        <w:tc>
          <w:tcPr>
            <w:tcW w:w="3754"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754"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754"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widowControl w:val="0"/>
        <w:spacing w:line="56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二、单位预算安排的总体情况</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按照预算管理有关规定，目前我省单位预算的编制实行综合预算管理，即全部收入和支出都反映在预算中。</w:t>
      </w:r>
    </w:p>
    <w:p>
      <w:pPr>
        <w:pStyle w:val="33"/>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按照预算管理有关规定，目前我局预算的编制实行综合预算制度，即全部收入和支出都反映在预算中。</w:t>
      </w:r>
    </w:p>
    <w:p>
      <w:pPr>
        <w:pStyle w:val="33"/>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（一）收入说明</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遵化市城市管理综合行政执法局本级2023年预算收入一般公用预算拨款9085.55万元，其中：一般公共预算收入</w:t>
      </w:r>
      <w:r>
        <w:rPr>
          <w:rFonts w:hint="eastAsia" w:ascii="方正仿宋简体" w:hAnsi="方正仿宋简体" w:eastAsia="方正仿宋简体" w:cs="方正仿宋简体"/>
          <w:sz w:val="32"/>
          <w:szCs w:val="32"/>
          <w:lang w:eastAsia="zh-CN"/>
        </w:rPr>
        <w:t>9085.55</w:t>
      </w:r>
      <w:r>
        <w:rPr>
          <w:rFonts w:hint="eastAsia" w:ascii="方正仿宋简体" w:hAnsi="方正仿宋简体" w:eastAsia="方正仿宋简体" w:cs="方正仿宋简体"/>
          <w:sz w:val="32"/>
          <w:szCs w:val="32"/>
        </w:rPr>
        <w:t>万元，基金预算收入0万元，财政专户核拨收入0万元，其他来源收入0万元。</w:t>
      </w:r>
    </w:p>
    <w:p>
      <w:pPr>
        <w:pStyle w:val="33"/>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（二）支出说明</w:t>
      </w:r>
    </w:p>
    <w:p>
      <w:pPr>
        <w:pStyle w:val="33"/>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遵化市城市管理综合行政执法局本级2023年预算支出9085.55万元，基本支出2755.15万元，包括人员经费</w:t>
      </w:r>
      <w:r>
        <w:rPr>
          <w:rFonts w:hint="eastAsia" w:ascii="方正仿宋简体" w:hAnsi="方正仿宋简体" w:eastAsia="方正仿宋简体" w:cs="方正仿宋简体"/>
          <w:sz w:val="32"/>
          <w:szCs w:val="32"/>
          <w:lang w:eastAsia="zh-CN"/>
        </w:rPr>
        <w:t>2698.37</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eastAsia="zh-CN"/>
        </w:rPr>
        <w:t>56.78</w:t>
      </w:r>
      <w:r>
        <w:rPr>
          <w:rFonts w:hint="eastAsia" w:ascii="方正仿宋简体" w:hAnsi="方正仿宋简体" w:eastAsia="方正仿宋简体" w:cs="方正仿宋简体"/>
          <w:sz w:val="32"/>
          <w:szCs w:val="32"/>
        </w:rPr>
        <w:t>万元；基本支出占总支出的30.32%；项目支出6330.40万元，</w:t>
      </w:r>
      <w:r>
        <w:rPr>
          <w:rFonts w:hint="eastAsia" w:ascii="方正仿宋简体" w:hAnsi="方正仿宋简体" w:eastAsia="方正仿宋简体" w:cs="方正仿宋简体"/>
          <w:sz w:val="32"/>
          <w:szCs w:val="32"/>
          <w:lang w:eastAsia="zh-CN"/>
        </w:rPr>
        <w:t>主要为城区污水处理服务费、有机固废处置PPP项目服务费等，</w:t>
      </w:r>
      <w:r>
        <w:rPr>
          <w:rFonts w:hint="eastAsia" w:ascii="方正仿宋简体" w:hAnsi="方正仿宋简体" w:eastAsia="方正仿宋简体" w:cs="方正仿宋简体"/>
          <w:sz w:val="32"/>
          <w:szCs w:val="32"/>
        </w:rPr>
        <w:t>占总支出的69.68%。</w:t>
      </w:r>
    </w:p>
    <w:p>
      <w:pPr>
        <w:pStyle w:val="33"/>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（三）与上年增减情况</w:t>
      </w:r>
    </w:p>
    <w:p>
      <w:pPr>
        <w:widowControl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2023年预算收支安排9085.55万元，2022年预算收支安排13398.8万元，较上年预算减少4313.25万元，</w:t>
      </w:r>
      <w:r>
        <w:rPr>
          <w:rFonts w:hint="eastAsia" w:ascii="方正仿宋简体" w:hAnsi="方正仿宋简体" w:eastAsia="方正仿宋简体" w:cs="方正仿宋简体"/>
          <w:sz w:val="32"/>
          <w:szCs w:val="32"/>
          <w:lang w:eastAsia="zh-CN"/>
        </w:rPr>
        <w:t>其中：人员类增加550.19万元，</w:t>
      </w:r>
      <w:r>
        <w:rPr>
          <w:rFonts w:hint="eastAsia" w:ascii="方正仿宋简体" w:hAnsi="方正仿宋简体" w:eastAsia="方正仿宋简体" w:cs="方正仿宋简体"/>
          <w:sz w:val="32"/>
          <w:szCs w:val="32"/>
        </w:rPr>
        <w:t>原因是人员增加；日常公用经费</w:t>
      </w:r>
      <w:r>
        <w:rPr>
          <w:rFonts w:hint="eastAsia" w:ascii="方正仿宋简体" w:hAnsi="方正仿宋简体" w:eastAsia="方正仿宋简体" w:cs="方正仿宋简体"/>
          <w:sz w:val="32"/>
          <w:szCs w:val="32"/>
          <w:lang w:eastAsia="zh-CN"/>
        </w:rPr>
        <w:t>增加6.16</w:t>
      </w:r>
      <w:r>
        <w:rPr>
          <w:rFonts w:hint="eastAsia" w:ascii="方正仿宋简体" w:hAnsi="方正仿宋简体" w:eastAsia="方正仿宋简体" w:cs="方正仿宋简体"/>
          <w:sz w:val="32"/>
          <w:szCs w:val="32"/>
        </w:rPr>
        <w:t>万元，原因是人员增加；项目支出减少</w:t>
      </w:r>
      <w:r>
        <w:rPr>
          <w:rFonts w:hint="eastAsia" w:ascii="方正仿宋简体" w:hAnsi="方正仿宋简体" w:eastAsia="方正仿宋简体" w:cs="方正仿宋简体"/>
          <w:sz w:val="32"/>
          <w:szCs w:val="32"/>
          <w:lang w:eastAsia="zh-CN"/>
        </w:rPr>
        <w:t>4869.60</w:t>
      </w:r>
      <w:r>
        <w:rPr>
          <w:rFonts w:hint="eastAsia" w:ascii="方正仿宋简体" w:hAnsi="方正仿宋简体" w:eastAsia="方正仿宋简体" w:cs="方正仿宋简体"/>
          <w:sz w:val="32"/>
          <w:szCs w:val="32"/>
        </w:rPr>
        <w:t>万元，主要原因：</w:t>
      </w:r>
      <w:r>
        <w:rPr>
          <w:rFonts w:hint="eastAsia" w:ascii="方正仿宋简体" w:hAnsi="方正仿宋简体" w:eastAsia="方正仿宋简体" w:cs="方正仿宋简体"/>
          <w:sz w:val="32"/>
          <w:szCs w:val="32"/>
          <w:lang w:eastAsia="zh-CN"/>
        </w:rPr>
        <w:t>树立过紧日子思想，厉行节约，科学合理安排预算项目</w:t>
      </w:r>
      <w:r>
        <w:rPr>
          <w:rFonts w:hint="eastAsia" w:ascii="方正仿宋简体" w:hAnsi="方正仿宋简体" w:eastAsia="方正仿宋简体" w:cs="方正仿宋简体"/>
          <w:sz w:val="32"/>
          <w:szCs w:val="32"/>
        </w:rPr>
        <w:t>。</w:t>
      </w:r>
    </w:p>
    <w:p>
      <w:pPr>
        <w:widowControl w:val="0"/>
        <w:spacing w:line="56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三、机关运行经费安排情况</w:t>
      </w:r>
    </w:p>
    <w:p>
      <w:pPr>
        <w:pStyle w:val="34"/>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2023年部门预算安排运行经费</w:t>
      </w:r>
      <w:r>
        <w:rPr>
          <w:rFonts w:hint="eastAsia" w:ascii="方正仿宋简体" w:hAnsi="方正仿宋简体" w:eastAsia="方正仿宋简体" w:cs="方正仿宋简体"/>
          <w:sz w:val="32"/>
          <w:szCs w:val="32"/>
          <w:lang w:val="en-US" w:eastAsia="zh-CN"/>
        </w:rPr>
        <w:t>56.78</w:t>
      </w:r>
      <w:r>
        <w:rPr>
          <w:rFonts w:hint="eastAsia" w:ascii="方正仿宋简体" w:hAnsi="方正仿宋简体" w:eastAsia="方正仿宋简体" w:cs="方正仿宋简体"/>
          <w:sz w:val="32"/>
          <w:szCs w:val="32"/>
        </w:rPr>
        <w:t>万元，主要用于我部门日常运行支出。日常公用经费56.78万元，其中包括办公费、电费、邮电费、办公取暖费、差旅费、会议费、培训费、公务接待费、工会经费、福利费、公务用车运行维护费、其他交通费用、其他商品和服务支出。主要用于日常维修、办公用房水电费、办公用房取暖费、办公用房物业管理费等日常运行支出。</w:t>
      </w:r>
    </w:p>
    <w:p>
      <w:pPr>
        <w:widowControl w:val="0"/>
        <w:spacing w:line="56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p>
    <w:p>
      <w:pPr>
        <w:pStyle w:val="34"/>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2023年财政拨款“三公”经费预算数为4.</w:t>
      </w:r>
      <w:r>
        <w:rPr>
          <w:rFonts w:hint="eastAsia" w:ascii="方正仿宋简体" w:hAnsi="方正仿宋简体" w:eastAsia="方正仿宋简体" w:cs="方正仿宋简体"/>
          <w:sz w:val="32"/>
          <w:szCs w:val="32"/>
          <w:lang w:eastAsia="zh-CN"/>
        </w:rPr>
        <w:t>17</w:t>
      </w:r>
      <w:r>
        <w:rPr>
          <w:rFonts w:hint="eastAsia" w:ascii="方正仿宋简体" w:hAnsi="方正仿宋简体" w:eastAsia="方正仿宋简体" w:cs="方正仿宋简体"/>
          <w:sz w:val="32"/>
          <w:szCs w:val="32"/>
        </w:rPr>
        <w:t>万元。其中：</w:t>
      </w:r>
    </w:p>
    <w:p>
      <w:pPr>
        <w:pStyle w:val="34"/>
        <w:numPr>
          <w:ilvl w:val="0"/>
          <w:numId w:val="2"/>
        </w:numPr>
        <w:spacing w:line="570" w:lineRule="exact"/>
        <w:ind w:firstLine="561"/>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因公出国（境）费安排0万元，与上年持平，无增减变化</w:t>
      </w:r>
      <w:r>
        <w:rPr>
          <w:rFonts w:hint="eastAsia" w:ascii="方正仿宋简体" w:hAnsi="方正仿宋简体" w:eastAsia="方正仿宋简体" w:cs="方正仿宋简体"/>
          <w:sz w:val="32"/>
          <w:szCs w:val="32"/>
          <w:lang w:eastAsia="zh-CN"/>
        </w:rPr>
        <w:t>，主要原因：没有因公出国安排，所以未安排因公出国费。</w:t>
      </w:r>
    </w:p>
    <w:p>
      <w:pPr>
        <w:pStyle w:val="34"/>
        <w:numPr>
          <w:ilvl w:val="0"/>
          <w:numId w:val="0"/>
        </w:num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（二）公务用车购置及运行费。共计安排4.10万元，与上年持平，无增减变化</w:t>
      </w:r>
      <w:r>
        <w:rPr>
          <w:rFonts w:hint="eastAsia" w:ascii="方正仿宋简体" w:hAnsi="方正仿宋简体" w:eastAsia="方正仿宋简体" w:cs="方正仿宋简体"/>
          <w:sz w:val="32"/>
          <w:szCs w:val="32"/>
          <w:lang w:eastAsia="zh-CN"/>
        </w:rPr>
        <w:t>，其中：</w:t>
      </w:r>
      <w:r>
        <w:rPr>
          <w:rFonts w:hint="eastAsia" w:ascii="方正仿宋简体" w:hAnsi="方正仿宋简体" w:eastAsia="方正仿宋简体" w:cs="方正仿宋简体"/>
          <w:sz w:val="32"/>
          <w:szCs w:val="32"/>
        </w:rPr>
        <w:t>1、公务用车购置安排0万元，与上年持平，无增减变化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2、公车运行维护经费安排4.10万元，与上年持平，无增减变化</w:t>
      </w:r>
      <w:r>
        <w:rPr>
          <w:rFonts w:hint="eastAsia" w:ascii="方正仿宋简体" w:hAnsi="方正仿宋简体" w:eastAsia="方正仿宋简体" w:cs="方正仿宋简体"/>
          <w:sz w:val="32"/>
          <w:szCs w:val="32"/>
          <w:lang w:eastAsia="zh-CN"/>
        </w:rPr>
        <w:t>。主要原因：车辆运行维护费严格按照统一定额标准，公车数量未发生增减，车辆运行维护费无变化。</w:t>
      </w:r>
    </w:p>
    <w:p>
      <w:pPr>
        <w:pStyle w:val="34"/>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（三）公务接待费0.07万元，与上年持平，无增减变化</w:t>
      </w:r>
      <w:r>
        <w:rPr>
          <w:rFonts w:hint="eastAsia" w:ascii="方正仿宋简体" w:hAnsi="方正仿宋简体" w:eastAsia="方正仿宋简体" w:cs="方正仿宋简体"/>
          <w:sz w:val="32"/>
          <w:szCs w:val="32"/>
          <w:lang w:eastAsia="zh-CN"/>
        </w:rPr>
        <w:t>，主要原因：按照统一定额标准计算，无增加变化</w:t>
      </w:r>
      <w:r>
        <w:rPr>
          <w:rFonts w:hint="eastAsia" w:ascii="方正仿宋简体" w:hAnsi="方正仿宋简体" w:eastAsia="方正仿宋简体" w:cs="方正仿宋简体"/>
          <w:sz w:val="32"/>
          <w:szCs w:val="32"/>
        </w:rPr>
        <w:t>；</w:t>
      </w:r>
    </w:p>
    <w:p>
      <w:pPr>
        <w:pStyle w:val="34"/>
        <w:spacing w:line="570" w:lineRule="exact"/>
        <w:ind w:firstLine="561"/>
        <w:rPr>
          <w:rFonts w:ascii="方正仿宋简体" w:hAnsi="方正仿宋简体" w:eastAsia="方正仿宋简体" w:cs="方正仿宋简体"/>
          <w:sz w:val="32"/>
          <w:szCs w:val="32"/>
        </w:rPr>
      </w:pPr>
    </w:p>
    <w:p>
      <w:pPr>
        <w:widowControl w:val="0"/>
        <w:spacing w:line="56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五、预算绩效信息</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pStyle w:val="28"/>
        <w:widowControl w:val="0"/>
        <w:spacing w:line="570" w:lineRule="exact"/>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adjustRightInd w:val="0"/>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2023年我局秉承“文明执法、纪律严明，管好城市、服务人民”的工作理念，把队伍建设和业务工作放在同等重要位置，牢牢抓在手上，开拓创新、真抓实干，扎实推进生态建设、市政建设、园林绿化、城管执法工作，提高城市承载力，改善城市面貌，提升城市管理水平。城市道路管理：未在城市道路施工现场设置明显标志和安全防围设施；占用或挖掘道路期满后不及时清理现场的；依附城市道路各种管线设置不办理手续的；未按批准位置、面积、期限占用或挖掘道路；超重车辆擅自在城市道路上行驶的。占用或挖掘城市道路期满不及时清理的；未按规定履带、铁轮或超重、高、长车辆擅自在道路上行驶；未对城市道路上各种管线的检查井或附属设施及时补缺或修复；建设、抢修管线不安规定办理手续的；未按规定位置、面积、期限占用或挖掘道路或需移动位置、扩大面积、延长时间未办理变更手续的。城市绿化管理：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擅自占用城市绿化用地的；破坏城市绿化行为的；擅自砍伐或移植树木的；在公共绿地内开设摊点的。城市建设管理：擅自设立经营城市供水、供热、燃气、公共交通等公用事业及经营专业设备和车辆；超过规定的排放量或污水水质标准排放污水的；将单位或个人自行建设的道路及供水排水、供热、燃气等管线与城市建设或部门的道路、管线衔接；定时、定线、定点运行车辆擅自改变运行时间、线路和停车地点。道路交通安全管理：机动车在未施划停车泊位的人行道上停放的；非机动车未在规定地点停放的。环境噪声管理：经营中的文化娱乐场所边界噪声超国家规定排放标准的；商业活动中使用高音喇叭招揽顾客的；商业经营活动中使用空调、冷却塔等边界噪音超排放标准的；单位、个人在城市市区使用高音广播喇叭；在城市市区街道、广场、公园等公共场所组织活动使用音响器材产生干扰周围环境过大音量的；使用家用电器或家庭娱乐活动对周围居民造成环境噪声污染；室内装修造成环境噪声污染；城市市区噪声敏感建筑物集中区夜间进行产生环境噪声污染的建筑施工作业。城市公共事业管理：指导、考核全市城市供水、排水、再生水工作；参与制定供水、排水、再生水行业专项规划和建设及维护管理的年度计划工作；组织供水、排水、再生水、公交工程项目初步设计和施工方案的初步审查，竣工验收及备案，监督项目移交工作协调项目前期和施工进度，监督管理扬尘治理工作，指导质量管理工作；负责供水、排水、再生水、公交等公用事业单位公共服务工作的指导、协调、检查和考核；负责防汛工程的补助资金使用、工程进度等管理工作；组织汛期检查，做好城区防汛工作。</w:t>
      </w:r>
    </w:p>
    <w:p>
      <w:pPr>
        <w:widowControl w:val="0"/>
        <w:spacing w:line="570" w:lineRule="exact"/>
        <w:ind w:firstLine="640" w:firstLineChars="200"/>
        <w:rPr>
          <w:lang w:eastAsia="zh-CN"/>
        </w:rPr>
      </w:pPr>
      <w:r>
        <w:rPr>
          <w:rFonts w:hint="eastAsia" w:ascii="方正楷体简体" w:hAnsi="方正楷体简体" w:eastAsia="方正楷体简体" w:cs="方正楷体简体"/>
          <w:kern w:val="2"/>
          <w:sz w:val="32"/>
          <w:szCs w:val="32"/>
          <w:lang w:eastAsia="zh-CN"/>
        </w:rPr>
        <w:t>二、分项绩效目标</w:t>
      </w:r>
    </w:p>
    <w:p>
      <w:pPr>
        <w:pStyle w:val="3"/>
        <w:numPr>
          <w:ilvl w:val="0"/>
          <w:numId w:val="0"/>
        </w:numPr>
        <w:tabs>
          <w:tab w:val="left" w:pos="1440"/>
        </w:tabs>
        <w:spacing w:line="570" w:lineRule="exact"/>
        <w:ind w:leftChars="200" w:firstLine="320" w:firstLineChars="100"/>
        <w:rPr>
          <w:rFonts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lang w:val="en-US" w:eastAsia="zh-CN"/>
        </w:rPr>
        <w:t>1、</w:t>
      </w:r>
      <w:r>
        <w:rPr>
          <w:rFonts w:hint="eastAsia" w:ascii="方正仿宋简体" w:hAnsi="宋体" w:eastAsia="方正仿宋简体" w:cs="方正仿宋_GBK"/>
          <w:sz w:val="32"/>
          <w:szCs w:val="32"/>
        </w:rPr>
        <w:t>安可计算机购置</w:t>
      </w:r>
      <w:r>
        <w:rPr>
          <w:rFonts w:hint="eastAsia" w:ascii="方正仿宋简体" w:hAnsi="宋体" w:eastAsia="方正仿宋简体" w:cs="方正仿宋_GBK"/>
          <w:sz w:val="32"/>
          <w:szCs w:val="32"/>
          <w:lang w:eastAsia="zh-CN"/>
        </w:rPr>
        <w:t>项目</w:t>
      </w:r>
    </w:p>
    <w:p>
      <w:pPr>
        <w:pStyle w:val="19"/>
        <w:spacing w:line="570" w:lineRule="exact"/>
        <w:ind w:firstLine="640" w:firstLineChars="200"/>
        <w:rPr>
          <w:rFonts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lang w:eastAsia="zh-CN"/>
        </w:rPr>
        <w:t>绩效目标：</w:t>
      </w:r>
      <w:r>
        <w:rPr>
          <w:rFonts w:hint="eastAsia" w:ascii="方正仿宋简体" w:hAnsi="宋体" w:eastAsia="方正仿宋简体" w:cs="方正仿宋_GBK"/>
          <w:sz w:val="32"/>
          <w:szCs w:val="32"/>
        </w:rPr>
        <w:t>做好购置工作，保障单位业务开展。有利于业务开展，提高服务保障能力</w:t>
      </w:r>
      <w:r>
        <w:rPr>
          <w:rFonts w:hint="eastAsia" w:ascii="方正仿宋简体" w:hAnsi="宋体" w:eastAsia="方正仿宋简体" w:cs="方正仿宋_GBK"/>
          <w:sz w:val="32"/>
          <w:szCs w:val="32"/>
          <w:lang w:eastAsia="zh-CN"/>
        </w:rPr>
        <w:t>。</w:t>
      </w:r>
    </w:p>
    <w:p>
      <w:pPr>
        <w:pStyle w:val="1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绩效指标：办事群众服务对象满意度提升率≥95%。</w:t>
      </w:r>
    </w:p>
    <w:p>
      <w:pPr>
        <w:pStyle w:val="19"/>
        <w:numPr>
          <w:ilvl w:val="0"/>
          <w:numId w:val="0"/>
        </w:numPr>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lang w:val="en-US" w:eastAsia="zh-CN"/>
        </w:rPr>
        <w:t>2、</w:t>
      </w:r>
      <w:r>
        <w:rPr>
          <w:rFonts w:hint="eastAsia" w:ascii="方正仿宋简体" w:hAnsi="宋体" w:eastAsia="方正仿宋简体" w:cs="方正仿宋_GBK"/>
          <w:sz w:val="32"/>
          <w:szCs w:val="32"/>
        </w:rPr>
        <w:t>城区公园绿地及道路绿化养护一体化项目</w:t>
      </w:r>
    </w:p>
    <w:p>
      <w:pPr>
        <w:pStyle w:val="29"/>
        <w:spacing w:line="570" w:lineRule="exact"/>
        <w:ind w:firstLine="640" w:firstLineChars="200"/>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绩效目标：城区现有公园绿地补植工作，通过加强管理，按标准严格考核，每月按考核结果拨款，进一步提升园林绿化管理水平。</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指标：绿化成活率，反映补植苗木成活情况和街道绿化景观效果，考核指标值≥98%；绿化工程节支率，实际费用与编审预算费用比率，考核指标值≤98%；改善生态环境指标，反映街道绿化养护运行管理服务民众的社会效益情况，考核指标值≥98%；</w:t>
      </w:r>
    </w:p>
    <w:p>
      <w:pPr>
        <w:pStyle w:val="19"/>
        <w:numPr>
          <w:ilvl w:val="0"/>
          <w:numId w:val="0"/>
        </w:numPr>
        <w:spacing w:line="570" w:lineRule="exact"/>
        <w:ind w:left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lang w:val="en-US" w:eastAsia="zh-CN"/>
        </w:rPr>
        <w:t>3、</w:t>
      </w:r>
      <w:r>
        <w:rPr>
          <w:rFonts w:hint="eastAsia" w:ascii="方正仿宋简体" w:hAnsi="宋体" w:eastAsia="方正仿宋简体" w:cs="方正仿宋_GBK"/>
          <w:sz w:val="32"/>
          <w:szCs w:val="32"/>
        </w:rPr>
        <w:t>城区污水处理服务费</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目标：按照市政府购买服务合同，每月按时加强考核污水处理量，提升污水处理水平，督促指导做好环保相关工作维护污水处理设备、设施运转，确保全年24小时高效、稳定运行，按规定排放达标出水；将污水处理厂污泥进行固废处理。</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绩效指标：工程质量，工程验收合格率通过验收的工程量占建设、改造、总量的比率≥98%；污水处理一级A标准质量指标，出水水质达到一级A，达标率≥98%；进一步改善城市生态环境效果，受益群体满意度≥98%。</w:t>
      </w:r>
    </w:p>
    <w:p>
      <w:pPr>
        <w:pStyle w:val="19"/>
        <w:numPr>
          <w:ilvl w:val="0"/>
          <w:numId w:val="0"/>
        </w:numPr>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lang w:val="en-US" w:eastAsia="zh-CN"/>
        </w:rPr>
        <w:t>4、</w:t>
      </w:r>
      <w:r>
        <w:rPr>
          <w:rFonts w:hint="eastAsia" w:ascii="方正仿宋简体" w:hAnsi="宋体" w:eastAsia="方正仿宋简体" w:cs="方正仿宋_GBK"/>
          <w:sz w:val="32"/>
          <w:szCs w:val="32"/>
        </w:rPr>
        <w:t>配置执法制式服装</w:t>
      </w:r>
    </w:p>
    <w:p>
      <w:pPr>
        <w:pStyle w:val="1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绩效目标：城管局更换执法制式服装。</w:t>
      </w:r>
      <w:r>
        <w:rPr>
          <w:rFonts w:hint="eastAsia" w:ascii="方正仿宋简体" w:hAnsi="宋体" w:eastAsia="方正仿宋简体" w:cs="方正仿宋_GBK"/>
          <w:sz w:val="32"/>
          <w:szCs w:val="32"/>
          <w:lang w:eastAsia="zh-CN"/>
        </w:rPr>
        <w:t>为</w:t>
      </w:r>
      <w:r>
        <w:rPr>
          <w:rFonts w:hint="eastAsia" w:ascii="方正仿宋简体" w:hAnsi="宋体" w:eastAsia="方正仿宋简体" w:cs="方正仿宋_GBK"/>
          <w:sz w:val="32"/>
          <w:szCs w:val="32"/>
        </w:rPr>
        <w:t>保障机关工作的正常运行，进一步整治城市空间秩序，规范城市建设行为，提升城市治理能力，提高人居环境质量，优化市场环境。</w:t>
      </w:r>
    </w:p>
    <w:p>
      <w:pPr>
        <w:pStyle w:val="1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绩效指标：购置执法服装及车辆对业务保障能力的提升情况≥98%；反映年度办公资源的循环利用程度≥98%；对公共服务水平的提升情况≥98%。</w:t>
      </w:r>
    </w:p>
    <w:p>
      <w:pPr>
        <w:pStyle w:val="19"/>
        <w:numPr>
          <w:ilvl w:val="0"/>
          <w:numId w:val="0"/>
        </w:numPr>
        <w:spacing w:line="570" w:lineRule="exact"/>
        <w:ind w:leftChars="200" w:firstLine="320" w:firstLineChars="100"/>
        <w:rPr>
          <w:rFonts w:ascii="方正仿宋简体" w:hAnsi="宋体" w:eastAsia="方正仿宋简体" w:cs="方正仿宋_GBK"/>
          <w:sz w:val="32"/>
          <w:szCs w:val="32"/>
        </w:rPr>
      </w:pPr>
      <w:r>
        <w:rPr>
          <w:rFonts w:hint="eastAsia" w:ascii="方正仿宋简体" w:hAnsi="宋体" w:eastAsia="方正仿宋简体" w:cs="方正仿宋_GBK"/>
          <w:sz w:val="32"/>
          <w:szCs w:val="32"/>
          <w:lang w:val="en-US" w:eastAsia="zh-CN"/>
        </w:rPr>
        <w:t>5、</w:t>
      </w:r>
      <w:r>
        <w:rPr>
          <w:rFonts w:hint="eastAsia" w:ascii="方正仿宋简体" w:hAnsi="宋体" w:eastAsia="方正仿宋简体" w:cs="方正仿宋_GBK"/>
          <w:sz w:val="32"/>
          <w:szCs w:val="32"/>
        </w:rPr>
        <w:t>市政路灯信号灯及平射灯等运行</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目标：加强管理和及维修维护，严格结算，每月按电力部门结算的电量于月底前及时支付电费，保障路灯和信号灯电力供应；加强维修维护，使城区主干道路灯亮灯率98%、次干道及支路路灯亮灯率96%，设施完好率95%。</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指标：保障我市路灯信号灯及平射灯设备设施完好率≥98%；路灯电费节支率，实际费用与编审预算费用比率，考核指标值≤98%；提升照明质量，改善夜间环境，保障夜间行人出行安全，城市主次干道亮灯率≥98%；</w:t>
      </w:r>
    </w:p>
    <w:p>
      <w:pPr>
        <w:pStyle w:val="19"/>
        <w:numPr>
          <w:ilvl w:val="0"/>
          <w:numId w:val="0"/>
        </w:numPr>
        <w:spacing w:line="570" w:lineRule="exact"/>
        <w:ind w:firstLine="640" w:firstLineChars="200"/>
        <w:rPr>
          <w:rFonts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lang w:val="en-US" w:eastAsia="zh-CN"/>
        </w:rPr>
        <w:t>6、</w:t>
      </w:r>
      <w:r>
        <w:rPr>
          <w:rFonts w:hint="eastAsia" w:ascii="方正仿宋简体" w:hAnsi="宋体" w:eastAsia="方正仿宋简体" w:cs="方正仿宋_GBK"/>
          <w:sz w:val="32"/>
          <w:szCs w:val="32"/>
        </w:rPr>
        <w:t>市政路灯正常维护维修及劳务派遣人员工资</w:t>
      </w:r>
    </w:p>
    <w:p>
      <w:pPr>
        <w:pStyle w:val="1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目标：通过该项目的实施，加强维修维护，使城区主干道路灯亮灯率98%、次干道及支路路灯亮灯率96%，设施完好率95%。.做好本职工工作，按时做好维护工作，为全市人民提供良好的城市夜景环境，方便城区市民出行。</w:t>
      </w:r>
    </w:p>
    <w:p>
      <w:pPr>
        <w:pStyle w:val="1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绩效指标：道路照明设施完好率98%以上，次干道亮灯率95%以上，设施完好率95%以上</w:t>
      </w:r>
    </w:p>
    <w:p>
      <w:pPr>
        <w:pStyle w:val="19"/>
        <w:numPr>
          <w:ilvl w:val="0"/>
          <w:numId w:val="0"/>
        </w:numPr>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lang w:val="en-US" w:eastAsia="zh-CN"/>
        </w:rPr>
        <w:t>7、</w:t>
      </w:r>
      <w:r>
        <w:rPr>
          <w:rFonts w:hint="eastAsia" w:ascii="方正仿宋简体" w:hAnsi="宋体" w:eastAsia="方正仿宋简体" w:cs="方正仿宋_GBK"/>
          <w:sz w:val="32"/>
          <w:szCs w:val="32"/>
        </w:rPr>
        <w:t>市政维修及防汛工程</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绩效目标：进一步完善城区市政及防汛设施维修、维护工程，严格按照相关规范要求文明施工，科学组织，加强管理，确保城区市政基础设施正常使用及</w:t>
      </w:r>
      <w:r>
        <w:rPr>
          <w:rFonts w:hint="eastAsia" w:ascii="方正仿宋简体" w:hAnsi="宋体" w:eastAsia="方正仿宋简体" w:cs="方正仿宋_GBK"/>
          <w:sz w:val="32"/>
          <w:szCs w:val="32"/>
          <w:lang w:eastAsia="zh-CN"/>
        </w:rPr>
        <w:t>安全度汛</w:t>
      </w:r>
      <w:r>
        <w:rPr>
          <w:rFonts w:hint="eastAsia" w:ascii="方正仿宋简体" w:hAnsi="宋体" w:eastAsia="方正仿宋简体" w:cs="方正仿宋_GBK"/>
          <w:sz w:val="32"/>
          <w:szCs w:val="32"/>
        </w:rPr>
        <w:t>，及时完成上级领导交办的各项任务。</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绩效指标：工程质量，工程验收合格率通过验收的工程量占建设、改造、总量的比率≥98%；优化城市管网，改善市政配套设施完善率≥98%；基础设施建成后的利用、使用情况，综合利用率≥98%。</w:t>
      </w:r>
    </w:p>
    <w:p>
      <w:pPr>
        <w:pStyle w:val="1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lang w:eastAsia="zh-CN"/>
        </w:rPr>
        <w:t>8、</w:t>
      </w:r>
      <w:r>
        <w:rPr>
          <w:rFonts w:hint="eastAsia" w:ascii="方正仿宋简体" w:hAnsi="宋体" w:eastAsia="方正仿宋简体" w:cs="方正仿宋_GBK"/>
          <w:sz w:val="32"/>
          <w:szCs w:val="32"/>
        </w:rPr>
        <w:t>有机固废处置PPP项目服务费</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绩效目标：垃圾处理，需符合国家相关标准规范和要求，所有污染物排放需达到国家相关标准规定指标，环保达标，环境整洁。</w:t>
      </w:r>
    </w:p>
    <w:p>
      <w:pPr>
        <w:pStyle w:val="2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绩效指标：做好生活垃圾处置费，改善环境卫生，保护人民健康，防范发生传染疫情指标值≥95%；垃圾监测准确情况，确保达标指标值=100%；无害化处理量指标值≥21万吨。</w:t>
      </w:r>
    </w:p>
    <w:p>
      <w:pPr>
        <w:pStyle w:val="19"/>
        <w:spacing w:line="570" w:lineRule="exact"/>
        <w:ind w:left="480" w:leftChars="200" w:firstLine="320" w:firstLineChars="100"/>
        <w:rPr>
          <w:rFonts w:ascii="方正仿宋简体" w:hAnsi="宋体" w:eastAsia="方正仿宋简体" w:cs="方正仿宋_GBK"/>
          <w:sz w:val="32"/>
          <w:szCs w:val="32"/>
        </w:rPr>
      </w:pPr>
      <w:r>
        <w:rPr>
          <w:rFonts w:hint="eastAsia" w:ascii="方正仿宋简体" w:hAnsi="宋体" w:eastAsia="方正仿宋简体" w:cs="方正仿宋_GBK"/>
          <w:sz w:val="32"/>
          <w:szCs w:val="32"/>
          <w:lang w:eastAsia="zh-CN"/>
        </w:rPr>
        <w:t>9、</w:t>
      </w:r>
      <w:r>
        <w:rPr>
          <w:rFonts w:hint="eastAsia" w:ascii="方正仿宋简体" w:hAnsi="宋体" w:eastAsia="方正仿宋简体" w:cs="方正仿宋_GBK"/>
          <w:sz w:val="32"/>
          <w:szCs w:val="32"/>
        </w:rPr>
        <w:t>原矿山公司人员遗留问题资金</w:t>
      </w:r>
    </w:p>
    <w:p>
      <w:pPr>
        <w:pStyle w:val="19"/>
        <w:spacing w:line="570" w:lineRule="exact"/>
        <w:ind w:firstLine="640" w:firstLineChars="200"/>
        <w:rPr>
          <w:rFonts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rPr>
        <w:t>绩效目标：按月发放职工工资，使职工正常待遇得到保障。保障机关工作的正常运行，进一步整治城市空间秩序，规范城市建设行为，提升城市治理能力，提高人居环境质量，优化市场环境</w:t>
      </w:r>
      <w:r>
        <w:rPr>
          <w:rFonts w:hint="eastAsia" w:ascii="方正仿宋简体" w:hAnsi="宋体" w:eastAsia="方正仿宋简体" w:cs="方正仿宋_GBK"/>
          <w:sz w:val="32"/>
          <w:szCs w:val="32"/>
          <w:lang w:eastAsia="zh-CN"/>
        </w:rPr>
        <w:t>。</w:t>
      </w:r>
    </w:p>
    <w:p>
      <w:pPr>
        <w:pStyle w:val="19"/>
        <w:spacing w:line="570" w:lineRule="exact"/>
        <w:ind w:firstLine="640" w:firstLineChars="200"/>
        <w:rPr>
          <w:rFonts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rPr>
        <w:t>绩效指标：按月发放矿山划转人员工资保险使职工正常待遇得到保障的持续作用≥</w:t>
      </w:r>
      <w:r>
        <w:rPr>
          <w:rFonts w:hint="eastAsia" w:ascii="方正仿宋简体" w:hAnsi="宋体" w:eastAsia="方正仿宋简体" w:cs="方正仿宋_GBK"/>
          <w:sz w:val="32"/>
          <w:szCs w:val="32"/>
          <w:lang w:eastAsia="zh-CN"/>
        </w:rPr>
        <w:t>98%</w:t>
      </w:r>
    </w:p>
    <w:p>
      <w:pPr>
        <w:pStyle w:val="19"/>
        <w:spacing w:line="570" w:lineRule="exact"/>
        <w:ind w:left="480" w:leftChars="200" w:firstLine="320" w:firstLineChars="100"/>
        <w:rPr>
          <w:rFonts w:ascii="方正仿宋简体" w:hAnsi="宋体" w:eastAsia="方正仿宋简体" w:cs="方正仿宋_GBK"/>
          <w:sz w:val="32"/>
          <w:szCs w:val="32"/>
        </w:rPr>
      </w:pPr>
      <w:r>
        <w:rPr>
          <w:rFonts w:hint="eastAsia" w:ascii="方正仿宋简体" w:hAnsi="宋体" w:eastAsia="方正仿宋简体" w:cs="方正仿宋_GBK"/>
          <w:sz w:val="32"/>
          <w:szCs w:val="32"/>
          <w:lang w:eastAsia="zh-CN"/>
        </w:rPr>
        <w:t>10、</w:t>
      </w:r>
      <w:r>
        <w:rPr>
          <w:rFonts w:hint="eastAsia" w:ascii="方正仿宋简体" w:hAnsi="宋体" w:eastAsia="方正仿宋简体" w:cs="方正仿宋_GBK"/>
          <w:sz w:val="32"/>
          <w:szCs w:val="32"/>
        </w:rPr>
        <w:t>综合执法经费</w:t>
      </w:r>
    </w:p>
    <w:p>
      <w:pPr>
        <w:pStyle w:val="19"/>
        <w:spacing w:line="570" w:lineRule="exact"/>
        <w:ind w:firstLine="640" w:firstLineChars="200"/>
        <w:rPr>
          <w:rFonts w:ascii="方正仿宋简体" w:hAnsi="宋体" w:eastAsia="方正仿宋简体" w:cs="方正仿宋_GBK"/>
          <w:sz w:val="32"/>
          <w:szCs w:val="32"/>
        </w:rPr>
      </w:pPr>
      <w:r>
        <w:rPr>
          <w:rFonts w:hint="eastAsia" w:ascii="方正仿宋简体" w:hAnsi="宋体" w:eastAsia="方正仿宋简体" w:cs="方正仿宋_GBK"/>
          <w:sz w:val="32"/>
          <w:szCs w:val="32"/>
        </w:rPr>
        <w:t>绩效目标：用于综合执法治理日常办公经费，车辆保险、维修及油费等。.保障机关工作的正常运行，进一步整治城市空间秩序，规范城市建设行为，提升城市治理能力，提高人居环境质量，优化市场环境。</w:t>
      </w:r>
    </w:p>
    <w:p>
      <w:pPr>
        <w:pStyle w:val="19"/>
        <w:spacing w:line="570" w:lineRule="exact"/>
        <w:ind w:firstLine="640" w:firstLineChars="200"/>
        <w:rPr>
          <w:rFonts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rPr>
        <w:t>绩效指标</w:t>
      </w:r>
      <w:r>
        <w:rPr>
          <w:rFonts w:hint="eastAsia" w:ascii="方正仿宋简体" w:hAnsi="宋体" w:eastAsia="方正仿宋简体" w:cs="方正仿宋_GBK"/>
          <w:sz w:val="32"/>
          <w:szCs w:val="32"/>
          <w:lang w:eastAsia="zh-CN"/>
        </w:rPr>
        <w:t>：</w:t>
      </w:r>
      <w:r>
        <w:rPr>
          <w:rFonts w:hint="eastAsia" w:ascii="方正仿宋简体" w:hAnsi="宋体" w:eastAsia="方正仿宋简体" w:cs="方正仿宋_GBK"/>
          <w:sz w:val="32"/>
          <w:szCs w:val="32"/>
        </w:rPr>
        <w:t>施划补画停车位等数量≥</w:t>
      </w:r>
      <w:r>
        <w:rPr>
          <w:rFonts w:hint="eastAsia" w:ascii="方正仿宋简体" w:hAnsi="宋体" w:eastAsia="方正仿宋简体" w:cs="方正仿宋_GBK"/>
          <w:sz w:val="32"/>
          <w:szCs w:val="32"/>
          <w:lang w:eastAsia="zh-CN"/>
        </w:rPr>
        <w:t>6000个，</w:t>
      </w:r>
      <w:r>
        <w:rPr>
          <w:rFonts w:hint="eastAsia" w:ascii="方正仿宋简体" w:hAnsi="宋体" w:eastAsia="方正仿宋简体" w:cs="方正仿宋_GBK"/>
          <w:sz w:val="32"/>
          <w:szCs w:val="32"/>
        </w:rPr>
        <w:t>购置质量合格的数量占购置总数量的比率≥</w:t>
      </w:r>
      <w:r>
        <w:rPr>
          <w:rFonts w:hint="eastAsia" w:ascii="方正仿宋简体" w:hAnsi="宋体" w:eastAsia="方正仿宋简体" w:cs="方正仿宋_GBK"/>
          <w:sz w:val="32"/>
          <w:szCs w:val="32"/>
          <w:lang w:eastAsia="zh-CN"/>
        </w:rPr>
        <w:t>98%。</w:t>
      </w:r>
    </w:p>
    <w:p>
      <w:pPr>
        <w:widowControl w:val="0"/>
        <w:spacing w:line="570" w:lineRule="exact"/>
        <w:ind w:firstLine="640" w:firstLineChars="20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rPr>
        <w:t>1、推进市政建设工作</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rPr>
        <w:t>指导、考核全市市政道路、桥梁建设维护工作；参与制定市政道路、桥梁行业专项规划和建设及维护管理的年度计划工作，核定设施量；全市市政建设企业资质事后监督检查工作；组织市政道路桥梁以及与道路同时建设的地下管线管廊工程（不含热力燃气）项目初步设计和施工方案的初步审</w:t>
      </w:r>
      <w:r>
        <w:rPr>
          <w:rFonts w:hint="eastAsia" w:ascii="方正仿宋简体" w:hAnsi="宋体" w:eastAsia="方正仿宋简体"/>
          <w:sz w:val="32"/>
          <w:szCs w:val="32"/>
          <w:lang w:eastAsia="zh-CN"/>
        </w:rPr>
        <w:t>查</w:t>
      </w:r>
      <w:bookmarkStart w:id="22" w:name="_GoBack"/>
      <w:bookmarkEnd w:id="22"/>
      <w:r>
        <w:rPr>
          <w:rFonts w:hint="eastAsia" w:ascii="方正仿宋简体" w:hAnsi="宋体" w:eastAsia="方正仿宋简体"/>
          <w:sz w:val="32"/>
          <w:szCs w:val="32"/>
        </w:rPr>
        <w:t>；负责竣工验收及备案，监督项目移交，协调项目前期和施工进度，指导质量管理工作。</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rPr>
        <w:t>2、抓好城区绿化管理工作</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rPr>
        <w:t>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按照我市绿化现状，在谋划202</w:t>
      </w:r>
      <w:r>
        <w:rPr>
          <w:rFonts w:hint="eastAsia" w:ascii="方正仿宋简体" w:hAnsi="宋体" w:eastAsia="方正仿宋简体"/>
          <w:sz w:val="32"/>
          <w:szCs w:val="32"/>
          <w:lang w:eastAsia="zh-CN"/>
        </w:rPr>
        <w:t>3</w:t>
      </w:r>
      <w:r>
        <w:rPr>
          <w:rFonts w:hint="eastAsia" w:ascii="方正仿宋简体" w:hAnsi="宋体" w:eastAsia="方正仿宋简体"/>
          <w:sz w:val="32"/>
          <w:szCs w:val="32"/>
        </w:rPr>
        <w:t>年绿化工程时，主要考虑最大限度增加公园绿地及道路绿地，大力提倡见缝插绿、立体绿化、屋顶绿化等，有条件的新建改建成“口袋公园”、“街头游园”等。</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rPr>
        <w:t>3、加强城管执法工作</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rPr>
        <w:t>不怕苦累，扎实开展业务工作。一是狠抓重点工作出成效。坚定不移实施“控新改旧拆违”，促进城区广告设置提档升级；逢有必管、露头就打，坚决遏制违法建设；延长工作时间，保持高压态势，做好生态环境治理工作；深入细致，加强宣传，落实门店“门前五包”。二是保持常规工作不放松。加强巡查，依法治理，维护城市交通秩序；注重宣传，突出严管，规范门店经营行为；提高标准，“三定”管理，加强摊点摊群管理；勤巡查勤动手，动员社会力量，整治牛皮癣小广告；全员齐动，深入整治，保障综合治理效果。</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rPr>
        <w:t>开拓创新，推进现代化城市管理模式建设。一是推进数字化城管系统平台建设。积极向市政府汇报解决人员机构问题，迅速将数字化城管平台运转工作推入正常轨道。二是进一步强化城市管理快速反应机制，发挥最大效能。三是与城市管理相关部门密切配合，形成协调统一、步调一致的城市管理格局。</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lang w:eastAsia="zh-CN"/>
        </w:rPr>
        <w:t>4</w:t>
      </w:r>
      <w:r>
        <w:rPr>
          <w:rFonts w:hint="eastAsia" w:ascii="方正仿宋简体" w:hAnsi="宋体" w:eastAsia="方正仿宋简体"/>
          <w:sz w:val="32"/>
          <w:szCs w:val="32"/>
        </w:rPr>
        <w:t>、大气污染防控工作</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rPr>
        <w:t>加强体系建设，强化日常管理。采取日督导、周检查、月考核的管理机制，实施划片分区作业专人盯办方法，建立环卫中心、保洁公司和作业班组长三级管理体系，严格按照《遵化市环境卫生一体化检查考核评分标准》每周组织人员对道路实施以克论净等考核。除正常开展清、洗扫和洒水作业外（3扫6洒），按指令要求及时调整清洗扫、洒水、雾炮降尘作业方式，实施精细、精准的抑尘作业，巩固和提高洁净城市成果。</w:t>
      </w:r>
    </w:p>
    <w:p>
      <w:pPr>
        <w:pStyle w:val="30"/>
        <w:spacing w:line="570" w:lineRule="exact"/>
        <w:ind w:firstLine="561"/>
        <w:rPr>
          <w:rFonts w:ascii="方正仿宋简体" w:hAnsi="宋体" w:eastAsia="方正仿宋简体"/>
          <w:sz w:val="32"/>
          <w:szCs w:val="32"/>
        </w:rPr>
      </w:pPr>
      <w:r>
        <w:rPr>
          <w:rFonts w:hint="eastAsia" w:ascii="方正仿宋简体" w:hAnsi="宋体" w:eastAsia="方正仿宋简体"/>
          <w:sz w:val="32"/>
          <w:szCs w:val="32"/>
          <w:lang w:eastAsia="zh-CN"/>
        </w:rPr>
        <w:t>5</w:t>
      </w:r>
      <w:r>
        <w:rPr>
          <w:rFonts w:hint="eastAsia" w:ascii="方正仿宋简体" w:hAnsi="宋体" w:eastAsia="方正仿宋简体"/>
          <w:sz w:val="32"/>
          <w:szCs w:val="32"/>
        </w:rPr>
        <w:t>、全国文明城市及国家全域旅游示范区创建工作</w:t>
      </w:r>
    </w:p>
    <w:p>
      <w:pPr>
        <w:pStyle w:val="30"/>
        <w:spacing w:line="570" w:lineRule="exact"/>
        <w:ind w:firstLine="561"/>
        <w:rPr>
          <w:rFonts w:ascii="方正仿宋简体" w:hAnsi="宋体" w:eastAsia="方正仿宋简体"/>
          <w:sz w:val="32"/>
          <w:szCs w:val="32"/>
          <w:lang w:eastAsia="zh-CN"/>
        </w:rPr>
      </w:pPr>
      <w:r>
        <w:rPr>
          <w:rFonts w:hint="eastAsia" w:ascii="方正仿宋简体" w:hAnsi="宋体" w:eastAsia="方正仿宋简体"/>
          <w:sz w:val="32"/>
          <w:szCs w:val="32"/>
        </w:rPr>
        <w:t>积极参与投身城管局党组组织开展的“文明祭扫劝阻行动”和“规范停车、文明养犬宣传活动”以及“环境大提升、争创文明城”、“环境整治活动”、“党员社区双报到”、“楼门长入户调查”等文明城市创建志愿者活动。按照创城要求，加强背街小巷清扫保洁、垃圾清运巡查，定期开展主次干路道板、环卫设施的冲洗</w:t>
      </w:r>
      <w:r>
        <w:rPr>
          <w:rFonts w:hint="eastAsia" w:ascii="方正仿宋简体" w:hAnsi="宋体" w:eastAsia="方正仿宋简体"/>
          <w:sz w:val="32"/>
          <w:szCs w:val="32"/>
          <w:lang w:eastAsia="zh-CN"/>
        </w:rPr>
        <w:t>。</w:t>
      </w:r>
    </w:p>
    <w:p>
      <w:pPr>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第二部分 专项资金绩效目标</w:t>
      </w:r>
    </w:p>
    <w:p>
      <w:pPr>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2023年无专项资金预算，此内容为空。</w:t>
      </w:r>
    </w:p>
    <w:p>
      <w:pPr>
        <w:pStyle w:val="2"/>
        <w:ind w:firstLine="640"/>
        <w:rPr>
          <w:lang w:eastAsia="zh-CN"/>
        </w:rPr>
      </w:pPr>
      <w:r>
        <w:rPr>
          <w:rFonts w:hint="eastAsia" w:ascii="方正仿宋简体" w:hAnsi="方正仿宋简体" w:eastAsia="方正仿宋简体" w:cs="方正仿宋简体"/>
          <w:color w:val="000000"/>
          <w:sz w:val="32"/>
          <w:szCs w:val="32"/>
          <w:lang w:eastAsia="zh-CN"/>
        </w:rPr>
        <w:t xml:space="preserve">第三部分 </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预算项目绩效目标</w:t>
      </w:r>
    </w:p>
    <w:p>
      <w:pPr>
        <w:pStyle w:val="19"/>
        <w:spacing w:line="570" w:lineRule="exact"/>
        <w:ind w:firstLine="640" w:firstLineChars="200"/>
        <w:rPr>
          <w:rFonts w:ascii="方正仿宋简体" w:hAnsi="宋体" w:eastAsia="方正仿宋简体" w:cs="方正仿宋_GBK"/>
          <w:sz w:val="32"/>
          <w:szCs w:val="32"/>
          <w:lang w:eastAsia="zh-CN"/>
        </w:rPr>
        <w:sectPr>
          <w:pgSz w:w="16840" w:h="11900" w:orient="landscape"/>
          <w:pgMar w:top="1361" w:right="1020" w:bottom="1361" w:left="1020" w:header="720" w:footer="720" w:gutter="0"/>
          <w:pgNumType w:fmt="decimal"/>
          <w:cols w:space="720" w:num="1"/>
        </w:sectPr>
      </w:pPr>
    </w:p>
    <w:p>
      <w:pPr>
        <w:jc w:val="center"/>
      </w:pPr>
    </w:p>
    <w:p>
      <w:pPr>
        <w:ind w:firstLine="560"/>
        <w:outlineLvl w:val="3"/>
        <w:rPr>
          <w:rFonts w:ascii="方正仿宋简体" w:hAnsi="方正仿宋简体" w:eastAsia="方正仿宋简体" w:cs="方正仿宋简体"/>
          <w:sz w:val="28"/>
          <w:szCs w:val="28"/>
        </w:rPr>
      </w:pPr>
      <w:bookmarkStart w:id="1" w:name="_Toc_4_4_0000000004"/>
      <w:r>
        <w:rPr>
          <w:rFonts w:hint="eastAsia" w:ascii="方正仿宋简体" w:hAnsi="方正仿宋简体" w:eastAsia="方正仿宋简体" w:cs="方正仿宋简体"/>
          <w:color w:val="000000"/>
          <w:sz w:val="28"/>
          <w:szCs w:val="28"/>
        </w:rPr>
        <w:t>1.安可计算机购置绩效目标表</w:t>
      </w:r>
      <w:bookmarkEnd w:id="1"/>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项目编码</w:t>
            </w:r>
          </w:p>
        </w:tc>
        <w:tc>
          <w:tcPr>
            <w:tcW w:w="3980" w:type="dxa"/>
            <w:gridSpan w:val="2"/>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13028123P00022510001K</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项目名称</w:t>
            </w:r>
          </w:p>
        </w:tc>
        <w:tc>
          <w:tcPr>
            <w:tcW w:w="5975" w:type="dxa"/>
            <w:gridSpan w:val="3"/>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预算规模及资金用途</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3.40</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其中：财政    资金</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3.40</w:t>
            </w:r>
          </w:p>
        </w:tc>
        <w:tc>
          <w:tcPr>
            <w:tcW w:w="1994"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其他资金</w:t>
            </w:r>
          </w:p>
        </w:tc>
        <w:tc>
          <w:tcPr>
            <w:tcW w:w="1991" w:type="dxa"/>
            <w:vAlign w:val="center"/>
          </w:tcPr>
          <w:p>
            <w:pPr>
              <w:pStyle w:val="19"/>
              <w:rPr>
                <w:rFonts w:hint="eastAsia"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pStyle w:val="19"/>
              <w:rPr>
                <w:rFonts w:hint="eastAsia" w:ascii="方正仿宋简体" w:hAnsi="方正仿宋简体" w:eastAsia="方正仿宋简体" w:cs="方正仿宋简体"/>
                <w:bCs/>
                <w:szCs w:val="21"/>
              </w:rPr>
            </w:pPr>
          </w:p>
        </w:tc>
        <w:tc>
          <w:tcPr>
            <w:tcW w:w="11945" w:type="dxa"/>
            <w:gridSpan w:val="6"/>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预算数3.4万元。其中：财政资金3.4万元，其他资金0万元。主要用于：安可计算机购置。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资金支出计划（%）</w:t>
            </w:r>
          </w:p>
        </w:tc>
        <w:tc>
          <w:tcPr>
            <w:tcW w:w="3980" w:type="dxa"/>
            <w:gridSpan w:val="2"/>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3月底</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6月底</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10月底</w:t>
            </w:r>
          </w:p>
        </w:tc>
        <w:tc>
          <w:tcPr>
            <w:tcW w:w="3985" w:type="dxa"/>
            <w:gridSpan w:val="2"/>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pStyle w:val="19"/>
              <w:rPr>
                <w:rFonts w:hint="eastAsia" w:ascii="方正仿宋简体" w:hAnsi="方正仿宋简体" w:eastAsia="方正仿宋简体" w:cs="方正仿宋简体"/>
                <w:bCs/>
                <w:szCs w:val="21"/>
              </w:rPr>
            </w:pPr>
          </w:p>
        </w:tc>
        <w:tc>
          <w:tcPr>
            <w:tcW w:w="3980" w:type="dxa"/>
            <w:gridSpan w:val="2"/>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985" w:type="dxa"/>
            <w:gridSpan w:val="2"/>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绩效目标</w:t>
            </w:r>
          </w:p>
        </w:tc>
        <w:tc>
          <w:tcPr>
            <w:tcW w:w="11945" w:type="dxa"/>
            <w:gridSpan w:val="6"/>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1.做好购置工作，保障单位业务开展。</w:t>
            </w:r>
          </w:p>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2.有利于业务开展，提高服务保障能力。</w:t>
            </w:r>
          </w:p>
        </w:tc>
      </w:tr>
    </w:tbl>
    <w:p>
      <w:pPr>
        <w:pStyle w:val="19"/>
        <w:rPr>
          <w:rFonts w:hint="eastAsia" w:ascii="方正仿宋简体" w:hAnsi="方正仿宋简体" w:eastAsia="方正仿宋简体" w:cs="方正仿宋简体"/>
          <w:bCs/>
          <w:szCs w:val="21"/>
        </w:rPr>
      </w:pPr>
    </w:p>
    <w:tbl>
      <w:tblPr>
        <w:tblStyle w:val="10"/>
        <w:tblW w:w="139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201"/>
        <w:gridCol w:w="1611"/>
        <w:gridCol w:w="1748"/>
        <w:gridCol w:w="1185"/>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6"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一级指标</w:t>
            </w: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二级指标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三级指标</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绩效指标描述</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指标值</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restart"/>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设备购置数量</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设备购置完成数量</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4台</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pStyle w:val="19"/>
              <w:rPr>
                <w:rFonts w:hint="eastAsia" w:ascii="方正仿宋简体" w:hAnsi="方正仿宋简体" w:eastAsia="方正仿宋简体" w:cs="方正仿宋简体"/>
                <w:bCs/>
                <w:szCs w:val="21"/>
              </w:rPr>
            </w:pP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验收合格率</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验收合格率=验收合格的设备数量/当年购置设备数量*100%</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pStyle w:val="19"/>
              <w:rPr>
                <w:rFonts w:hint="eastAsia" w:ascii="方正仿宋简体" w:hAnsi="方正仿宋简体" w:eastAsia="方正仿宋简体" w:cs="方正仿宋简体"/>
                <w:bCs/>
                <w:szCs w:val="21"/>
              </w:rPr>
            </w:pP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购置完成时限</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购置完成时限</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2023年12月31日</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pStyle w:val="19"/>
              <w:rPr>
                <w:rFonts w:hint="eastAsia" w:ascii="方正仿宋简体" w:hAnsi="方正仿宋简体" w:eastAsia="方正仿宋简体" w:cs="方正仿宋简体"/>
                <w:bCs/>
                <w:szCs w:val="21"/>
              </w:rPr>
            </w:pP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预算执行率</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预算执行率</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restart"/>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节约项目开支</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践行厉行节约反对浪费制度体系建设</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pStyle w:val="19"/>
              <w:rPr>
                <w:rFonts w:hint="eastAsia" w:ascii="方正仿宋简体" w:hAnsi="方正仿宋简体" w:eastAsia="方正仿宋简体" w:cs="方正仿宋简体"/>
                <w:bCs/>
                <w:szCs w:val="21"/>
              </w:rPr>
            </w:pP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提升公共服务水平</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购置对公共服务水平的提升</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pStyle w:val="19"/>
              <w:rPr>
                <w:rFonts w:hint="eastAsia" w:ascii="方正仿宋简体" w:hAnsi="方正仿宋简体" w:eastAsia="方正仿宋简体" w:cs="方正仿宋简体"/>
                <w:bCs/>
                <w:szCs w:val="21"/>
              </w:rPr>
            </w:pP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工作环境改善程度</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对工作环境的改善程度</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pStyle w:val="19"/>
              <w:rPr>
                <w:rFonts w:hint="eastAsia" w:ascii="方正仿宋简体" w:hAnsi="方正仿宋简体" w:eastAsia="方正仿宋简体" w:cs="方正仿宋简体"/>
                <w:bCs/>
                <w:szCs w:val="21"/>
              </w:rPr>
            </w:pP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提高发改领域服务保障能力</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有利于业务开展，提高服务保障能力</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120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611"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w:t>
            </w:r>
          </w:p>
        </w:tc>
        <w:tc>
          <w:tcPr>
            <w:tcW w:w="1748"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w:t>
            </w:r>
          </w:p>
        </w:tc>
        <w:tc>
          <w:tcPr>
            <w:tcW w:w="1185"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7049" w:type="dxa"/>
            <w:vAlign w:val="center"/>
          </w:tcPr>
          <w:p>
            <w:pPr>
              <w:pStyle w:val="19"/>
              <w:rPr>
                <w:rFonts w:hint="eastAsia"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0" w:num="1"/>
        </w:sectPr>
      </w:pPr>
    </w:p>
    <w:p>
      <w:pPr>
        <w:jc w:val="center"/>
      </w:pPr>
    </w:p>
    <w:p>
      <w:pPr>
        <w:ind w:firstLine="560"/>
        <w:outlineLvl w:val="3"/>
      </w:pPr>
      <w:bookmarkStart w:id="2" w:name="_Toc_4_4_0000000005"/>
      <w:r>
        <w:rPr>
          <w:rFonts w:hint="eastAsia" w:ascii="方正仿宋简体" w:hAnsi="方正仿宋简体" w:eastAsia="方正仿宋简体" w:cs="方正仿宋简体"/>
          <w:color w:val="000000"/>
          <w:sz w:val="28"/>
        </w:rPr>
        <w:t>2.城区公园绿地及道路绿化养护一体化项目绩效目标表</w:t>
      </w:r>
      <w:bookmarkEnd w:id="2"/>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1"/>
        <w:gridCol w:w="1527"/>
        <w:gridCol w:w="1901"/>
        <w:gridCol w:w="2671"/>
        <w:gridCol w:w="1567"/>
        <w:gridCol w:w="1851"/>
        <w:gridCol w:w="21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38"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656001遵化市城市管理综合行政执法局本级</w:t>
            </w:r>
          </w:p>
        </w:tc>
        <w:tc>
          <w:tcPr>
            <w:tcW w:w="2197"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428"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13028123P00021710001P</w:t>
            </w:r>
          </w:p>
        </w:tc>
        <w:tc>
          <w:tcPr>
            <w:tcW w:w="267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615"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527"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90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893.00</w:t>
            </w:r>
          </w:p>
        </w:tc>
        <w:tc>
          <w:tcPr>
            <w:tcW w:w="267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5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893.00</w:t>
            </w:r>
          </w:p>
        </w:tc>
        <w:tc>
          <w:tcPr>
            <w:tcW w:w="185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2197"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continue"/>
          </w:tcPr>
          <w:p>
            <w:pPr>
              <w:rPr>
                <w:rFonts w:ascii="方正仿宋简体" w:hAnsi="方正仿宋简体" w:eastAsia="方正仿宋简体" w:cs="方正仿宋简体"/>
                <w:bCs/>
                <w:sz w:val="21"/>
                <w:szCs w:val="21"/>
              </w:rPr>
            </w:pPr>
          </w:p>
        </w:tc>
        <w:tc>
          <w:tcPr>
            <w:tcW w:w="11714"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预算数893万元。其中：财政资金893万元，其他资金0万元。主要用于：城区公园绿地及道路绿化养护一体化项目。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428"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267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567"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4048"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continue"/>
          </w:tcPr>
          <w:p>
            <w:pPr>
              <w:rPr>
                <w:rFonts w:ascii="方正仿宋简体" w:hAnsi="方正仿宋简体" w:eastAsia="方正仿宋简体" w:cs="方正仿宋简体"/>
                <w:bCs/>
                <w:sz w:val="21"/>
                <w:szCs w:val="21"/>
              </w:rPr>
            </w:pPr>
          </w:p>
        </w:tc>
        <w:tc>
          <w:tcPr>
            <w:tcW w:w="3428"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2671"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567"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4048"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714"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1.面向社会招标承包养护权，负责城区现有公园绿地和道路绿化养护工作和补植补工作。</w:t>
            </w:r>
          </w:p>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2.通过加强管理，按标准严格考核，每月按考核结果拨款，进一步提升园林绿化管理水平，提升城市品位和形象。</w:t>
            </w:r>
          </w:p>
        </w:tc>
      </w:tr>
    </w:tbl>
    <w:p>
      <w:pPr>
        <w:spacing w:line="2" w:lineRule="exact"/>
        <w:jc w:val="center"/>
        <w:rPr>
          <w:rFonts w:ascii="方正仿宋简体" w:hAnsi="方正仿宋简体" w:eastAsia="方正仿宋简体" w:cs="方正仿宋简体"/>
          <w:bCs/>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999"/>
        <w:gridCol w:w="1286"/>
        <w:gridCol w:w="2429"/>
        <w:gridCol w:w="1308"/>
        <w:gridCol w:w="7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999"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286"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2429"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308"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7205"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城区公园及道路绿化养护面积</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城区公园及道路绿化养护面积（万平方米）</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≥278.85万平方米</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ascii="方正仿宋简体" w:hAnsi="方正仿宋简体" w:eastAsia="方正仿宋简体" w:cs="方正仿宋简体"/>
                <w:bCs/>
                <w:sz w:val="21"/>
                <w:szCs w:val="21"/>
              </w:rPr>
            </w:pP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绿化成活率</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反映补植苗木成活情况和街道绿化景观效果</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ascii="方正仿宋简体" w:hAnsi="方正仿宋简体" w:eastAsia="方正仿宋简体" w:cs="方正仿宋简体"/>
                <w:bCs/>
                <w:sz w:val="21"/>
                <w:szCs w:val="21"/>
              </w:rPr>
            </w:pP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破损设施修复天数</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反映设施破损修复时效情况（10天内）</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ascii="方正仿宋简体" w:hAnsi="方正仿宋简体" w:eastAsia="方正仿宋简体" w:cs="方正仿宋简体"/>
                <w:bCs/>
                <w:sz w:val="21"/>
                <w:szCs w:val="21"/>
              </w:rPr>
            </w:pP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绿化工程节支率</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实际费用与预算费用比率</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综合利用率</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基础设施建成后的利用、使用情况</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ascii="方正仿宋简体" w:hAnsi="方正仿宋简体" w:eastAsia="方正仿宋简体" w:cs="方正仿宋简体"/>
                <w:bCs/>
                <w:sz w:val="21"/>
                <w:szCs w:val="21"/>
              </w:rPr>
            </w:pP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全年服务天数</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反映街道绿化养护运行管理服务民众的社会效益情况</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ascii="方正仿宋简体" w:hAnsi="方正仿宋简体" w:eastAsia="方正仿宋简体" w:cs="方正仿宋简体"/>
                <w:bCs/>
                <w:sz w:val="21"/>
                <w:szCs w:val="21"/>
              </w:rPr>
            </w:pP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长期使用性</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能够长期较好地提升效果，长期满足人民群众的需求。</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ascii="方正仿宋简体" w:hAnsi="方正仿宋简体" w:eastAsia="方正仿宋简体" w:cs="方正仿宋简体"/>
                <w:bCs/>
                <w:sz w:val="21"/>
                <w:szCs w:val="21"/>
              </w:rPr>
            </w:pP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99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28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受益群体满意度</w:t>
            </w:r>
          </w:p>
        </w:tc>
        <w:tc>
          <w:tcPr>
            <w:tcW w:w="24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受益群体调查中，满意和较满意的人数占全部调查人数的比率</w:t>
            </w:r>
          </w:p>
        </w:tc>
        <w:tc>
          <w:tcPr>
            <w:tcW w:w="130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简体" w:eastAsia="方正仿宋简体" w:cs="方正仿宋简体"/>
          <w:sz w:val="28"/>
          <w:szCs w:val="28"/>
        </w:rPr>
      </w:pPr>
      <w:bookmarkStart w:id="3" w:name="_Toc_4_4_0000000006"/>
      <w:r>
        <w:rPr>
          <w:rFonts w:hint="eastAsia" w:ascii="方正仿宋简体" w:hAnsi="方正仿宋简体" w:eastAsia="方正仿宋简体" w:cs="方正仿宋简体"/>
          <w:color w:val="000000"/>
          <w:sz w:val="28"/>
          <w:szCs w:val="28"/>
        </w:rPr>
        <w:t>3.城区污水处理服务费绩效目标表</w:t>
      </w:r>
      <w:bookmarkEnd w:id="3"/>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80"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13028123P000215100020</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975"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城区污水处理服务费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3800.00</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3800.00</w:t>
            </w:r>
          </w:p>
        </w:tc>
        <w:tc>
          <w:tcPr>
            <w:tcW w:w="199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991"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预算数3800万元。其中：财政资金3800万元，其他资金0万元。主要用于：城区污水处理服务费。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80"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985"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3980"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985"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1.按照市政府购买服务合同，每月按时考核处理量，及时拨付费用，提升污水处理水平，做好环保相关工作维护污水处理设备、设施运转。</w:t>
            </w:r>
          </w:p>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2.确保全年24小时高效、稳定运行，有效去除进厂污水中的污染物，按规定排放达标出水。</w:t>
            </w:r>
          </w:p>
        </w:tc>
      </w:tr>
    </w:tbl>
    <w:p>
      <w:pPr>
        <w:spacing w:line="2" w:lineRule="exact"/>
        <w:jc w:val="center"/>
        <w:rPr>
          <w:rFonts w:ascii="方正仿宋简体" w:hAnsi="方正仿宋简体" w:eastAsia="方正仿宋简体" w:cs="方正仿宋简体"/>
          <w:bCs/>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1028"/>
        <w:gridCol w:w="1464"/>
        <w:gridCol w:w="2518"/>
        <w:gridCol w:w="706"/>
        <w:gridCol w:w="7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27"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1028"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46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2518"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706"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7495"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日污水处理量（万吨）</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日污水处理量（万吨）</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≥8万吨</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ascii="方正仿宋简体" w:hAnsi="方正仿宋简体" w:eastAsia="方正仿宋简体" w:cs="方正仿宋简体"/>
                <w:bCs/>
                <w:sz w:val="21"/>
                <w:szCs w:val="21"/>
              </w:rPr>
            </w:pP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污水处理一级A标准质量指标</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出水水质达到一级A，达标率</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ascii="方正仿宋简体" w:hAnsi="方正仿宋简体" w:eastAsia="方正仿宋简体" w:cs="方正仿宋简体"/>
                <w:bCs/>
                <w:sz w:val="21"/>
                <w:szCs w:val="21"/>
              </w:rPr>
            </w:pP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来水及时处理率</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反映污水及时处理情况率</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ascii="方正仿宋简体" w:hAnsi="方正仿宋简体" w:eastAsia="方正仿宋简体" w:cs="方正仿宋简体"/>
                <w:bCs/>
                <w:sz w:val="21"/>
                <w:szCs w:val="21"/>
              </w:rPr>
            </w:pP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污水处理费节支率</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实际费用与预算费用比率</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综合利用率</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基础设施建成后的利用、使用情况</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ascii="方正仿宋简体" w:hAnsi="方正仿宋简体" w:eastAsia="方正仿宋简体" w:cs="方正仿宋简体"/>
                <w:bCs/>
                <w:sz w:val="21"/>
                <w:szCs w:val="21"/>
              </w:rPr>
            </w:pP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全年服务天数</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反映污水处理运行管理服务民众的社会效益情况</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ascii="方正仿宋简体" w:hAnsi="方正仿宋简体" w:eastAsia="方正仿宋简体" w:cs="方正仿宋简体"/>
                <w:bCs/>
                <w:sz w:val="21"/>
                <w:szCs w:val="21"/>
              </w:rPr>
            </w:pP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长期使用性</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能够长期较好地提升效果，长期满足人民群众的需求。</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ascii="方正仿宋简体" w:hAnsi="方正仿宋简体" w:eastAsia="方正仿宋简体" w:cs="方正仿宋简体"/>
                <w:bCs/>
                <w:sz w:val="21"/>
                <w:szCs w:val="21"/>
              </w:rPr>
            </w:pP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102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46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受益群体满意度</w:t>
            </w:r>
          </w:p>
        </w:tc>
        <w:tc>
          <w:tcPr>
            <w:tcW w:w="251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受益群体调查中，满意和较满意的人数占全部调查人数的比率</w:t>
            </w:r>
          </w:p>
        </w:tc>
        <w:tc>
          <w:tcPr>
            <w:tcW w:w="70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49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jc w:val="both"/>
        <w:rPr>
          <w:rFonts w:ascii="方正仿宋简体" w:hAnsi="方正仿宋简体" w:eastAsia="方正仿宋简体" w:cs="方正仿宋简体"/>
          <w:sz w:val="28"/>
          <w:szCs w:val="28"/>
        </w:rPr>
      </w:pPr>
    </w:p>
    <w:p>
      <w:pPr>
        <w:ind w:firstLine="560"/>
        <w:outlineLvl w:val="3"/>
        <w:rPr>
          <w:rFonts w:ascii="方正仿宋简体" w:hAnsi="方正仿宋简体" w:eastAsia="方正仿宋简体" w:cs="方正仿宋简体"/>
          <w:sz w:val="28"/>
          <w:szCs w:val="28"/>
        </w:rPr>
      </w:pPr>
      <w:bookmarkStart w:id="4" w:name="_Toc_4_4_0000000007"/>
      <w:r>
        <w:rPr>
          <w:rFonts w:hint="eastAsia" w:ascii="方正仿宋简体" w:hAnsi="方正仿宋简体" w:eastAsia="方正仿宋简体" w:cs="方正仿宋简体"/>
          <w:color w:val="000000"/>
          <w:sz w:val="28"/>
          <w:szCs w:val="28"/>
        </w:rPr>
        <w:t>4.配置执法制式服装绩效目标表</w:t>
      </w:r>
      <w:bookmarkEnd w:id="4"/>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80"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13028123P00022410001X</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975"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配置执法制式服装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50.00</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50.00</w:t>
            </w:r>
          </w:p>
        </w:tc>
        <w:tc>
          <w:tcPr>
            <w:tcW w:w="199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991"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预算数50万元。其中：财政资金50万元，其他资金0万元。主要用于：配置执法制式服装。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80"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985"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3980"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985"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1.城管局更换执法制式服装。</w:t>
            </w:r>
          </w:p>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2.保障机关工作的正常运行，进一步整治城市空间秩序，规范城市建设行为，提升城市治理能力，提高人居环境质量，优化市场环境。</w:t>
            </w:r>
          </w:p>
        </w:tc>
      </w:tr>
    </w:tbl>
    <w:p>
      <w:pPr>
        <w:spacing w:line="2" w:lineRule="exact"/>
        <w:jc w:val="center"/>
        <w:rPr>
          <w:rFonts w:ascii="方正仿宋简体" w:hAnsi="方正仿宋简体" w:eastAsia="方正仿宋简体" w:cs="方正仿宋简体"/>
          <w:bCs/>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35"/>
        <w:gridCol w:w="1224"/>
        <w:gridCol w:w="3921"/>
        <w:gridCol w:w="680"/>
        <w:gridCol w:w="6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8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935"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22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392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68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6498"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专业设备购置数量</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新增购置的执法服装数量</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≥140套</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ascii="方正仿宋简体" w:hAnsi="方正仿宋简体" w:eastAsia="方正仿宋简体" w:cs="方正仿宋简体"/>
                <w:bCs/>
                <w:sz w:val="21"/>
                <w:szCs w:val="21"/>
              </w:rPr>
            </w:pP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购置质量合格率（%）</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购置质量合格的数量占购置总数量的比率</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ascii="方正仿宋简体" w:hAnsi="方正仿宋简体" w:eastAsia="方正仿宋简体" w:cs="方正仿宋简体"/>
                <w:bCs/>
                <w:sz w:val="21"/>
                <w:szCs w:val="21"/>
              </w:rPr>
            </w:pP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购置计划执行率</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购置计划执行率=按照计划及时购买安装的设备（含车辆和专用耗材）/计划购买安装的设备（含车辆和专用耗材）*100%</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ascii="方正仿宋简体" w:hAnsi="方正仿宋简体" w:eastAsia="方正仿宋简体" w:cs="方正仿宋简体"/>
                <w:bCs/>
                <w:sz w:val="21"/>
                <w:szCs w:val="21"/>
              </w:rPr>
            </w:pP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经费节支率</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实际费用与预算费用比率</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政府采购节支率</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政府采购节支率=（采购项目市场价值-采购项目政府采购价值）/采购项目市场价值*100%</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ascii="方正仿宋简体" w:hAnsi="方正仿宋简体" w:eastAsia="方正仿宋简体" w:cs="方正仿宋简体"/>
                <w:bCs/>
                <w:sz w:val="21"/>
                <w:szCs w:val="21"/>
              </w:rPr>
            </w:pP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业务保障能力提升情况</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购置对业务保障能力的提升情况</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ascii="方正仿宋简体" w:hAnsi="方正仿宋简体" w:eastAsia="方正仿宋简体" w:cs="方正仿宋简体"/>
                <w:bCs/>
                <w:sz w:val="21"/>
                <w:szCs w:val="21"/>
              </w:rPr>
            </w:pP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提升公共服务水平</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购置对公共服务水平的提升情况</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ascii="方正仿宋简体" w:hAnsi="方正仿宋简体" w:eastAsia="方正仿宋简体" w:cs="方正仿宋简体"/>
                <w:bCs/>
                <w:sz w:val="21"/>
                <w:szCs w:val="21"/>
              </w:rPr>
            </w:pP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93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22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受益群体满意度</w:t>
            </w:r>
          </w:p>
        </w:tc>
        <w:tc>
          <w:tcPr>
            <w:tcW w:w="392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受益群体调查中，满意和较满意的人数占全部调查人数的比率</w:t>
            </w:r>
          </w:p>
        </w:tc>
        <w:tc>
          <w:tcPr>
            <w:tcW w:w="68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49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简体" w:eastAsia="方正仿宋简体" w:cs="方正仿宋简体"/>
          <w:sz w:val="28"/>
          <w:szCs w:val="28"/>
        </w:rPr>
      </w:pPr>
      <w:bookmarkStart w:id="5" w:name="_Toc_4_4_0000000008"/>
      <w:r>
        <w:rPr>
          <w:rFonts w:hint="eastAsia" w:ascii="方正仿宋简体" w:hAnsi="方正仿宋简体" w:eastAsia="方正仿宋简体" w:cs="方正仿宋简体"/>
          <w:color w:val="000000"/>
          <w:sz w:val="28"/>
          <w:szCs w:val="28"/>
        </w:rPr>
        <w:t>5.市政路灯信号灯及平射灯等运行绩效目标表</w:t>
      </w:r>
      <w:bookmarkEnd w:id="5"/>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80"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13028123P00022110001W</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975"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市政路灯信号灯及平射灯等运行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360.00</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360.00</w:t>
            </w:r>
          </w:p>
        </w:tc>
        <w:tc>
          <w:tcPr>
            <w:tcW w:w="199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991"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预算数360万元。其中：财政资金360万元，其他资金0万元。主要用于：市政路灯信号灯及平射灯等运行。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80"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985"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3980"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985"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1.每月按电力部门结算的电量于月底前及时支付电费，保障路灯和信号灯电力供应。</w:t>
            </w:r>
          </w:p>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2.保障城区照明，方便城区市民出行。</w:t>
            </w:r>
          </w:p>
        </w:tc>
      </w:tr>
    </w:tbl>
    <w:p>
      <w:pPr>
        <w:spacing w:line="2" w:lineRule="exact"/>
        <w:jc w:val="center"/>
        <w:rPr>
          <w:rFonts w:ascii="方正仿宋简体" w:hAnsi="方正仿宋简体" w:eastAsia="方正仿宋简体" w:cs="方正仿宋简体"/>
          <w:bCs/>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976"/>
        <w:gridCol w:w="1461"/>
        <w:gridCol w:w="2785"/>
        <w:gridCol w:w="1220"/>
        <w:gridCol w:w="6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0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976"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46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2785"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22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6796"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路灯信号灯及平射灯用电量</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我市路灯信号灯及平射灯共计功率</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≥1743.84千瓦时</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ascii="方正仿宋简体" w:hAnsi="方正仿宋简体" w:eastAsia="方正仿宋简体" w:cs="方正仿宋简体"/>
                <w:bCs/>
                <w:sz w:val="21"/>
                <w:szCs w:val="21"/>
              </w:rPr>
            </w:pP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设施完好率</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我市路灯信号灯及平射灯设备设施完好率</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ascii="方正仿宋简体" w:hAnsi="方正仿宋简体" w:eastAsia="方正仿宋简体" w:cs="方正仿宋简体"/>
                <w:bCs/>
                <w:sz w:val="21"/>
                <w:szCs w:val="21"/>
              </w:rPr>
            </w:pP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大面积灭灯修复率</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抢修人员2小时内到达现场，3个工作日内修复</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ascii="方正仿宋简体" w:hAnsi="方正仿宋简体" w:eastAsia="方正仿宋简体" w:cs="方正仿宋简体"/>
                <w:bCs/>
                <w:sz w:val="21"/>
                <w:szCs w:val="21"/>
              </w:rPr>
            </w:pP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路灯信号灯及平射灯电费节支率</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实际费用与预算费用比率</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提升照明质量，改善夜间环境</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道路照明设施完好率98%以上，次干道亮灯率95%以上，设施完好率95%以上</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ascii="方正仿宋简体" w:hAnsi="方正仿宋简体" w:eastAsia="方正仿宋简体" w:cs="方正仿宋简体"/>
                <w:bCs/>
                <w:sz w:val="21"/>
                <w:szCs w:val="21"/>
              </w:rPr>
            </w:pP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降低事故发生率</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保障夜间行人出行安全</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ascii="方正仿宋简体" w:hAnsi="方正仿宋简体" w:eastAsia="方正仿宋简体" w:cs="方正仿宋简体"/>
                <w:bCs/>
                <w:sz w:val="21"/>
                <w:szCs w:val="21"/>
              </w:rPr>
            </w:pP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长期使用性</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能够长期较好地提升效果，长期满足人民群众的需求。</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ascii="方正仿宋简体" w:hAnsi="方正仿宋简体" w:eastAsia="方正仿宋简体" w:cs="方正仿宋简体"/>
                <w:bCs/>
                <w:sz w:val="21"/>
                <w:szCs w:val="21"/>
              </w:rPr>
            </w:pP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97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46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受益群体满意度</w:t>
            </w:r>
          </w:p>
        </w:tc>
        <w:tc>
          <w:tcPr>
            <w:tcW w:w="278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受益群体调查中，满意和较满意的人数占全部调查人数的比率</w:t>
            </w:r>
          </w:p>
        </w:tc>
        <w:tc>
          <w:tcPr>
            <w:tcW w:w="1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79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bl>
    <w:p>
      <w:pPr>
        <w:rPr>
          <w:rFonts w:ascii="方正仿宋简体" w:hAnsi="方正仿宋简体" w:eastAsia="方正仿宋简体" w:cs="方正仿宋简体"/>
          <w:bCs/>
          <w:sz w:val="21"/>
          <w:szCs w:val="21"/>
        </w:r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简体" w:eastAsia="方正仿宋简体" w:cs="方正仿宋简体"/>
          <w:sz w:val="28"/>
          <w:szCs w:val="28"/>
        </w:rPr>
      </w:pPr>
      <w:bookmarkStart w:id="6" w:name="_Toc_4_4_0000000009"/>
      <w:r>
        <w:rPr>
          <w:rFonts w:hint="eastAsia" w:ascii="方正仿宋简体" w:hAnsi="方正仿宋简体" w:eastAsia="方正仿宋简体" w:cs="方正仿宋简体"/>
          <w:color w:val="000000"/>
          <w:sz w:val="28"/>
          <w:szCs w:val="28"/>
        </w:rPr>
        <w:t>6.市政路灯正常维护维修及劳务派遣人员工资绩效目标表</w:t>
      </w:r>
      <w:bookmarkEnd w:id="6"/>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80"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13028123P00022210001J</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975"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市政路灯正常维护维修及劳务派遣人员工资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120.00</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120.00</w:t>
            </w:r>
          </w:p>
        </w:tc>
        <w:tc>
          <w:tcPr>
            <w:tcW w:w="199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991"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预算数120万元。其中：财政资金120万元，其他资金0万元。主要用于：市政路灯正常维护维修及劳务派遣人员工资。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80"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985"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3980"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985"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1.通过该项目的实施，加强维修维护，使城区主干道路灯亮灯率98%、次干道及支路路灯亮灯率96%，设施完好率95%。</w:t>
            </w:r>
          </w:p>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2.做好本职工工作，按时做好维护工作，为全市人民提供良好的城市夜景环境，方便城区市民出行。</w:t>
            </w:r>
          </w:p>
        </w:tc>
      </w:tr>
    </w:tbl>
    <w:p>
      <w:pPr>
        <w:spacing w:line="2" w:lineRule="exact"/>
        <w:jc w:val="center"/>
        <w:rPr>
          <w:rFonts w:ascii="方正仿宋简体" w:hAnsi="方正仿宋简体" w:eastAsia="方正仿宋简体" w:cs="方正仿宋简体"/>
          <w:bCs/>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8"/>
        <w:gridCol w:w="930"/>
        <w:gridCol w:w="1329"/>
        <w:gridCol w:w="3740"/>
        <w:gridCol w:w="630"/>
        <w:gridCol w:w="6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78"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93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329"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374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63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663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路灯正常维修维护数量比例</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1、维修灯具平均每月约150盏。 2、排除电缆故障平均每月消耗电缆约190米。3、节能改造灯具平均每月约55盏。</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ascii="方正仿宋简体" w:hAnsi="方正仿宋简体" w:eastAsia="方正仿宋简体" w:cs="方正仿宋简体"/>
                <w:bCs/>
                <w:sz w:val="21"/>
                <w:szCs w:val="21"/>
              </w:rPr>
            </w:pP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设施完好率</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我市路灯信号灯及平射灯设备设施完好率</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ascii="方正仿宋简体" w:hAnsi="方正仿宋简体" w:eastAsia="方正仿宋简体" w:cs="方正仿宋简体"/>
                <w:bCs/>
                <w:sz w:val="21"/>
                <w:szCs w:val="21"/>
              </w:rPr>
            </w:pP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大面积灭灯修复率</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抢修人员2小时内到达现场，3个工作日内修复</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ascii="方正仿宋简体" w:hAnsi="方正仿宋简体" w:eastAsia="方正仿宋简体" w:cs="方正仿宋简体"/>
                <w:bCs/>
                <w:sz w:val="21"/>
                <w:szCs w:val="21"/>
              </w:rPr>
            </w:pP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路灯维修维护节支率</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实际费用与编审预算费用比率</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长期使用性</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能够长期较好地提升效果，长期满足人民群众的需求。</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ascii="方正仿宋简体" w:hAnsi="方正仿宋简体" w:eastAsia="方正仿宋简体" w:cs="方正仿宋简体"/>
                <w:bCs/>
                <w:sz w:val="21"/>
                <w:szCs w:val="21"/>
              </w:rPr>
            </w:pP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降低事故发生率</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保障夜间行人出行安全</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ascii="方正仿宋简体" w:hAnsi="方正仿宋简体" w:eastAsia="方正仿宋简体" w:cs="方正仿宋简体"/>
                <w:bCs/>
                <w:sz w:val="21"/>
                <w:szCs w:val="21"/>
              </w:rPr>
            </w:pP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提升照明质量，改善夜间环境</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道路照明设施完好率98%以上，次干道亮灯率95%以上，设施完好率95%以上</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ascii="方正仿宋简体" w:hAnsi="方正仿宋简体" w:eastAsia="方正仿宋简体" w:cs="方正仿宋简体"/>
                <w:bCs/>
                <w:sz w:val="21"/>
                <w:szCs w:val="21"/>
              </w:rPr>
            </w:pP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9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329"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受益群体满意度</w:t>
            </w:r>
          </w:p>
        </w:tc>
        <w:tc>
          <w:tcPr>
            <w:tcW w:w="374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受益群体调查中，满意和较满意的人数占全部调查人数的比率</w:t>
            </w:r>
          </w:p>
        </w:tc>
        <w:tc>
          <w:tcPr>
            <w:tcW w:w="63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663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hint="eastAsia" w:ascii="方正仿宋简体" w:hAnsi="方正仿宋简体" w:eastAsia="方正仿宋简体" w:cs="方正仿宋简体"/>
          <w:color w:val="000000"/>
          <w:sz w:val="28"/>
          <w:szCs w:val="28"/>
        </w:rPr>
      </w:pPr>
      <w:bookmarkStart w:id="7" w:name="_Toc_4_4_0000000010"/>
      <w:r>
        <w:rPr>
          <w:rFonts w:hint="eastAsia" w:ascii="方正仿宋简体" w:hAnsi="方正仿宋简体" w:eastAsia="方正仿宋简体" w:cs="方正仿宋简体"/>
          <w:color w:val="000000"/>
          <w:sz w:val="28"/>
          <w:szCs w:val="28"/>
        </w:rPr>
        <w:t>7.市政维修及防汛工程绩效目标表</w:t>
      </w:r>
      <w:bookmarkEnd w:id="7"/>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80"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13028123P000220100017</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975"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450.00</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450.00</w:t>
            </w:r>
          </w:p>
        </w:tc>
        <w:tc>
          <w:tcPr>
            <w:tcW w:w="199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991"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预算数450万元。其中：财政资金450万元，其他资金0万元。主要用于：市政维修及防汛工程。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80"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985"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3980"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985"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1.科学组织实施城区市政及防汛设施维修、维护工程，严格按照相关规范要求文明施工，及时抢修，确保城区市政基础设施正常使用及</w:t>
            </w:r>
            <w:r>
              <w:rPr>
                <w:rFonts w:hint="eastAsia" w:ascii="方正仿宋简体" w:hAnsi="方正仿宋简体" w:eastAsia="方正仿宋简体" w:cs="方正仿宋简体"/>
                <w:bCs/>
                <w:szCs w:val="21"/>
                <w:lang w:eastAsia="zh-CN"/>
              </w:rPr>
              <w:t>安全度汛</w:t>
            </w:r>
            <w:r>
              <w:rPr>
                <w:rFonts w:hint="eastAsia" w:ascii="方正仿宋简体" w:hAnsi="方正仿宋简体" w:eastAsia="方正仿宋简体" w:cs="方正仿宋简体"/>
                <w:bCs/>
                <w:szCs w:val="21"/>
              </w:rPr>
              <w:t>。</w:t>
            </w:r>
          </w:p>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2.进一步完善基础设施水平，方便市民出行。</w:t>
            </w:r>
          </w:p>
        </w:tc>
      </w:tr>
    </w:tbl>
    <w:p>
      <w:pPr>
        <w:spacing w:line="2" w:lineRule="exact"/>
        <w:jc w:val="center"/>
        <w:rPr>
          <w:rFonts w:ascii="方正仿宋简体" w:hAnsi="方正仿宋简体" w:eastAsia="方正仿宋简体" w:cs="方正仿宋简体"/>
          <w:bCs/>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6"/>
        <w:gridCol w:w="1045"/>
        <w:gridCol w:w="968"/>
        <w:gridCol w:w="2571"/>
        <w:gridCol w:w="707"/>
        <w:gridCol w:w="7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36"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1045"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968"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257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707"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791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防汛天数</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反映汛期内实行24小时值班制度的时长情况</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120天</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ascii="方正仿宋简体" w:hAnsi="方正仿宋简体" w:eastAsia="方正仿宋简体" w:cs="方正仿宋简体"/>
                <w:bCs/>
                <w:sz w:val="21"/>
                <w:szCs w:val="21"/>
              </w:rPr>
            </w:pP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工程验收合格率</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通过验收的工程量占维修、维护工程的比率</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ascii="方正仿宋简体" w:hAnsi="方正仿宋简体" w:eastAsia="方正仿宋简体" w:cs="方正仿宋简体"/>
                <w:bCs/>
                <w:sz w:val="21"/>
                <w:szCs w:val="21"/>
              </w:rPr>
            </w:pP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项目节支率</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项目实际拨付与预算比率</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ascii="方正仿宋简体" w:hAnsi="方正仿宋简体" w:eastAsia="方正仿宋简体" w:cs="方正仿宋简体"/>
                <w:bCs/>
                <w:sz w:val="21"/>
                <w:szCs w:val="21"/>
              </w:rPr>
            </w:pP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防汛响应时间</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反映防汛指令反应时效情况（3小时内）</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综合利用率</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城区市政及防汛设施维修维护完成后的利用、使用情况</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ascii="方正仿宋简体" w:hAnsi="方正仿宋简体" w:eastAsia="方正仿宋简体" w:cs="方正仿宋简体"/>
                <w:bCs/>
                <w:sz w:val="21"/>
                <w:szCs w:val="21"/>
              </w:rPr>
            </w:pP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全年服务天数</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反应城区市政及防汛设施维修维护情况</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≥360天</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ascii="方正仿宋简体" w:hAnsi="方正仿宋简体" w:eastAsia="方正仿宋简体" w:cs="方正仿宋简体"/>
                <w:bCs/>
                <w:sz w:val="21"/>
                <w:szCs w:val="21"/>
              </w:rPr>
            </w:pP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长期使用性</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能够长期较好地提升效果，长期满足人民群众的出行需求。</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ascii="方正仿宋简体" w:hAnsi="方正仿宋简体" w:eastAsia="方正仿宋简体" w:cs="方正仿宋简体"/>
                <w:bCs/>
                <w:sz w:val="21"/>
                <w:szCs w:val="21"/>
              </w:rPr>
            </w:pP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改善生态环境质量</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104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968"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受益群体满意度</w:t>
            </w:r>
          </w:p>
        </w:tc>
        <w:tc>
          <w:tcPr>
            <w:tcW w:w="257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受益群体调查中，满意和较满意的人数占全部调查人数的比率</w:t>
            </w:r>
          </w:p>
        </w:tc>
        <w:tc>
          <w:tcPr>
            <w:tcW w:w="70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791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bl>
    <w:p>
      <w:pPr>
        <w:rPr>
          <w:rFonts w:ascii="方正仿宋简体" w:hAnsi="方正仿宋简体" w:eastAsia="方正仿宋简体" w:cs="方正仿宋简体"/>
          <w:bCs/>
          <w:sz w:val="21"/>
          <w:szCs w:val="21"/>
        </w:r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简体" w:eastAsia="方正仿宋简体" w:cs="方正仿宋简体"/>
          <w:sz w:val="28"/>
          <w:szCs w:val="28"/>
        </w:rPr>
      </w:pPr>
      <w:bookmarkStart w:id="8" w:name="_Toc_4_4_0000000011"/>
      <w:r>
        <w:rPr>
          <w:rFonts w:hint="eastAsia" w:ascii="方正仿宋简体" w:hAnsi="方正仿宋简体" w:eastAsia="方正仿宋简体" w:cs="方正仿宋简体"/>
          <w:color w:val="000000"/>
          <w:sz w:val="28"/>
          <w:szCs w:val="28"/>
        </w:rPr>
        <w:t>8.有机固废处置PPP项目服务费绩效目标表</w:t>
      </w:r>
      <w:bookmarkEnd w:id="8"/>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80"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13028123P000219100013</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975"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有机固废处置PPP项目服务费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540.00</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540.00</w:t>
            </w:r>
          </w:p>
        </w:tc>
        <w:tc>
          <w:tcPr>
            <w:tcW w:w="199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991"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预算数540万元。其中：财政资金540万元，其他资金0万元。主要用于：有机固废处置PPP项目服务费。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80"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985"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3980"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985"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1.将遵化市国祯污水处理厂污泥进行固废处理。</w:t>
            </w:r>
          </w:p>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2.确保全年高效、稳定运行。</w:t>
            </w:r>
          </w:p>
        </w:tc>
      </w:tr>
    </w:tbl>
    <w:p>
      <w:pPr>
        <w:spacing w:line="2" w:lineRule="exact"/>
        <w:jc w:val="center"/>
        <w:rPr>
          <w:rFonts w:ascii="方正仿宋简体" w:hAnsi="方正仿宋简体" w:eastAsia="方正仿宋简体" w:cs="方正仿宋简体"/>
          <w:bCs/>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1002"/>
        <w:gridCol w:w="1005"/>
        <w:gridCol w:w="3103"/>
        <w:gridCol w:w="894"/>
        <w:gridCol w:w="7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1002"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005"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3103"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89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722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污泥处置数量</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年度污泥处置数量（吨）</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≥18000吨</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ascii="方正仿宋简体" w:hAnsi="方正仿宋简体" w:eastAsia="方正仿宋简体" w:cs="方正仿宋简体"/>
                <w:bCs/>
                <w:sz w:val="21"/>
                <w:szCs w:val="21"/>
              </w:rPr>
            </w:pP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含水率小于80%</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符合《城镇污水处理厂污染物排放标准》（GB18918－2002）标准要求。</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≤80%</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ascii="方正仿宋简体" w:hAnsi="方正仿宋简体" w:eastAsia="方正仿宋简体" w:cs="方正仿宋简体"/>
                <w:bCs/>
                <w:sz w:val="21"/>
                <w:szCs w:val="21"/>
              </w:rPr>
            </w:pP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全天候不间断运行</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反映固废处理设施运行情况</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ascii="方正仿宋简体" w:hAnsi="方正仿宋简体" w:eastAsia="方正仿宋简体" w:cs="方正仿宋简体"/>
                <w:bCs/>
                <w:sz w:val="21"/>
                <w:szCs w:val="21"/>
              </w:rPr>
            </w:pP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处理费节支率</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实际费用与预算费用比率</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改善水环境</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对水资源的改善情况</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ascii="方正仿宋简体" w:hAnsi="方正仿宋简体" w:eastAsia="方正仿宋简体" w:cs="方正仿宋简体"/>
                <w:bCs/>
                <w:sz w:val="21"/>
                <w:szCs w:val="21"/>
              </w:rPr>
            </w:pP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生态环境改善效果</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生态环境改善效果</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ascii="方正仿宋简体" w:hAnsi="方正仿宋简体" w:eastAsia="方正仿宋简体" w:cs="方正仿宋简体"/>
                <w:bCs/>
                <w:sz w:val="21"/>
                <w:szCs w:val="21"/>
              </w:rPr>
            </w:pP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长期使用性</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能够长期较好地提升效果，长期满足人民群众的需求。</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ascii="方正仿宋简体" w:hAnsi="方正仿宋简体" w:eastAsia="方正仿宋简体" w:cs="方正仿宋简体"/>
                <w:bCs/>
                <w:sz w:val="21"/>
                <w:szCs w:val="21"/>
              </w:rPr>
            </w:pP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综合利用率</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基础设施建成后的利用、使用情况</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100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00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受益群体满意度</w:t>
            </w:r>
          </w:p>
        </w:tc>
        <w:tc>
          <w:tcPr>
            <w:tcW w:w="310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受益群体调查中，满意和较满意的人数占全部调查人数的比率</w:t>
            </w:r>
          </w:p>
        </w:tc>
        <w:tc>
          <w:tcPr>
            <w:tcW w:w="89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≥98%</w:t>
            </w:r>
          </w:p>
        </w:tc>
        <w:tc>
          <w:tcPr>
            <w:tcW w:w="722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jc w:val="center"/>
        <w:rPr>
          <w:sz w:val="28"/>
          <w:szCs w:val="28"/>
        </w:rPr>
      </w:pPr>
    </w:p>
    <w:p>
      <w:pPr>
        <w:ind w:firstLine="560"/>
        <w:outlineLvl w:val="3"/>
        <w:rPr>
          <w:rFonts w:ascii="方正仿宋简体" w:hAnsi="方正仿宋简体" w:eastAsia="方正仿宋简体" w:cs="方正仿宋简体"/>
          <w:sz w:val="28"/>
          <w:szCs w:val="28"/>
        </w:rPr>
      </w:pPr>
      <w:bookmarkStart w:id="9" w:name="_Toc_4_4_0000000012"/>
      <w:r>
        <w:rPr>
          <w:rFonts w:hint="eastAsia" w:ascii="方正仿宋简体" w:hAnsi="方正仿宋简体" w:eastAsia="方正仿宋简体" w:cs="方正仿宋简体"/>
          <w:color w:val="000000"/>
          <w:sz w:val="28"/>
          <w:szCs w:val="28"/>
        </w:rPr>
        <w:t>9.原矿山公司人员遗留问题资金绩效目标表</w:t>
      </w:r>
      <w:bookmarkEnd w:id="9"/>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13028123P00021310002L</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原矿山公司人员遗留问题资金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60.00</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预算数60万元。其中：财政资金60万元，其他资金0万元。主要用于：原矿山公司人员遗留问题资金。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1.按月发放职工工资，使职工正常待遇得到保障。</w:t>
            </w:r>
          </w:p>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2.保障机关工作的正常运行，进一步整治城市空间秩序，规范城市建设行为，提升城市治理能力，提高人居环境质量，优化市场环境。</w:t>
            </w: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2"/>
        <w:gridCol w:w="1018"/>
        <w:gridCol w:w="1462"/>
        <w:gridCol w:w="2707"/>
        <w:gridCol w:w="646"/>
        <w:gridCol w:w="7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2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101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146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270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64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738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0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46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矿山划转人员工资保险发放人数</w:t>
            </w:r>
          </w:p>
        </w:tc>
        <w:tc>
          <w:tcPr>
            <w:tcW w:w="27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矿山划转人员工资保险实际发放人数</w:t>
            </w:r>
          </w:p>
        </w:tc>
        <w:tc>
          <w:tcPr>
            <w:tcW w:w="64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32人</w:t>
            </w:r>
          </w:p>
        </w:tc>
        <w:tc>
          <w:tcPr>
            <w:tcW w:w="738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ascii="方正仿宋简体" w:hAnsi="方正仿宋简体" w:eastAsia="方正仿宋简体" w:cs="方正仿宋简体"/>
                <w:sz w:val="21"/>
                <w:szCs w:val="21"/>
              </w:rPr>
            </w:pPr>
          </w:p>
        </w:tc>
        <w:tc>
          <w:tcPr>
            <w:tcW w:w="10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46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按月发放矿山划转人员工资保险</w:t>
            </w:r>
          </w:p>
        </w:tc>
        <w:tc>
          <w:tcPr>
            <w:tcW w:w="27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当年实际工资保险每月月底前发放</w:t>
            </w:r>
          </w:p>
        </w:tc>
        <w:tc>
          <w:tcPr>
            <w:tcW w:w="64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738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ascii="方正仿宋简体" w:hAnsi="方正仿宋简体" w:eastAsia="方正仿宋简体" w:cs="方正仿宋简体"/>
                <w:sz w:val="21"/>
                <w:szCs w:val="21"/>
              </w:rPr>
            </w:pPr>
          </w:p>
        </w:tc>
        <w:tc>
          <w:tcPr>
            <w:tcW w:w="10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46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发放矿山划转人员工资保险</w:t>
            </w:r>
          </w:p>
        </w:tc>
        <w:tc>
          <w:tcPr>
            <w:tcW w:w="27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矿山划转人员工资保险发放数完成率</w:t>
            </w:r>
          </w:p>
        </w:tc>
        <w:tc>
          <w:tcPr>
            <w:tcW w:w="64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738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ascii="方正仿宋简体" w:hAnsi="方正仿宋简体" w:eastAsia="方正仿宋简体" w:cs="方正仿宋简体"/>
                <w:sz w:val="21"/>
                <w:szCs w:val="21"/>
              </w:rPr>
            </w:pPr>
          </w:p>
        </w:tc>
        <w:tc>
          <w:tcPr>
            <w:tcW w:w="10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46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经费节支率</w:t>
            </w:r>
          </w:p>
        </w:tc>
        <w:tc>
          <w:tcPr>
            <w:tcW w:w="27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实际费用与预算费用比率</w:t>
            </w:r>
          </w:p>
        </w:tc>
        <w:tc>
          <w:tcPr>
            <w:tcW w:w="64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738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0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46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矿山划转人员工资保险发放完成量</w:t>
            </w:r>
          </w:p>
        </w:tc>
        <w:tc>
          <w:tcPr>
            <w:tcW w:w="27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保障当年实际发放矿山划转人员工资人数</w:t>
            </w:r>
          </w:p>
        </w:tc>
        <w:tc>
          <w:tcPr>
            <w:tcW w:w="64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738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ascii="方正仿宋简体" w:hAnsi="方正仿宋简体" w:eastAsia="方正仿宋简体" w:cs="方正仿宋简体"/>
                <w:sz w:val="21"/>
                <w:szCs w:val="21"/>
              </w:rPr>
            </w:pPr>
          </w:p>
        </w:tc>
        <w:tc>
          <w:tcPr>
            <w:tcW w:w="10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46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按月发放矿山划转人员工资保险</w:t>
            </w:r>
          </w:p>
        </w:tc>
        <w:tc>
          <w:tcPr>
            <w:tcW w:w="27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按月发放矿山划转人员工资保险使职工正常待遇得到保障的持续作用</w:t>
            </w:r>
          </w:p>
        </w:tc>
        <w:tc>
          <w:tcPr>
            <w:tcW w:w="64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738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0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46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受益群体满意度</w:t>
            </w:r>
          </w:p>
        </w:tc>
        <w:tc>
          <w:tcPr>
            <w:tcW w:w="27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矿山划转人员体调查中，满意和较满意的人数占全部调查人数的比率</w:t>
            </w:r>
          </w:p>
        </w:tc>
        <w:tc>
          <w:tcPr>
            <w:tcW w:w="64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738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rPr>
          <w:rFonts w:ascii="方正仿宋简体" w:hAnsi="方正仿宋简体" w:eastAsia="方正仿宋简体" w:cs="方正仿宋简体"/>
          <w:sz w:val="21"/>
          <w:szCs w:val="21"/>
        </w:r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简体" w:eastAsia="方正仿宋简体" w:cs="方正仿宋简体"/>
          <w:sz w:val="28"/>
          <w:szCs w:val="28"/>
        </w:rPr>
      </w:pPr>
      <w:bookmarkStart w:id="10" w:name="_Toc_4_4_0000000013"/>
      <w:r>
        <w:rPr>
          <w:rFonts w:hint="eastAsia" w:ascii="方正仿宋简体" w:hAnsi="方正仿宋简体" w:eastAsia="方正仿宋简体" w:cs="方正仿宋简体"/>
          <w:color w:val="000000"/>
          <w:sz w:val="28"/>
          <w:szCs w:val="28"/>
        </w:rPr>
        <w:t>10.综合执法经费绩效目标表</w:t>
      </w:r>
      <w:bookmarkEnd w:id="10"/>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656001遵化市城市管理综合行政执法局本级</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13028123P000223100018</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54.00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54.00</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预算数54万元。其中：财政资金54万元，其他资金0万元。主要用于：综合执法经费。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1.用于综合执法治理日常办公经费，车辆保险、维修及油费等。</w:t>
            </w:r>
          </w:p>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2.保障机关工作的正常运行，进一步整治城市空间秩序，规范城市建设行为，提升城市治理能力，提高人居环境质量，优化市场环境。</w:t>
            </w: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927"/>
        <w:gridCol w:w="1216"/>
        <w:gridCol w:w="3943"/>
        <w:gridCol w:w="764"/>
        <w:gridCol w:w="6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7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92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121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394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76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641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施划停车位数量</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施划补画停车位等数量（个）</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≥6000个</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ascii="方正仿宋简体" w:hAnsi="方正仿宋简体" w:eastAsia="方正仿宋简体" w:cs="方正仿宋简体"/>
                <w:sz w:val="21"/>
                <w:szCs w:val="21"/>
              </w:rPr>
            </w:pP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购置质量合格率（%）</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购置质量合格的数量占购置总数量的比率</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ascii="方正仿宋简体" w:hAnsi="方正仿宋简体" w:eastAsia="方正仿宋简体" w:cs="方正仿宋简体"/>
                <w:sz w:val="21"/>
                <w:szCs w:val="21"/>
              </w:rPr>
            </w:pP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购置计划执行率</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购置计划执行率=按照计划及时购买安装的设备（含车辆和专用耗材）/计划购买安装的设备（含车辆和专用耗材）*100%</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ascii="方正仿宋简体" w:hAnsi="方正仿宋简体" w:eastAsia="方正仿宋简体" w:cs="方正仿宋简体"/>
                <w:sz w:val="21"/>
                <w:szCs w:val="21"/>
              </w:rPr>
            </w:pP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经费节支率</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实际费用与预算费用比率</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办公资源循环利用率</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反映年度办公资源的循环利用程度</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ascii="方正仿宋简体" w:hAnsi="方正仿宋简体" w:eastAsia="方正仿宋简体" w:cs="方正仿宋简体"/>
                <w:sz w:val="21"/>
                <w:szCs w:val="21"/>
              </w:rPr>
            </w:pP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业务保障能力提升情况</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购置对业务保障能力的提升情况</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ascii="方正仿宋简体" w:hAnsi="方正仿宋简体" w:eastAsia="方正仿宋简体" w:cs="方正仿宋简体"/>
                <w:sz w:val="21"/>
                <w:szCs w:val="21"/>
              </w:rPr>
            </w:pP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提升公共服务水平</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购置对公共服务水平的提升情况</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ascii="方正仿宋简体" w:hAnsi="方正仿宋简体" w:eastAsia="方正仿宋简体" w:cs="方正仿宋简体"/>
                <w:sz w:val="21"/>
                <w:szCs w:val="21"/>
              </w:rPr>
            </w:pP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改善生态环境质量</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改善生态环境质量</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9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21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受益群体满意度</w:t>
            </w:r>
          </w:p>
        </w:tc>
        <w:tc>
          <w:tcPr>
            <w:tcW w:w="394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受益群体调查中，满意和较满意的人数占全部调查人数的比率</w:t>
            </w:r>
          </w:p>
        </w:tc>
        <w:tc>
          <w:tcPr>
            <w:tcW w:w="76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≥98%</w:t>
            </w:r>
          </w:p>
        </w:tc>
        <w:tc>
          <w:tcPr>
            <w:tcW w:w="64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rPr>
          <w:rFonts w:ascii="方正仿宋简体" w:hAnsi="方正仿宋简体" w:eastAsia="方正仿宋简体" w:cs="方正仿宋简体"/>
          <w:sz w:val="21"/>
          <w:szCs w:val="21"/>
        </w:rPr>
        <w:sectPr>
          <w:pgSz w:w="16840" w:h="11900" w:orient="landscape"/>
          <w:pgMar w:top="1304" w:right="1984" w:bottom="1304" w:left="1134" w:header="720" w:footer="720" w:gutter="0"/>
          <w:pgNumType w:fmt="decimal"/>
          <w:cols w:space="720" w:num="1"/>
        </w:sectPr>
      </w:pPr>
    </w:p>
    <w:p>
      <w:pPr>
        <w:jc w:val="both"/>
      </w:pPr>
    </w:p>
    <w:p>
      <w:pPr>
        <w:widowControl w:val="0"/>
        <w:ind w:firstLine="640" w:firstLineChars="200"/>
        <w:jc w:val="both"/>
        <w:rPr>
          <w:rFonts w:ascii="方正黑体简体" w:hAnsi="方正黑体简体" w:eastAsia="方正黑体简体" w:cs="方正黑体简体"/>
          <w:color w:val="000000"/>
          <w:kern w:val="2"/>
          <w:sz w:val="32"/>
          <w:szCs w:val="32"/>
          <w:lang w:eastAsia="zh-CN"/>
        </w:rPr>
      </w:pPr>
      <w:r>
        <w:rPr>
          <w:rFonts w:hint="eastAsia" w:ascii="方正黑体简体" w:hAnsi="方正黑体简体" w:eastAsia="方正黑体简体" w:cs="方正黑体简体"/>
          <w:color w:val="000000"/>
          <w:kern w:val="2"/>
          <w:sz w:val="32"/>
          <w:szCs w:val="32"/>
          <w:lang w:eastAsia="zh-CN"/>
        </w:rPr>
        <w:t>六、政府采购预算情况</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2023年，遵化市城市管理综合行政执法局本级安排政府采购预算53.40万元。具体内容见下表。</w:t>
      </w:r>
    </w:p>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791"/>
        <w:gridCol w:w="855"/>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656001遵化市城市管理综合行政执法局本级</w:t>
            </w:r>
          </w:p>
        </w:tc>
        <w:tc>
          <w:tcPr>
            <w:tcW w:w="8316" w:type="dxa"/>
            <w:gridSpan w:val="9"/>
            <w:tcBorders>
              <w:top w:val="single" w:color="FFFFFF" w:sz="6" w:space="0"/>
              <w:left w:val="single" w:color="FFFFFF" w:sz="6" w:space="0"/>
              <w:right w:val="single" w:color="FFFFFF" w:sz="6" w:space="0"/>
            </w:tcBorders>
            <w:vAlign w:val="center"/>
          </w:tcPr>
          <w:p>
            <w:pPr>
              <w:pStyle w:val="31"/>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17"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政府采购项目来源</w:t>
            </w:r>
          </w:p>
        </w:tc>
        <w:tc>
          <w:tcPr>
            <w:tcW w:w="855"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采购物品名称</w:t>
            </w:r>
          </w:p>
        </w:tc>
        <w:tc>
          <w:tcPr>
            <w:tcW w:w="924"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政府采购目录序号</w:t>
            </w:r>
          </w:p>
        </w:tc>
        <w:tc>
          <w:tcPr>
            <w:tcW w:w="924"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计量  单位</w:t>
            </w:r>
          </w:p>
        </w:tc>
        <w:tc>
          <w:tcPr>
            <w:tcW w:w="924"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数量</w:t>
            </w:r>
          </w:p>
        </w:tc>
        <w:tc>
          <w:tcPr>
            <w:tcW w:w="924"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单价</w:t>
            </w:r>
          </w:p>
        </w:tc>
        <w:tc>
          <w:tcPr>
            <w:tcW w:w="7392" w:type="dxa"/>
            <w:gridSpan w:val="8"/>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政府采购金额（当年部门预算安排资金）</w:t>
            </w:r>
          </w:p>
        </w:tc>
        <w:tc>
          <w:tcPr>
            <w:tcW w:w="924"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2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791"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    资金</w:t>
            </w:r>
          </w:p>
        </w:tc>
        <w:tc>
          <w:tcPr>
            <w:tcW w:w="855" w:type="dxa"/>
            <w:vMerge w:val="continue"/>
          </w:tcPr>
          <w:p>
            <w:pPr>
              <w:rPr>
                <w:rFonts w:ascii="方正仿宋简体" w:hAnsi="方正仿宋简体" w:eastAsia="方正仿宋简体" w:cs="方正仿宋简体"/>
                <w:sz w:val="21"/>
                <w:szCs w:val="21"/>
              </w:rPr>
            </w:pPr>
          </w:p>
        </w:tc>
        <w:tc>
          <w:tcPr>
            <w:tcW w:w="924" w:type="dxa"/>
            <w:vMerge w:val="continue"/>
          </w:tcPr>
          <w:p>
            <w:pPr>
              <w:rPr>
                <w:rFonts w:ascii="方正仿宋简体" w:hAnsi="方正仿宋简体" w:eastAsia="方正仿宋简体" w:cs="方正仿宋简体"/>
                <w:sz w:val="21"/>
                <w:szCs w:val="21"/>
              </w:rPr>
            </w:pPr>
          </w:p>
        </w:tc>
        <w:tc>
          <w:tcPr>
            <w:tcW w:w="924" w:type="dxa"/>
            <w:vMerge w:val="continue"/>
          </w:tcPr>
          <w:p>
            <w:pPr>
              <w:rPr>
                <w:rFonts w:ascii="方正仿宋简体" w:hAnsi="方正仿宋简体" w:eastAsia="方正仿宋简体" w:cs="方正仿宋简体"/>
                <w:sz w:val="21"/>
                <w:szCs w:val="21"/>
              </w:rPr>
            </w:pPr>
          </w:p>
        </w:tc>
        <w:tc>
          <w:tcPr>
            <w:tcW w:w="924" w:type="dxa"/>
            <w:vMerge w:val="continue"/>
          </w:tcPr>
          <w:p>
            <w:pPr>
              <w:rPr>
                <w:rFonts w:ascii="方正仿宋简体" w:hAnsi="方正仿宋简体" w:eastAsia="方正仿宋简体" w:cs="方正仿宋简体"/>
                <w:sz w:val="21"/>
                <w:szCs w:val="21"/>
              </w:rPr>
            </w:pPr>
          </w:p>
        </w:tc>
        <w:tc>
          <w:tcPr>
            <w:tcW w:w="924" w:type="dxa"/>
            <w:vMerge w:val="continue"/>
          </w:tcPr>
          <w:p>
            <w:pPr>
              <w:rPr>
                <w:rFonts w:ascii="方正仿宋简体" w:hAnsi="方正仿宋简体" w:eastAsia="方正仿宋简体" w:cs="方正仿宋简体"/>
                <w:sz w:val="21"/>
                <w:szCs w:val="21"/>
              </w:rPr>
            </w:pPr>
          </w:p>
        </w:tc>
        <w:tc>
          <w:tcPr>
            <w:tcW w:w="92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92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一般公共预算拨款</w:t>
            </w:r>
          </w:p>
        </w:tc>
        <w:tc>
          <w:tcPr>
            <w:tcW w:w="92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基金预算拨款</w:t>
            </w:r>
          </w:p>
        </w:tc>
        <w:tc>
          <w:tcPr>
            <w:tcW w:w="92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国有资本经营预算拨款</w:t>
            </w:r>
          </w:p>
        </w:tc>
        <w:tc>
          <w:tcPr>
            <w:tcW w:w="92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财政专户核拨</w:t>
            </w:r>
          </w:p>
        </w:tc>
        <w:tc>
          <w:tcPr>
            <w:tcW w:w="92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单位    资金</w:t>
            </w:r>
          </w:p>
        </w:tc>
        <w:tc>
          <w:tcPr>
            <w:tcW w:w="92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财政拨    款结转</w:t>
            </w:r>
          </w:p>
        </w:tc>
        <w:tc>
          <w:tcPr>
            <w:tcW w:w="92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非财政    拨款结    转结余</w:t>
            </w:r>
          </w:p>
        </w:tc>
        <w:tc>
          <w:tcPr>
            <w:tcW w:w="924"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6"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  计</w:t>
            </w:r>
          </w:p>
        </w:tc>
        <w:tc>
          <w:tcPr>
            <w:tcW w:w="791" w:type="dxa"/>
            <w:vAlign w:val="center"/>
          </w:tcPr>
          <w:p>
            <w:pPr>
              <w:pStyle w:val="22"/>
              <w:rPr>
                <w:rFonts w:hint="default" w:ascii="方正仿宋简体" w:hAnsi="方正仿宋简体" w:eastAsia="方正仿宋简体" w:cs="方正仿宋简体"/>
                <w:b w:val="0"/>
                <w:szCs w:val="21"/>
                <w:lang w:val="en-US" w:eastAsia="zh-CN"/>
              </w:rPr>
            </w:pPr>
            <w:r>
              <w:rPr>
                <w:rFonts w:hint="eastAsia" w:ascii="方正仿宋简体" w:hAnsi="方正仿宋简体" w:eastAsia="方正仿宋简体" w:cs="方正仿宋简体"/>
                <w:b w:val="0"/>
                <w:szCs w:val="21"/>
                <w:lang w:val="en-US" w:eastAsia="zh-CN"/>
              </w:rPr>
              <w:t>53.40</w:t>
            </w:r>
          </w:p>
        </w:tc>
        <w:tc>
          <w:tcPr>
            <w:tcW w:w="855" w:type="dxa"/>
            <w:vAlign w:val="center"/>
          </w:tcPr>
          <w:p>
            <w:pPr>
              <w:pStyle w:val="23"/>
              <w:rPr>
                <w:rFonts w:ascii="方正仿宋简体" w:hAnsi="方正仿宋简体" w:eastAsia="方正仿宋简体" w:cs="方正仿宋简体"/>
                <w:b w:val="0"/>
                <w:szCs w:val="21"/>
              </w:rPr>
            </w:pPr>
          </w:p>
        </w:tc>
        <w:tc>
          <w:tcPr>
            <w:tcW w:w="924" w:type="dxa"/>
            <w:vAlign w:val="center"/>
          </w:tcPr>
          <w:p>
            <w:pPr>
              <w:pStyle w:val="23"/>
              <w:rPr>
                <w:rFonts w:ascii="方正仿宋简体" w:hAnsi="方正仿宋简体" w:eastAsia="方正仿宋简体" w:cs="方正仿宋简体"/>
                <w:b w:val="0"/>
                <w:szCs w:val="21"/>
              </w:rPr>
            </w:pPr>
          </w:p>
        </w:tc>
        <w:tc>
          <w:tcPr>
            <w:tcW w:w="924" w:type="dxa"/>
            <w:vAlign w:val="center"/>
          </w:tcPr>
          <w:p>
            <w:pPr>
              <w:pStyle w:val="21"/>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53.40</w:t>
            </w:r>
          </w:p>
        </w:tc>
        <w:tc>
          <w:tcPr>
            <w:tcW w:w="924"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53.40</w:t>
            </w: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hint="default" w:ascii="方正仿宋简体" w:hAnsi="方正仿宋简体" w:eastAsia="方正仿宋简体" w:cs="方正仿宋简体"/>
                <w:b w:val="0"/>
                <w:szCs w:val="21"/>
                <w:lang w:val="en-US" w:eastAsia="zh-CN"/>
              </w:rPr>
            </w:pPr>
            <w:r>
              <w:rPr>
                <w:rFonts w:hint="eastAsia" w:ascii="方正仿宋简体" w:hAnsi="方正仿宋简体" w:eastAsia="方正仿宋简体" w:cs="方正仿宋简体"/>
                <w:b w:val="0"/>
                <w:szCs w:val="21"/>
                <w:lang w:val="en-US" w:eastAsia="zh-CN"/>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08" w:hRule="atLeast"/>
          <w:jc w:val="center"/>
        </w:trPr>
        <w:tc>
          <w:tcPr>
            <w:tcW w:w="1126"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遵化市城市管理综合行政执法局本级小计</w:t>
            </w:r>
          </w:p>
        </w:tc>
        <w:tc>
          <w:tcPr>
            <w:tcW w:w="791" w:type="dxa"/>
            <w:vAlign w:val="center"/>
          </w:tcPr>
          <w:p>
            <w:pPr>
              <w:pStyle w:val="22"/>
              <w:rPr>
                <w:rFonts w:hint="default" w:ascii="方正仿宋简体" w:hAnsi="方正仿宋简体" w:eastAsia="方正仿宋简体" w:cs="方正仿宋简体"/>
                <w:b w:val="0"/>
                <w:szCs w:val="21"/>
                <w:lang w:val="en-US" w:eastAsia="zh-CN"/>
              </w:rPr>
            </w:pPr>
            <w:r>
              <w:rPr>
                <w:rFonts w:hint="eastAsia" w:ascii="方正仿宋简体" w:hAnsi="方正仿宋简体" w:eastAsia="方正仿宋简体" w:cs="方正仿宋简体"/>
                <w:b w:val="0"/>
                <w:szCs w:val="21"/>
                <w:lang w:val="en-US" w:eastAsia="zh-CN"/>
              </w:rPr>
              <w:t>53.4</w:t>
            </w:r>
          </w:p>
        </w:tc>
        <w:tc>
          <w:tcPr>
            <w:tcW w:w="855" w:type="dxa"/>
            <w:vAlign w:val="center"/>
          </w:tcPr>
          <w:p>
            <w:pPr>
              <w:pStyle w:val="23"/>
              <w:rPr>
                <w:rFonts w:ascii="方正仿宋简体" w:hAnsi="方正仿宋简体" w:eastAsia="方正仿宋简体" w:cs="方正仿宋简体"/>
                <w:b w:val="0"/>
                <w:szCs w:val="21"/>
              </w:rPr>
            </w:pPr>
          </w:p>
        </w:tc>
        <w:tc>
          <w:tcPr>
            <w:tcW w:w="924" w:type="dxa"/>
            <w:vAlign w:val="center"/>
          </w:tcPr>
          <w:p>
            <w:pPr>
              <w:pStyle w:val="23"/>
              <w:rPr>
                <w:rFonts w:ascii="方正仿宋简体" w:hAnsi="方正仿宋简体" w:eastAsia="方正仿宋简体" w:cs="方正仿宋简体"/>
                <w:b w:val="0"/>
                <w:szCs w:val="21"/>
              </w:rPr>
            </w:pPr>
          </w:p>
        </w:tc>
        <w:tc>
          <w:tcPr>
            <w:tcW w:w="924" w:type="dxa"/>
            <w:vAlign w:val="center"/>
          </w:tcPr>
          <w:p>
            <w:pPr>
              <w:pStyle w:val="21"/>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53.40</w:t>
            </w:r>
          </w:p>
        </w:tc>
        <w:tc>
          <w:tcPr>
            <w:tcW w:w="924"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53.40</w:t>
            </w: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c>
          <w:tcPr>
            <w:tcW w:w="924" w:type="dxa"/>
            <w:vAlign w:val="center"/>
          </w:tcPr>
          <w:p>
            <w:pPr>
              <w:pStyle w:val="22"/>
              <w:rPr>
                <w:rFonts w:ascii="方正仿宋简体" w:hAnsi="方正仿宋简体" w:eastAsia="方正仿宋简体" w:cs="方正仿宋简体"/>
                <w:b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安可计算机购置</w:t>
            </w:r>
          </w:p>
        </w:tc>
        <w:tc>
          <w:tcPr>
            <w:tcW w:w="791" w:type="dxa"/>
            <w:vAlign w:val="center"/>
          </w:tcPr>
          <w:p>
            <w:pPr>
              <w:pStyle w:val="18"/>
              <w:rPr>
                <w:rFonts w:hint="default" w:ascii="方正仿宋简体" w:hAnsi="方正仿宋简体" w:eastAsia="方正仿宋简体" w:cs="方正仿宋简体"/>
                <w:szCs w:val="21"/>
                <w:lang w:val="en-US" w:eastAsia="zh-CN"/>
              </w:rPr>
            </w:pPr>
            <w:r>
              <w:rPr>
                <w:rFonts w:hint="eastAsia" w:ascii="方正仿宋简体" w:hAnsi="方正仿宋简体" w:eastAsia="方正仿宋简体" w:cs="方正仿宋简体"/>
                <w:szCs w:val="21"/>
                <w:lang w:val="en-US" w:eastAsia="zh-CN"/>
              </w:rPr>
              <w:t>2.55</w:t>
            </w:r>
          </w:p>
        </w:tc>
        <w:tc>
          <w:tcPr>
            <w:tcW w:w="8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台式计算机</w:t>
            </w:r>
          </w:p>
        </w:tc>
        <w:tc>
          <w:tcPr>
            <w:tcW w:w="92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A02010105</w:t>
            </w:r>
          </w:p>
        </w:tc>
        <w:tc>
          <w:tcPr>
            <w:tcW w:w="92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台</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0.85</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2.55</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2.55</w:t>
            </w: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7" w:hRule="atLeast"/>
          <w:jc w:val="center"/>
        </w:trPr>
        <w:tc>
          <w:tcPr>
            <w:tcW w:w="112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安可计算机购置</w:t>
            </w:r>
          </w:p>
        </w:tc>
        <w:tc>
          <w:tcPr>
            <w:tcW w:w="791" w:type="dxa"/>
            <w:vAlign w:val="center"/>
          </w:tcPr>
          <w:p>
            <w:pPr>
              <w:pStyle w:val="18"/>
              <w:rPr>
                <w:rFonts w:hint="default" w:ascii="方正仿宋简体" w:hAnsi="方正仿宋简体" w:eastAsia="方正仿宋简体" w:cs="方正仿宋简体"/>
                <w:szCs w:val="21"/>
                <w:lang w:val="en-US" w:eastAsia="zh-CN"/>
              </w:rPr>
            </w:pPr>
            <w:r>
              <w:rPr>
                <w:rFonts w:hint="eastAsia" w:ascii="方正仿宋简体" w:hAnsi="方正仿宋简体" w:eastAsia="方正仿宋简体" w:cs="方正仿宋简体"/>
                <w:szCs w:val="21"/>
                <w:lang w:val="en-US" w:eastAsia="zh-CN"/>
              </w:rPr>
              <w:t>0.85</w:t>
            </w:r>
          </w:p>
        </w:tc>
        <w:tc>
          <w:tcPr>
            <w:tcW w:w="8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便携式计算机</w:t>
            </w:r>
          </w:p>
        </w:tc>
        <w:tc>
          <w:tcPr>
            <w:tcW w:w="92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A02010108</w:t>
            </w:r>
          </w:p>
        </w:tc>
        <w:tc>
          <w:tcPr>
            <w:tcW w:w="92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台</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0.85</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0.85</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0.85</w:t>
            </w: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配置执法制式服装</w:t>
            </w:r>
          </w:p>
        </w:tc>
        <w:tc>
          <w:tcPr>
            <w:tcW w:w="791"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50.00</w:t>
            </w:r>
          </w:p>
        </w:tc>
        <w:tc>
          <w:tcPr>
            <w:tcW w:w="8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制服</w:t>
            </w:r>
          </w:p>
        </w:tc>
        <w:tc>
          <w:tcPr>
            <w:tcW w:w="92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A05030301</w:t>
            </w:r>
          </w:p>
        </w:tc>
        <w:tc>
          <w:tcPr>
            <w:tcW w:w="92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套批</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50.00</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50.00</w:t>
            </w: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50.00</w:t>
            </w: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p>
        </w:tc>
        <w:tc>
          <w:tcPr>
            <w:tcW w:w="92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50.00</w:t>
            </w:r>
          </w:p>
        </w:tc>
      </w:tr>
    </w:tbl>
    <w:p>
      <w:pPr>
        <w:spacing w:line="500" w:lineRule="exact"/>
        <w:ind w:firstLine="420"/>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注：同一采购目录序号的物品，其单价会因配置规格不同而变动，均符合资产配置标准。涉密采购事项按照相关规定执行。</w:t>
      </w:r>
    </w:p>
    <w:p>
      <w:pPr>
        <w:ind w:firstLine="640"/>
      </w:pPr>
    </w:p>
    <w:p>
      <w:pPr>
        <w:widowControl w:val="0"/>
        <w:ind w:firstLine="640" w:firstLineChars="200"/>
        <w:jc w:val="both"/>
        <w:rPr>
          <w:rFonts w:ascii="方正黑体简体" w:hAnsi="方正黑体简体" w:eastAsia="方正黑体简体" w:cs="方正黑体简体"/>
          <w:color w:val="000000"/>
          <w:kern w:val="2"/>
          <w:sz w:val="32"/>
          <w:szCs w:val="32"/>
          <w:lang w:eastAsia="zh-CN"/>
        </w:rPr>
      </w:pPr>
    </w:p>
    <w:p>
      <w:pPr>
        <w:widowControl w:val="0"/>
        <w:ind w:firstLine="640" w:firstLineChars="200"/>
        <w:jc w:val="both"/>
        <w:rPr>
          <w:rFonts w:ascii="方正黑体简体" w:hAnsi="方正黑体简体" w:eastAsia="方正黑体简体" w:cs="方正黑体简体"/>
          <w:color w:val="000000"/>
          <w:kern w:val="2"/>
          <w:sz w:val="32"/>
          <w:szCs w:val="32"/>
          <w:lang w:eastAsia="zh-CN"/>
        </w:rPr>
      </w:pPr>
      <w:r>
        <w:rPr>
          <w:rFonts w:hint="eastAsia" w:ascii="方正黑体简体" w:hAnsi="方正黑体简体" w:eastAsia="方正黑体简体" w:cs="方正黑体简体"/>
          <w:color w:val="000000"/>
          <w:kern w:val="2"/>
          <w:sz w:val="32"/>
          <w:szCs w:val="32"/>
          <w:lang w:eastAsia="zh-CN"/>
        </w:rPr>
        <w:t>七、国有资产信息</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遵化市城市管理综合行政执法局本级上年末固定资产金额为504.93万元（详见下表）。本年度拟购置固定资产总额为3.40万元，已按要求列入政府采购预算，详见政府采购预算表。</w:t>
      </w:r>
    </w:p>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91"/>
        <w:gridCol w:w="3075"/>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91" w:type="dxa"/>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656001遵化市城市管理综合行政执法局本级</w:t>
            </w:r>
          </w:p>
        </w:tc>
        <w:tc>
          <w:tcPr>
            <w:tcW w:w="8008"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91"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项   目</w:t>
            </w:r>
          </w:p>
        </w:tc>
        <w:tc>
          <w:tcPr>
            <w:tcW w:w="3075"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数量</w:t>
            </w:r>
          </w:p>
        </w:tc>
        <w:tc>
          <w:tcPr>
            <w:tcW w:w="4933"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91"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资产总额</w:t>
            </w:r>
          </w:p>
        </w:tc>
        <w:tc>
          <w:tcPr>
            <w:tcW w:w="3075" w:type="dxa"/>
            <w:vAlign w:val="center"/>
          </w:tcPr>
          <w:p>
            <w:pPr>
              <w:pStyle w:val="20"/>
              <w:rPr>
                <w:rFonts w:ascii="方正仿宋简体" w:hAnsi="方正仿宋简体" w:eastAsia="方正仿宋简体" w:cs="方正仿宋简体"/>
                <w:sz w:val="32"/>
                <w:szCs w:val="32"/>
              </w:rPr>
            </w:pP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504.93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91"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1、房屋（平方米）</w:t>
            </w:r>
          </w:p>
        </w:tc>
        <w:tc>
          <w:tcPr>
            <w:tcW w:w="3075"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2154</w:t>
            </w: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91"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其中：办公用房（平方米）</w:t>
            </w:r>
          </w:p>
        </w:tc>
        <w:tc>
          <w:tcPr>
            <w:tcW w:w="3075"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w:t>
            </w: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91"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2、车辆（台、辆）</w:t>
            </w:r>
          </w:p>
        </w:tc>
        <w:tc>
          <w:tcPr>
            <w:tcW w:w="3075"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91"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3、单价在20万元以上的设备</w:t>
            </w:r>
          </w:p>
        </w:tc>
        <w:tc>
          <w:tcPr>
            <w:tcW w:w="3075" w:type="dxa"/>
            <w:vAlign w:val="center"/>
          </w:tcPr>
          <w:p>
            <w:pPr>
              <w:pStyle w:val="20"/>
              <w:rPr>
                <w:rFonts w:ascii="方正仿宋简体" w:hAnsi="方正仿宋简体" w:eastAsia="方正仿宋简体" w:cs="方正仿宋简体"/>
                <w:sz w:val="32"/>
                <w:szCs w:val="32"/>
              </w:rPr>
            </w:pPr>
          </w:p>
        </w:tc>
        <w:tc>
          <w:tcPr>
            <w:tcW w:w="4933" w:type="dxa"/>
            <w:vAlign w:val="center"/>
          </w:tcPr>
          <w:p>
            <w:pPr>
              <w:pStyle w:val="18"/>
              <w:rPr>
                <w:rFonts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91"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4、其他固定资产</w:t>
            </w:r>
          </w:p>
        </w:tc>
        <w:tc>
          <w:tcPr>
            <w:tcW w:w="3075" w:type="dxa"/>
            <w:vAlign w:val="center"/>
          </w:tcPr>
          <w:p>
            <w:pPr>
              <w:pStyle w:val="20"/>
              <w:rPr>
                <w:rFonts w:ascii="方正仿宋简体" w:hAnsi="方正仿宋简体" w:eastAsia="方正仿宋简体" w:cs="方正仿宋简体"/>
                <w:sz w:val="32"/>
                <w:szCs w:val="32"/>
              </w:rPr>
            </w:pP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186.64</w:t>
            </w:r>
          </w:p>
        </w:tc>
      </w:tr>
    </w:tbl>
    <w:p>
      <w:pPr>
        <w:ind w:firstLine="640"/>
      </w:pPr>
    </w:p>
    <w:p>
      <w:pPr>
        <w:widowControl w:val="0"/>
        <w:ind w:firstLine="640" w:firstLineChars="200"/>
        <w:jc w:val="both"/>
        <w:rPr>
          <w:rFonts w:ascii="方正黑体简体" w:hAnsi="方正黑体简体" w:eastAsia="方正黑体简体" w:cs="方正黑体简体"/>
          <w:color w:val="000000"/>
          <w:kern w:val="2"/>
          <w:sz w:val="32"/>
          <w:szCs w:val="32"/>
          <w:lang w:eastAsia="zh-CN"/>
        </w:rPr>
      </w:pPr>
      <w:r>
        <w:rPr>
          <w:rFonts w:hint="eastAsia" w:ascii="方正黑体简体" w:hAnsi="方正黑体简体" w:eastAsia="方正黑体简体" w:cs="方正黑体简体"/>
          <w:color w:val="000000"/>
          <w:kern w:val="2"/>
          <w:sz w:val="32"/>
          <w:szCs w:val="32"/>
          <w:lang w:eastAsia="zh-CN"/>
        </w:rPr>
        <w:t>八、名词解释</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1、一般公共预算拨款收入：指</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级财政当年拨付的资金。</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2、事业收入：指事业单位开展专业业务活动及辅助活动所取得的收入。</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3、其他收入：指除“一般公共预算拨款收入”、“事业收入”等以外的收入。主要是按规定动用的租房收入、存款利息收入等。</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4、基本支出：指为保障机构正常运转、完成日常工作任务而发生的人员支出和公用支出。</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5、项目支出：指在基本支出之外为完成特定行政任务和事业发展目标所发生的支出。</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6、上缴上级支出：指下级单位上缴上级的支出。</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7、“三公”经费：纳入</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9、上年结转：指以前年度尚未完成、结转到本年仍按原规定用途继续使用的资金。</w:t>
      </w:r>
    </w:p>
    <w:p>
      <w:pPr>
        <w:spacing w:line="570" w:lineRule="exact"/>
        <w:ind w:firstLine="56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10、事业单位经营支出：指事业单位在专业业务活动及其辅助活动之外开展非独立核算经营活动发生的支出。</w:t>
      </w:r>
    </w:p>
    <w:p>
      <w:pPr>
        <w:widowControl w:val="0"/>
        <w:ind w:firstLine="640" w:firstLineChars="200"/>
        <w:jc w:val="both"/>
        <w:rPr>
          <w:rFonts w:ascii="方正黑体简体" w:hAnsi="方正黑体简体" w:eastAsia="方正黑体简体" w:cs="方正黑体简体"/>
          <w:color w:val="000000"/>
          <w:kern w:val="2"/>
          <w:sz w:val="32"/>
          <w:szCs w:val="32"/>
          <w:lang w:eastAsia="zh-CN"/>
        </w:rPr>
      </w:pPr>
      <w:r>
        <w:rPr>
          <w:rFonts w:hint="eastAsia" w:ascii="方正黑体简体" w:hAnsi="方正黑体简体" w:eastAsia="方正黑体简体" w:cs="方正黑体简体"/>
          <w:color w:val="000000"/>
          <w:kern w:val="2"/>
          <w:sz w:val="32"/>
          <w:szCs w:val="32"/>
          <w:lang w:eastAsia="zh-CN"/>
        </w:rPr>
        <w:t>九、其他需要说明的事项</w:t>
      </w:r>
    </w:p>
    <w:p>
      <w:pPr>
        <w:spacing w:line="570" w:lineRule="exact"/>
        <w:ind w:firstLine="561"/>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我单位无其他需要说明的事项</w:t>
      </w:r>
      <w:r>
        <w:rPr>
          <w:rFonts w:hint="eastAsia" w:ascii="方正仿宋简体" w:hAnsi="方正仿宋简体" w:eastAsia="方正仿宋简体" w:cs="方正仿宋简体"/>
          <w:color w:val="000000"/>
          <w:sz w:val="32"/>
          <w:szCs w:val="32"/>
          <w:lang w:eastAsia="zh-CN"/>
        </w:rPr>
        <w:t>。</w:t>
      </w:r>
    </w:p>
    <w:p>
      <w:pPr>
        <w:spacing w:line="560" w:lineRule="exact"/>
        <w:jc w:val="both"/>
        <w:rPr>
          <w:rFonts w:ascii="黑体" w:hAnsi="黑体" w:eastAsia="黑体" w:cs="黑体"/>
          <w:b/>
          <w:bCs/>
          <w:sz w:val="44"/>
          <w:szCs w:val="44"/>
        </w:rPr>
        <w:sectPr>
          <w:headerReference r:id="rId9" w:type="default"/>
          <w:footerReference r:id="rId10" w:type="default"/>
          <w:footerReference r:id="rId11" w:type="even"/>
          <w:pgSz w:w="16840" w:h="11900" w:orient="landscape"/>
          <w:pgMar w:top="1361" w:right="1020" w:bottom="1134" w:left="1020" w:header="720" w:footer="720" w:gutter="0"/>
          <w:pgNumType w:fmt="decimal"/>
          <w:cols w:space="720" w:num="1"/>
        </w:sectPr>
      </w:pPr>
    </w:p>
    <w:p>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遵化市环境卫生管理中心收支预算</w:t>
      </w:r>
    </w:p>
    <w:p>
      <w:pPr>
        <w:widowControl w:val="0"/>
        <w:jc w:val="center"/>
        <w:outlineLvl w:val="0"/>
        <w:rPr>
          <w:rFonts w:ascii="黑体" w:hAnsi="黑体" w:eastAsia="黑体" w:cs="黑体"/>
          <w:b/>
          <w:kern w:val="2"/>
          <w:sz w:val="44"/>
          <w:szCs w:val="22"/>
          <w:lang w:eastAsia="zh-CN"/>
        </w:rPr>
      </w:pPr>
      <w:r>
        <w:rPr>
          <w:rFonts w:hint="eastAsia" w:ascii="黑体" w:hAnsi="黑体" w:eastAsia="黑体" w:cs="黑体"/>
          <w:b/>
          <w:kern w:val="2"/>
          <w:sz w:val="44"/>
          <w:szCs w:val="22"/>
          <w:lang w:eastAsia="zh-CN"/>
        </w:rPr>
        <w:t>2023年单位预算信息公开目录</w:t>
      </w:r>
    </w:p>
    <w:p>
      <w:pPr>
        <w:tabs>
          <w:tab w:val="left" w:pos="2561"/>
          <w:tab w:val="center" w:pos="7421"/>
        </w:tabs>
      </w:pPr>
      <w:r>
        <w:rPr>
          <w:rFonts w:hint="eastAsia" w:ascii="黑体" w:hAnsi="黑体" w:eastAsia="黑体" w:cs="黑体"/>
          <w:b/>
          <w:color w:val="000000"/>
          <w:sz w:val="30"/>
          <w:lang w:eastAsia="zh-CN"/>
        </w:rPr>
        <w:tab/>
      </w:r>
      <w:r>
        <w:rPr>
          <w:rFonts w:hint="eastAsia" w:ascii="黑体" w:hAnsi="黑体" w:eastAsia="黑体" w:cs="黑体"/>
          <w:b/>
          <w:color w:val="000000"/>
          <w:sz w:val="30"/>
          <w:lang w:eastAsia="zh-CN"/>
        </w:rPr>
        <w:tab/>
      </w:r>
    </w:p>
    <w:p>
      <w:pPr>
        <w:widowControl w:val="0"/>
        <w:rPr>
          <w:rFonts w:ascii="方正楷体_GBK" w:eastAsia="方正楷体_GBK" w:cs="Times New Roman"/>
          <w:b/>
          <w:kern w:val="2"/>
          <w:sz w:val="32"/>
          <w:szCs w:val="28"/>
          <w:lang w:eastAsia="zh-CN"/>
        </w:rPr>
      </w:pPr>
      <w:r>
        <w:rPr>
          <w:rFonts w:hint="eastAsia" w:ascii="方正楷体_GBK" w:eastAsia="方正楷体_GBK" w:cs="Times New Roman"/>
          <w:b/>
          <w:kern w:val="2"/>
          <w:sz w:val="32"/>
          <w:szCs w:val="28"/>
          <w:lang w:eastAsia="zh-CN"/>
        </w:rPr>
        <w:t>单位预算公开表</w:t>
      </w:r>
    </w:p>
    <w:p>
      <w:pPr>
        <w:pStyle w:val="7"/>
        <w:tabs>
          <w:tab w:val="right" w:leader="dot" w:pos="1456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"_Toc_2_2_0000000001"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60</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"_Toc_2_2_0000000002"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62</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"_Toc_2_2_0000000003"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64</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"_Toc_2_2_0000000004"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lang w:val="en-US" w:eastAsia="zh-CN"/>
        </w:rPr>
        <w:t>6</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"_Toc_2_2_0000000005"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lang w:val="en-US" w:eastAsia="zh-CN"/>
        </w:rPr>
        <w:t>9</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"_Toc_2_2_0000000006"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71</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"_Toc_2_2_0000000007"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73</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"_Toc_2_2_0000000008"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74</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"_Toc_2_2_0000000009"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75</w:t>
      </w:r>
    </w:p>
    <w:p>
      <w:pPr>
        <w:rPr>
          <w:rFonts w:ascii="方正楷体_GBK" w:eastAsia="方正楷体_GBK" w:cs="Times New Roman"/>
          <w:b/>
          <w:kern w:val="2"/>
          <w:sz w:val="32"/>
          <w:szCs w:val="28"/>
          <w:lang w:eastAsia="zh-CN"/>
        </w:rPr>
      </w:pPr>
      <w:r>
        <w:rPr>
          <w:rFonts w:hint="eastAsia" w:ascii="方正仿宋简体" w:hAnsi="方正仿宋简体" w:eastAsia="方正仿宋简体" w:cs="方正仿宋简体"/>
          <w:sz w:val="32"/>
          <w:szCs w:val="32"/>
        </w:rPr>
        <w:fldChar w:fldCharType="end"/>
      </w:r>
      <w:r>
        <w:rPr>
          <w:rFonts w:hint="eastAsia" w:ascii="方正楷体_GBK" w:eastAsia="方正楷体_GBK" w:cs="Times New Roman"/>
          <w:b/>
          <w:kern w:val="2"/>
          <w:sz w:val="32"/>
          <w:szCs w:val="28"/>
          <w:lang w:eastAsia="zh-CN"/>
        </w:rPr>
        <w:t>单位预算信息公开情况说明</w:t>
      </w:r>
    </w:p>
    <w:p>
      <w:pPr>
        <w:pStyle w:val="7"/>
        <w:tabs>
          <w:tab w:val="right" w:leader="dot" w:pos="14562"/>
        </w:tabs>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"3-3" \h \z \u</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"_Toc_3_3_0000000010" </w:instrText>
      </w:r>
      <w: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lang w:val="en-US" w:eastAsia="zh-CN"/>
        </w:rPr>
        <w:t>6</w:t>
      </w:r>
    </w:p>
    <w:p>
      <w:pPr>
        <w:pStyle w:val="7"/>
        <w:tabs>
          <w:tab w:val="right" w:leader="dot" w:pos="14562"/>
        </w:tabs>
        <w:rPr>
          <w:rFonts w:hint="eastAsia" w:ascii="方正仿宋简体" w:hAnsi="方正仿宋简体" w:eastAsia="方正仿宋简体" w:cs="方正仿宋简体"/>
          <w:sz w:val="32"/>
          <w:szCs w:val="32"/>
          <w:lang w:eastAsia="zh-CN"/>
        </w:rPr>
      </w:pPr>
      <w:r>
        <w:fldChar w:fldCharType="begin"/>
      </w:r>
      <w:r>
        <w:instrText xml:space="preserve"> HYPERLINK \l "_Toc_3_3_0000000011" </w:instrText>
      </w:r>
      <w: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lang w:val="en-US" w:eastAsia="zh-CN"/>
        </w:rPr>
        <w:t>7</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"_Toc_3_3_0000000012" </w:instrText>
      </w:r>
      <w: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lang w:val="en-US" w:eastAsia="zh-CN"/>
        </w:rPr>
        <w:t>8</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"_Toc_3_3_0000000013" </w:instrText>
      </w:r>
      <w: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lang w:val="en-US" w:eastAsia="zh-CN"/>
        </w:rPr>
        <w:t>8</w:t>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"_Toc_3_3_0000000014" </w:instrText>
      </w:r>
      <w: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val="en-US" w:eastAsia="zh-CN"/>
        </w:rPr>
        <w:t>9</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"_Toc_3_3_0000000015" </w:instrText>
      </w:r>
      <w: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103</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"_Toc_3_3_0000000016" </w:instrText>
      </w:r>
      <w: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104</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"_Toc_3_3_0000000017" </w:instrText>
      </w:r>
      <w: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105</w:t>
      </w:r>
    </w:p>
    <w:p>
      <w:pPr>
        <w:pStyle w:val="7"/>
        <w:tabs>
          <w:tab w:val="right" w:leader="dot" w:pos="14562"/>
        </w:tabs>
        <w:rPr>
          <w:rFonts w:hint="default" w:ascii="方正仿宋简体" w:hAnsi="方正仿宋简体" w:eastAsia="方正仿宋简体" w:cs="方正仿宋简体"/>
          <w:sz w:val="32"/>
          <w:szCs w:val="32"/>
          <w:lang w:val="en-US" w:eastAsia="zh-CN"/>
        </w:rPr>
      </w:pPr>
      <w:r>
        <w:fldChar w:fldCharType="begin"/>
      </w:r>
      <w:r>
        <w:instrText xml:space="preserve"> HYPERLINK \l "_Toc_3_3_0000000018" </w:instrText>
      </w:r>
      <w: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106</w:t>
      </w:r>
    </w:p>
    <w:p>
      <w:pPr>
        <w:pStyle w:val="2"/>
        <w:sectPr>
          <w:footerReference r:id="rId12" w:type="default"/>
          <w:footerReference r:id="rId13" w:type="even"/>
          <w:pgSz w:w="16840" w:h="11900" w:orient="landscape"/>
          <w:pgMar w:top="1361" w:right="1020" w:bottom="1134" w:left="1020" w:header="720" w:footer="720" w:gutter="0"/>
          <w:pgNumType w:fmt="decimal"/>
          <w:cols w:space="720" w:num="1"/>
        </w:sectPr>
      </w:pPr>
    </w:p>
    <w:p>
      <w:pPr>
        <w:pStyle w:val="2"/>
        <w:tabs>
          <w:tab w:val="left" w:pos="755"/>
        </w:tabs>
        <w:spacing w:line="240" w:lineRule="auto"/>
        <w:ind w:left="0" w:leftChars="0" w:firstLine="0" w:firstLineChars="0"/>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32"/>
          <w:szCs w:val="32"/>
        </w:rPr>
        <w:fldChar w:fldCharType="end"/>
      </w:r>
      <w:bookmarkStart w:id="11" w:name="_Toc_4_4_0000000020"/>
      <w:r>
        <w:rPr>
          <w:rFonts w:hint="eastAsia" w:ascii="方正仿宋简体" w:hAnsi="方正仿宋简体" w:eastAsia="方正仿宋简体" w:cs="方正仿宋简体"/>
          <w:sz w:val="21"/>
          <w:szCs w:val="21"/>
          <w:lang w:eastAsia="zh-CN"/>
        </w:rPr>
        <w:t>附表1-1</w:t>
      </w:r>
    </w:p>
    <w:bookmarkEnd w:id="11"/>
    <w:p>
      <w:pPr>
        <w:jc w:val="center"/>
        <w:textAlignment w:val="center"/>
        <w:rPr>
          <w:rFonts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84"/>
        <w:gridCol w:w="2325"/>
        <w:gridCol w:w="326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3" w:type="dxa"/>
            <w:gridSpan w:val="2"/>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2325"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6227"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609"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收入</w:t>
            </w:r>
          </w:p>
        </w:tc>
        <w:tc>
          <w:tcPr>
            <w:tcW w:w="6227"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pPr>
              <w:rPr>
                <w:rFonts w:ascii="方正仿宋简体" w:hAnsi="方正仿宋简体" w:eastAsia="方正仿宋简体" w:cs="方正仿宋简体"/>
                <w:sz w:val="21"/>
                <w:szCs w:val="21"/>
              </w:rPr>
            </w:pPr>
          </w:p>
        </w:tc>
        <w:tc>
          <w:tcPr>
            <w:tcW w:w="328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  目</w:t>
            </w:r>
          </w:p>
        </w:tc>
        <w:tc>
          <w:tcPr>
            <w:tcW w:w="232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326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  目</w:t>
            </w:r>
          </w:p>
        </w:tc>
        <w:tc>
          <w:tcPr>
            <w:tcW w:w="295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328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232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326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95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一、一般公共预算拨款收入</w:t>
            </w:r>
          </w:p>
        </w:tc>
        <w:tc>
          <w:tcPr>
            <w:tcW w:w="23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8571.57</w:t>
            </w: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一、一般公共服务支出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二、政府性基金预算拨款收入</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二、外交支出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三、国有资本经营预算拨款收入</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三、国防支出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四、财政专户管理资金收入</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四、公共安全支出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五、事业收入</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五、教育支出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六、事业单位经营收入</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六、科学技术支出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七、上级补助收入</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七、文化旅游体育与传媒支出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八、附属单位上缴收入</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八、社会保障和就业支出</w:t>
            </w:r>
          </w:p>
        </w:tc>
        <w:tc>
          <w:tcPr>
            <w:tcW w:w="295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九、其他收入</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九、社会保险基金支出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十、卫生健康支出</w:t>
            </w:r>
          </w:p>
        </w:tc>
        <w:tc>
          <w:tcPr>
            <w:tcW w:w="295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十一、节能环保支出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十二、城乡社区支出</w:t>
            </w:r>
          </w:p>
        </w:tc>
        <w:tc>
          <w:tcPr>
            <w:tcW w:w="295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7781.23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十三、农林水支出</w:t>
            </w:r>
          </w:p>
        </w:tc>
        <w:tc>
          <w:tcPr>
            <w:tcW w:w="295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十四、交通运输支出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十五、资源勘探工业信息等支出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十六、商业服务业等支出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十七、金融支出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十八、援助其他地区支出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十九、自然资源海洋气象等支出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二十、住房保障支出</w:t>
            </w:r>
          </w:p>
        </w:tc>
        <w:tc>
          <w:tcPr>
            <w:tcW w:w="295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二十一、粮油物资储备支出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二十二、国有资本经营预算支出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23</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二十三、灾害防治及应急管理支出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二十四、预备费</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二十五、其他支出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二十六、转移性支出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27</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二十七、债务还本支出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28</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二十八、债务付息支出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29</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二十九、债务发行费用支出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三十、抗疫特别国债安排的支出</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31</w:t>
            </w:r>
          </w:p>
        </w:tc>
        <w:tc>
          <w:tcPr>
            <w:tcW w:w="3284" w:type="dxa"/>
            <w:vAlign w:val="center"/>
          </w:tcPr>
          <w:p>
            <w:pPr>
              <w:pStyle w:val="19"/>
              <w:rPr>
                <w:rFonts w:ascii="方正仿宋简体" w:hAnsi="方正仿宋简体" w:eastAsia="方正仿宋简体" w:cs="方正仿宋简体"/>
                <w:szCs w:val="21"/>
              </w:rPr>
            </w:pP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三十一、人行科目</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32</w:t>
            </w:r>
          </w:p>
        </w:tc>
        <w:tc>
          <w:tcPr>
            <w:tcW w:w="3284"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本年收入合计</w:t>
            </w:r>
          </w:p>
        </w:tc>
        <w:tc>
          <w:tcPr>
            <w:tcW w:w="2325"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3268"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本年支出合计</w:t>
            </w:r>
          </w:p>
        </w:tc>
        <w:tc>
          <w:tcPr>
            <w:tcW w:w="2959"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33</w:t>
            </w:r>
          </w:p>
        </w:tc>
        <w:tc>
          <w:tcPr>
            <w:tcW w:w="328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上年结转结余</w:t>
            </w:r>
          </w:p>
        </w:tc>
        <w:tc>
          <w:tcPr>
            <w:tcW w:w="2325" w:type="dxa"/>
            <w:vAlign w:val="center"/>
          </w:tcPr>
          <w:p>
            <w:pPr>
              <w:pStyle w:val="18"/>
              <w:rPr>
                <w:rFonts w:ascii="方正仿宋简体" w:hAnsi="方正仿宋简体" w:eastAsia="方正仿宋简体" w:cs="方正仿宋简体"/>
                <w:szCs w:val="21"/>
              </w:rPr>
            </w:pPr>
          </w:p>
        </w:tc>
        <w:tc>
          <w:tcPr>
            <w:tcW w:w="32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年终结转结余</w:t>
            </w:r>
          </w:p>
        </w:tc>
        <w:tc>
          <w:tcPr>
            <w:tcW w:w="295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w:t>
            </w:r>
          </w:p>
        </w:tc>
        <w:tc>
          <w:tcPr>
            <w:tcW w:w="3284"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收入总计</w:t>
            </w:r>
          </w:p>
        </w:tc>
        <w:tc>
          <w:tcPr>
            <w:tcW w:w="2325"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3268"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支出总计</w:t>
            </w:r>
          </w:p>
        </w:tc>
        <w:tc>
          <w:tcPr>
            <w:tcW w:w="2959"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r>
    </w:tbl>
    <w:p>
      <w:pPr>
        <w:rPr>
          <w:rFonts w:ascii="方正仿宋简体" w:hAnsi="方正仿宋简体" w:eastAsia="方正仿宋简体" w:cs="方正仿宋简体"/>
          <w:sz w:val="21"/>
          <w:szCs w:val="21"/>
        </w:rPr>
        <w:sectPr>
          <w:footerReference r:id="rId14" w:type="default"/>
          <w:footerReference r:id="rId15" w:type="even"/>
          <w:pgSz w:w="16840" w:h="11900" w:orient="landscape"/>
          <w:pgMar w:top="1361" w:right="1020" w:bottom="1134" w:left="1020" w:header="720" w:footer="720" w:gutter="0"/>
          <w:pgNumType w:fmt="decimal" w:start="60"/>
          <w:cols w:space="720" w:num="1"/>
        </w:sectPr>
      </w:pPr>
    </w:p>
    <w:p>
      <w:pPr>
        <w:textAlignment w:val="center"/>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附表1-2</w:t>
      </w:r>
    </w:p>
    <w:p>
      <w:pPr>
        <w:jc w:val="center"/>
        <w:textAlignment w:val="center"/>
        <w:rPr>
          <w:rFonts w:ascii="方正仿宋简体" w:hAnsi="方正仿宋简体" w:eastAsia="方正仿宋简体" w:cs="方正仿宋简体"/>
          <w:sz w:val="21"/>
          <w:szCs w:val="21"/>
          <w:lang w:eastAsia="zh-CN"/>
        </w:rPr>
      </w:pPr>
      <w:r>
        <w:rPr>
          <w:rFonts w:hint="eastAsia" w:asciiTheme="minorEastAsia" w:hAnsiTheme="minorEastAsia" w:eastAsiaTheme="minorEastAsia" w:cstheme="minorEastAsia"/>
          <w:sz w:val="44"/>
          <w:szCs w:val="44"/>
          <w:lang w:eastAsia="zh-CN"/>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1170"/>
        <w:gridCol w:w="1860"/>
        <w:gridCol w:w="1275"/>
        <w:gridCol w:w="1125"/>
        <w:gridCol w:w="1140"/>
        <w:gridCol w:w="877"/>
        <w:gridCol w:w="1156"/>
        <w:gridCol w:w="1155"/>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7" w:type="dxa"/>
            <w:gridSpan w:val="5"/>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3173" w:type="dxa"/>
            <w:gridSpan w:val="3"/>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776" w:type="dxa"/>
            <w:gridSpan w:val="5"/>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303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1275"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8919" w:type="dxa"/>
            <w:gridSpan w:val="8"/>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本年收入</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continue"/>
          </w:tcPr>
          <w:p>
            <w:pPr>
              <w:rPr>
                <w:rFonts w:ascii="方正仿宋简体" w:hAnsi="方正仿宋简体" w:eastAsia="方正仿宋简体" w:cs="方正仿宋简体"/>
                <w:sz w:val="21"/>
                <w:szCs w:val="21"/>
              </w:rPr>
            </w:pPr>
          </w:p>
        </w:tc>
        <w:tc>
          <w:tcPr>
            <w:tcW w:w="117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    编码</w:t>
            </w:r>
          </w:p>
        </w:tc>
        <w:tc>
          <w:tcPr>
            <w:tcW w:w="18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1275" w:type="dxa"/>
            <w:vMerge w:val="continue"/>
          </w:tcPr>
          <w:p>
            <w:pPr>
              <w:rPr>
                <w:rFonts w:ascii="方正仿宋简体" w:hAnsi="方正仿宋简体" w:eastAsia="方正仿宋简体" w:cs="方正仿宋简体"/>
                <w:sz w:val="21"/>
                <w:szCs w:val="21"/>
              </w:rPr>
            </w:pPr>
          </w:p>
        </w:tc>
        <w:tc>
          <w:tcPr>
            <w:tcW w:w="112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小计</w:t>
            </w:r>
          </w:p>
        </w:tc>
        <w:tc>
          <w:tcPr>
            <w:tcW w:w="114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财政拨款 收入</w:t>
            </w:r>
          </w:p>
        </w:tc>
        <w:tc>
          <w:tcPr>
            <w:tcW w:w="87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财政专户 收入</w:t>
            </w:r>
          </w:p>
        </w:tc>
        <w:tc>
          <w:tcPr>
            <w:tcW w:w="115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事业收入</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经营收入</w:t>
            </w:r>
          </w:p>
        </w:tc>
        <w:tc>
          <w:tcPr>
            <w:tcW w:w="115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上级补助收入</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附属单位上缴收入</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其他收入</w:t>
            </w:r>
          </w:p>
        </w:tc>
        <w:tc>
          <w:tcPr>
            <w:tcW w:w="1155" w:type="dxa"/>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117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18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127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112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114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c>
          <w:tcPr>
            <w:tcW w:w="87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w:t>
            </w:r>
          </w:p>
        </w:tc>
        <w:tc>
          <w:tcPr>
            <w:tcW w:w="115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7</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w:t>
            </w:r>
          </w:p>
        </w:tc>
        <w:tc>
          <w:tcPr>
            <w:tcW w:w="115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11</w:t>
            </w:r>
          </w:p>
        </w:tc>
        <w:tc>
          <w:tcPr>
            <w:tcW w:w="11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170" w:type="dxa"/>
            <w:vAlign w:val="center"/>
          </w:tcPr>
          <w:p>
            <w:pPr>
              <w:pStyle w:val="23"/>
              <w:rPr>
                <w:rFonts w:ascii="方正仿宋简体" w:hAnsi="方正仿宋简体" w:eastAsia="方正仿宋简体" w:cs="方正仿宋简体"/>
                <w:b w:val="0"/>
                <w:szCs w:val="21"/>
              </w:rPr>
            </w:pPr>
          </w:p>
        </w:tc>
        <w:tc>
          <w:tcPr>
            <w:tcW w:w="1860"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1275"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1125"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1140"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877" w:type="dxa"/>
            <w:vAlign w:val="center"/>
          </w:tcPr>
          <w:p>
            <w:pPr>
              <w:pStyle w:val="22"/>
              <w:rPr>
                <w:rFonts w:ascii="方正仿宋简体" w:hAnsi="方正仿宋简体" w:eastAsia="方正仿宋简体" w:cs="方正仿宋简体"/>
                <w:b w:val="0"/>
                <w:szCs w:val="21"/>
              </w:rPr>
            </w:pPr>
          </w:p>
        </w:tc>
        <w:tc>
          <w:tcPr>
            <w:tcW w:w="1156" w:type="dxa"/>
            <w:vAlign w:val="center"/>
          </w:tcPr>
          <w:p>
            <w:pPr>
              <w:pStyle w:val="22"/>
              <w:rPr>
                <w:rFonts w:ascii="方正仿宋简体" w:hAnsi="方正仿宋简体" w:eastAsia="方正仿宋简体" w:cs="方正仿宋简体"/>
                <w:b w:val="0"/>
                <w:szCs w:val="21"/>
              </w:rPr>
            </w:pPr>
          </w:p>
        </w:tc>
        <w:tc>
          <w:tcPr>
            <w:tcW w:w="1155" w:type="dxa"/>
            <w:vAlign w:val="center"/>
          </w:tcPr>
          <w:p>
            <w:pPr>
              <w:pStyle w:val="22"/>
              <w:rPr>
                <w:rFonts w:ascii="方正仿宋简体" w:hAnsi="方正仿宋简体" w:eastAsia="方正仿宋简体" w:cs="方正仿宋简体"/>
                <w:b w:val="0"/>
                <w:szCs w:val="21"/>
              </w:rPr>
            </w:pPr>
          </w:p>
        </w:tc>
        <w:tc>
          <w:tcPr>
            <w:tcW w:w="1156" w:type="dxa"/>
            <w:vAlign w:val="center"/>
          </w:tcPr>
          <w:p>
            <w:pPr>
              <w:pStyle w:val="22"/>
              <w:rPr>
                <w:rFonts w:ascii="方正仿宋简体" w:hAnsi="方正仿宋简体" w:eastAsia="方正仿宋简体" w:cs="方正仿宋简体"/>
                <w:b w:val="0"/>
                <w:szCs w:val="21"/>
              </w:rPr>
            </w:pPr>
          </w:p>
        </w:tc>
        <w:tc>
          <w:tcPr>
            <w:tcW w:w="1155" w:type="dxa"/>
            <w:vAlign w:val="center"/>
          </w:tcPr>
          <w:p>
            <w:pPr>
              <w:pStyle w:val="22"/>
              <w:rPr>
                <w:rFonts w:ascii="方正仿宋简体" w:hAnsi="方正仿宋简体" w:eastAsia="方正仿宋简体" w:cs="方正仿宋简体"/>
                <w:b w:val="0"/>
                <w:szCs w:val="21"/>
              </w:rPr>
            </w:pPr>
          </w:p>
        </w:tc>
        <w:tc>
          <w:tcPr>
            <w:tcW w:w="1155" w:type="dxa"/>
            <w:vAlign w:val="center"/>
          </w:tcPr>
          <w:p>
            <w:pPr>
              <w:pStyle w:val="22"/>
              <w:rPr>
                <w:rFonts w:ascii="方正仿宋简体" w:hAnsi="方正仿宋简体" w:eastAsia="方正仿宋简体" w:cs="方正仿宋简体"/>
                <w:b w:val="0"/>
                <w:szCs w:val="21"/>
              </w:rPr>
            </w:pPr>
          </w:p>
        </w:tc>
        <w:tc>
          <w:tcPr>
            <w:tcW w:w="1155" w:type="dxa"/>
            <w:vAlign w:val="center"/>
          </w:tcPr>
          <w:p>
            <w:pPr>
              <w:pStyle w:val="22"/>
              <w:rPr>
                <w:rFonts w:ascii="方正仿宋简体" w:hAnsi="方正仿宋简体" w:eastAsia="方正仿宋简体" w:cs="方正仿宋简体"/>
                <w:b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社会保障和就业支出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行政事业单位养老支出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2080505</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机关事业单位基本养老保险缴费支出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69.27</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69.27</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69.27</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2080506</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机关事业单位职业年金缴费支出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卫生健康支出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行政事业单位医疗</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2101101</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行政单位医疗</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7781.23</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7781.23</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7781.23</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城乡社区管理事务</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2120101</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行政运行</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21205</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城乡社区环境卫生</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2120501</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城乡社区环境卫生</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农林水支出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21305</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lang w:eastAsia="zh-CN"/>
              </w:rPr>
              <w:t>巩固拓展脱贫攻坚成果</w:t>
            </w:r>
            <w:r>
              <w:rPr>
                <w:rFonts w:hint="eastAsia" w:ascii="方正仿宋简体" w:hAnsi="方正仿宋简体" w:eastAsia="方正仿宋简体" w:cs="方正仿宋简体"/>
                <w:szCs w:val="21"/>
              </w:rPr>
              <w:t>衔接乡村振兴</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2130507</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贷款奖补和贴息</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住房保障支出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住房改革支出</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11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2210201</w:t>
            </w:r>
          </w:p>
        </w:tc>
        <w:tc>
          <w:tcPr>
            <w:tcW w:w="18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住房公积金</w:t>
            </w:r>
          </w:p>
        </w:tc>
        <w:tc>
          <w:tcPr>
            <w:tcW w:w="127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4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877"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6"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c>
          <w:tcPr>
            <w:tcW w:w="1155" w:type="dxa"/>
            <w:vAlign w:val="center"/>
          </w:tcPr>
          <w:p>
            <w:pPr>
              <w:pStyle w:val="18"/>
              <w:rPr>
                <w:rFonts w:ascii="方正仿宋简体" w:hAnsi="方正仿宋简体" w:eastAsia="方正仿宋简体" w:cs="方正仿宋简体"/>
                <w:szCs w:val="21"/>
              </w:rPr>
            </w:pPr>
          </w:p>
        </w:tc>
      </w:tr>
    </w:tbl>
    <w:p>
      <w:pPr>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textAlignment w:val="center"/>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附表1-3</w:t>
      </w:r>
    </w:p>
    <w:p>
      <w:pPr>
        <w:jc w:val="center"/>
        <w:textAlignment w:val="center"/>
        <w:rPr>
          <w:rFonts w:ascii="宋体" w:hAnsi="宋体" w:eastAsia="宋体" w:cs="宋体"/>
          <w:sz w:val="44"/>
          <w:szCs w:val="44"/>
          <w:lang w:eastAsia="zh-CN"/>
        </w:rPr>
      </w:pPr>
      <w:r>
        <w:rPr>
          <w:rFonts w:hint="eastAsia" w:ascii="宋体" w:hAnsi="宋体" w:eastAsia="宋体" w:cs="宋体"/>
          <w:sz w:val="44"/>
          <w:szCs w:val="44"/>
          <w:lang w:eastAsia="zh-CN"/>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1395"/>
        <w:gridCol w:w="3585"/>
        <w:gridCol w:w="1125"/>
        <w:gridCol w:w="1119"/>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8"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2244" w:type="dxa"/>
            <w:gridSpan w:val="2"/>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6674" w:type="dxa"/>
            <w:gridSpan w:val="4"/>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4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1125"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111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基本支出</w:t>
            </w:r>
          </w:p>
        </w:tc>
        <w:tc>
          <w:tcPr>
            <w:tcW w:w="1668"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项目支出</w:t>
            </w:r>
          </w:p>
        </w:tc>
        <w:tc>
          <w:tcPr>
            <w:tcW w:w="166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经营支出</w:t>
            </w:r>
          </w:p>
        </w:tc>
        <w:tc>
          <w:tcPr>
            <w:tcW w:w="1668"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上解上级     支出</w:t>
            </w:r>
          </w:p>
        </w:tc>
        <w:tc>
          <w:tcPr>
            <w:tcW w:w="166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pPr>
              <w:rPr>
                <w:rFonts w:ascii="方正仿宋简体" w:hAnsi="方正仿宋简体" w:eastAsia="方正仿宋简体" w:cs="方正仿宋简体"/>
                <w:sz w:val="21"/>
                <w:szCs w:val="21"/>
              </w:rPr>
            </w:pPr>
          </w:p>
        </w:tc>
        <w:tc>
          <w:tcPr>
            <w:tcW w:w="139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    编码</w:t>
            </w:r>
          </w:p>
        </w:tc>
        <w:tc>
          <w:tcPr>
            <w:tcW w:w="358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1125" w:type="dxa"/>
            <w:vMerge w:val="continue"/>
          </w:tcPr>
          <w:p>
            <w:pPr>
              <w:rPr>
                <w:rFonts w:ascii="方正仿宋简体" w:hAnsi="方正仿宋简体" w:eastAsia="方正仿宋简体" w:cs="方正仿宋简体"/>
                <w:sz w:val="21"/>
                <w:szCs w:val="21"/>
              </w:rPr>
            </w:pPr>
          </w:p>
        </w:tc>
        <w:tc>
          <w:tcPr>
            <w:tcW w:w="1119" w:type="dxa"/>
            <w:vMerge w:val="continue"/>
          </w:tcPr>
          <w:p>
            <w:pPr>
              <w:rPr>
                <w:rFonts w:ascii="方正仿宋简体" w:hAnsi="方正仿宋简体" w:eastAsia="方正仿宋简体" w:cs="方正仿宋简体"/>
                <w:sz w:val="21"/>
                <w:szCs w:val="21"/>
              </w:rPr>
            </w:pPr>
          </w:p>
        </w:tc>
        <w:tc>
          <w:tcPr>
            <w:tcW w:w="1668" w:type="dxa"/>
            <w:vMerge w:val="continue"/>
          </w:tcPr>
          <w:p>
            <w:pPr>
              <w:rPr>
                <w:rFonts w:ascii="方正仿宋简体" w:hAnsi="方正仿宋简体" w:eastAsia="方正仿宋简体" w:cs="方正仿宋简体"/>
                <w:sz w:val="21"/>
                <w:szCs w:val="21"/>
              </w:rPr>
            </w:pPr>
          </w:p>
        </w:tc>
        <w:tc>
          <w:tcPr>
            <w:tcW w:w="1669" w:type="dxa"/>
            <w:vMerge w:val="continue"/>
          </w:tcPr>
          <w:p>
            <w:pPr>
              <w:rPr>
                <w:rFonts w:ascii="方正仿宋简体" w:hAnsi="方正仿宋简体" w:eastAsia="方正仿宋简体" w:cs="方正仿宋简体"/>
                <w:sz w:val="21"/>
                <w:szCs w:val="21"/>
              </w:rPr>
            </w:pPr>
          </w:p>
        </w:tc>
        <w:tc>
          <w:tcPr>
            <w:tcW w:w="1668" w:type="dxa"/>
            <w:vMerge w:val="continue"/>
          </w:tcPr>
          <w:p>
            <w:pPr>
              <w:rPr>
                <w:rFonts w:ascii="方正仿宋简体" w:hAnsi="方正仿宋简体" w:eastAsia="方正仿宋简体" w:cs="方正仿宋简体"/>
                <w:sz w:val="21"/>
                <w:szCs w:val="21"/>
              </w:rPr>
            </w:pPr>
          </w:p>
        </w:tc>
        <w:tc>
          <w:tcPr>
            <w:tcW w:w="1669"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139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358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112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111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166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c>
          <w:tcPr>
            <w:tcW w:w="166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w:t>
            </w:r>
          </w:p>
        </w:tc>
        <w:tc>
          <w:tcPr>
            <w:tcW w:w="166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7</w:t>
            </w:r>
          </w:p>
        </w:tc>
        <w:tc>
          <w:tcPr>
            <w:tcW w:w="166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395" w:type="dxa"/>
            <w:vAlign w:val="center"/>
          </w:tcPr>
          <w:p>
            <w:pPr>
              <w:pStyle w:val="23"/>
              <w:rPr>
                <w:rFonts w:ascii="方正仿宋简体" w:hAnsi="方正仿宋简体" w:eastAsia="方正仿宋简体" w:cs="方正仿宋简体"/>
                <w:b w:val="0"/>
                <w:szCs w:val="21"/>
              </w:rPr>
            </w:pPr>
          </w:p>
        </w:tc>
        <w:tc>
          <w:tcPr>
            <w:tcW w:w="3585"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1125"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1119"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994.07</w:t>
            </w:r>
          </w:p>
        </w:tc>
        <w:tc>
          <w:tcPr>
            <w:tcW w:w="1668"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7577.50</w:t>
            </w:r>
          </w:p>
        </w:tc>
        <w:tc>
          <w:tcPr>
            <w:tcW w:w="1669" w:type="dxa"/>
            <w:vAlign w:val="center"/>
          </w:tcPr>
          <w:p>
            <w:pPr>
              <w:pStyle w:val="22"/>
              <w:rPr>
                <w:rFonts w:ascii="方正仿宋简体" w:hAnsi="方正仿宋简体" w:eastAsia="方正仿宋简体" w:cs="方正仿宋简体"/>
                <w:b w:val="0"/>
                <w:szCs w:val="21"/>
              </w:rPr>
            </w:pPr>
          </w:p>
        </w:tc>
        <w:tc>
          <w:tcPr>
            <w:tcW w:w="1668" w:type="dxa"/>
            <w:vAlign w:val="center"/>
          </w:tcPr>
          <w:p>
            <w:pPr>
              <w:pStyle w:val="22"/>
              <w:rPr>
                <w:rFonts w:ascii="方正仿宋简体" w:hAnsi="方正仿宋简体" w:eastAsia="方正仿宋简体" w:cs="方正仿宋简体"/>
                <w:b w:val="0"/>
                <w:szCs w:val="21"/>
              </w:rPr>
            </w:pPr>
          </w:p>
        </w:tc>
        <w:tc>
          <w:tcPr>
            <w:tcW w:w="1669" w:type="dxa"/>
            <w:vAlign w:val="center"/>
          </w:tcPr>
          <w:p>
            <w:pPr>
              <w:pStyle w:val="22"/>
              <w:rPr>
                <w:rFonts w:ascii="方正仿宋简体" w:hAnsi="方正仿宋简体" w:eastAsia="方正仿宋简体" w:cs="方正仿宋简体"/>
                <w:b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社会保障和就业支出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行政事业单位养老支出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2080505</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机关事业单位基本养老保险缴费支出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69.27</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69.27</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2080506</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机关事业单位职业年金缴费支出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卫生健康支出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行政事业单位医疗</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2101101</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行政单位医疗</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7781.23</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66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城乡社区管理事务</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2120101</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行政运行</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21205</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城乡社区环境卫生</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11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2120501</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城乡社区环境卫生</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11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农林水支出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1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21305</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lang w:eastAsia="zh-CN"/>
              </w:rPr>
              <w:t>巩固拓展脱贫攻坚成果</w:t>
            </w:r>
            <w:r>
              <w:rPr>
                <w:rFonts w:hint="eastAsia" w:ascii="方正仿宋简体" w:hAnsi="方正仿宋简体" w:eastAsia="方正仿宋简体" w:cs="方正仿宋简体"/>
                <w:szCs w:val="21"/>
              </w:rPr>
              <w:t>衔接乡村振兴</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1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2130507</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贷款奖补和贴息</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11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住房保障支出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住房改革支出</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13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2210201</w:t>
            </w:r>
          </w:p>
        </w:tc>
        <w:tc>
          <w:tcPr>
            <w:tcW w:w="35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住房公积金</w:t>
            </w:r>
          </w:p>
        </w:tc>
        <w:tc>
          <w:tcPr>
            <w:tcW w:w="1125"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11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c>
          <w:tcPr>
            <w:tcW w:w="1668" w:type="dxa"/>
            <w:vAlign w:val="center"/>
          </w:tcPr>
          <w:p>
            <w:pPr>
              <w:pStyle w:val="18"/>
              <w:rPr>
                <w:rFonts w:ascii="方正仿宋简体" w:hAnsi="方正仿宋简体" w:eastAsia="方正仿宋简体" w:cs="方正仿宋简体"/>
                <w:szCs w:val="21"/>
              </w:rPr>
            </w:pPr>
          </w:p>
        </w:tc>
        <w:tc>
          <w:tcPr>
            <w:tcW w:w="1669" w:type="dxa"/>
            <w:vAlign w:val="center"/>
          </w:tcPr>
          <w:p>
            <w:pPr>
              <w:pStyle w:val="18"/>
              <w:rPr>
                <w:rFonts w:ascii="方正仿宋简体" w:hAnsi="方正仿宋简体" w:eastAsia="方正仿宋简体" w:cs="方正仿宋简体"/>
                <w:szCs w:val="21"/>
              </w:rPr>
            </w:pPr>
          </w:p>
        </w:tc>
      </w:tr>
    </w:tbl>
    <w:p>
      <w:pPr>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textAlignment w:val="center"/>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附表1-4</w:t>
      </w:r>
    </w:p>
    <w:p>
      <w:pPr>
        <w:jc w:val="center"/>
        <w:textAlignment w:val="center"/>
        <w:rPr>
          <w:rFonts w:ascii="宋体" w:hAnsi="宋体" w:eastAsia="宋体" w:cs="宋体"/>
          <w:sz w:val="44"/>
          <w:szCs w:val="44"/>
          <w:lang w:eastAsia="zh-CN"/>
        </w:rPr>
      </w:pPr>
      <w:r>
        <w:rPr>
          <w:rFonts w:hint="eastAsia" w:ascii="宋体" w:hAnsi="宋体" w:eastAsia="宋体" w:cs="宋体"/>
          <w:sz w:val="44"/>
          <w:szCs w:val="44"/>
          <w:lang w:eastAsia="zh-CN"/>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910"/>
        <w:gridCol w:w="1260"/>
        <w:gridCol w:w="3285"/>
        <w:gridCol w:w="1110"/>
        <w:gridCol w:w="1639"/>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8"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3285"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6503" w:type="dxa"/>
            <w:gridSpan w:val="4"/>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417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收入</w:t>
            </w:r>
          </w:p>
        </w:tc>
        <w:tc>
          <w:tcPr>
            <w:tcW w:w="9788" w:type="dxa"/>
            <w:gridSpan w:val="5"/>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continue"/>
          </w:tcPr>
          <w:p>
            <w:pPr>
              <w:rPr>
                <w:rFonts w:ascii="方正仿宋简体" w:hAnsi="方正仿宋简体" w:eastAsia="方正仿宋简体" w:cs="方正仿宋简体"/>
                <w:sz w:val="21"/>
                <w:szCs w:val="21"/>
              </w:rPr>
            </w:pPr>
          </w:p>
        </w:tc>
        <w:tc>
          <w:tcPr>
            <w:tcW w:w="291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  目</w:t>
            </w:r>
          </w:p>
        </w:tc>
        <w:tc>
          <w:tcPr>
            <w:tcW w:w="12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金额</w:t>
            </w:r>
          </w:p>
        </w:tc>
        <w:tc>
          <w:tcPr>
            <w:tcW w:w="328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  目</w:t>
            </w:r>
          </w:p>
        </w:tc>
        <w:tc>
          <w:tcPr>
            <w:tcW w:w="111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163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一般公共预算财政拨款</w:t>
            </w:r>
          </w:p>
        </w:tc>
        <w:tc>
          <w:tcPr>
            <w:tcW w:w="187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政府性基金预算财政    拨款</w:t>
            </w:r>
          </w:p>
        </w:tc>
        <w:tc>
          <w:tcPr>
            <w:tcW w:w="187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291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12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328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111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163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c>
          <w:tcPr>
            <w:tcW w:w="187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w:t>
            </w:r>
          </w:p>
        </w:tc>
        <w:tc>
          <w:tcPr>
            <w:tcW w:w="187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291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一、一般公共预算拨款</w:t>
            </w:r>
          </w:p>
        </w:tc>
        <w:tc>
          <w:tcPr>
            <w:tcW w:w="126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8571.57</w:t>
            </w: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一、一般公共服务支出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291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二、政府性基金预算拨款</w:t>
            </w: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二、外交支出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291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三、国有资本经营预算拨款</w:t>
            </w: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三、国防支出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四、公共安全支出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五、教育支出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六、科学技术支出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七、文化旅游体育与传媒支出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八、社会保障和就业支出</w:t>
            </w:r>
          </w:p>
        </w:tc>
        <w:tc>
          <w:tcPr>
            <w:tcW w:w="11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63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九、社会保险基金支出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十、卫生健康支出</w:t>
            </w:r>
          </w:p>
        </w:tc>
        <w:tc>
          <w:tcPr>
            <w:tcW w:w="11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63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十一、节能环保支出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十二、城乡社区支出</w:t>
            </w:r>
          </w:p>
        </w:tc>
        <w:tc>
          <w:tcPr>
            <w:tcW w:w="11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7781.23</w:t>
            </w:r>
          </w:p>
        </w:tc>
        <w:tc>
          <w:tcPr>
            <w:tcW w:w="163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7781.23</w:t>
            </w: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十三、农林水支出</w:t>
            </w:r>
          </w:p>
        </w:tc>
        <w:tc>
          <w:tcPr>
            <w:tcW w:w="11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63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十四、交通运输支出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十五、资源勘探工业信息等支出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十六、商业服务业等支出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十七、金融支出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十八、援助其他地区支出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十九、自然资源海洋气象等支出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二十、住房保障支出</w:t>
            </w:r>
          </w:p>
        </w:tc>
        <w:tc>
          <w:tcPr>
            <w:tcW w:w="1110"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639"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二十一、粮油物资储备支出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二十二、国有资本经营预算支出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23</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二十三、灾害防治及应急管理支出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二十四、预备费</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二十五、其他支出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二十六、转移性支出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27</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二十七、债务还本支出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28</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二十八、债务付息支出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29</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二十九、债务发行费用支出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三十、抗疫特别国债安排的支出</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31</w:t>
            </w:r>
          </w:p>
        </w:tc>
        <w:tc>
          <w:tcPr>
            <w:tcW w:w="2910" w:type="dxa"/>
            <w:vAlign w:val="center"/>
          </w:tcPr>
          <w:p>
            <w:pPr>
              <w:pStyle w:val="19"/>
              <w:rPr>
                <w:rFonts w:ascii="方正仿宋简体" w:hAnsi="方正仿宋简体" w:eastAsia="方正仿宋简体" w:cs="方正仿宋简体"/>
                <w:szCs w:val="21"/>
              </w:rPr>
            </w:pP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三十一、人行科目</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32</w:t>
            </w:r>
          </w:p>
        </w:tc>
        <w:tc>
          <w:tcPr>
            <w:tcW w:w="2910"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本年收入合计</w:t>
            </w:r>
          </w:p>
        </w:tc>
        <w:tc>
          <w:tcPr>
            <w:tcW w:w="1260"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3285"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本年支出合计</w:t>
            </w:r>
          </w:p>
        </w:tc>
        <w:tc>
          <w:tcPr>
            <w:tcW w:w="1110"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1639"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1877" w:type="dxa"/>
            <w:vAlign w:val="center"/>
          </w:tcPr>
          <w:p>
            <w:pPr>
              <w:pStyle w:val="22"/>
              <w:rPr>
                <w:rFonts w:ascii="方正仿宋简体" w:hAnsi="方正仿宋简体" w:eastAsia="方正仿宋简体" w:cs="方正仿宋简体"/>
                <w:b w:val="0"/>
                <w:szCs w:val="21"/>
              </w:rPr>
            </w:pPr>
          </w:p>
        </w:tc>
        <w:tc>
          <w:tcPr>
            <w:tcW w:w="1877" w:type="dxa"/>
            <w:vAlign w:val="center"/>
          </w:tcPr>
          <w:p>
            <w:pPr>
              <w:pStyle w:val="22"/>
              <w:rPr>
                <w:rFonts w:ascii="方正仿宋简体" w:hAnsi="方正仿宋简体" w:eastAsia="方正仿宋简体" w:cs="方正仿宋简体"/>
                <w:b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33</w:t>
            </w:r>
          </w:p>
        </w:tc>
        <w:tc>
          <w:tcPr>
            <w:tcW w:w="291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年初财政拨款结转和结余</w:t>
            </w: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年末财政拨款结转和结余</w:t>
            </w: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w:t>
            </w:r>
          </w:p>
        </w:tc>
        <w:tc>
          <w:tcPr>
            <w:tcW w:w="291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一、一般公共预算拨款</w:t>
            </w: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35</w:t>
            </w:r>
          </w:p>
        </w:tc>
        <w:tc>
          <w:tcPr>
            <w:tcW w:w="291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二、政府性基金预算拨款</w:t>
            </w: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36</w:t>
            </w:r>
          </w:p>
        </w:tc>
        <w:tc>
          <w:tcPr>
            <w:tcW w:w="291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三、国有资本经营预算拨款</w:t>
            </w:r>
          </w:p>
        </w:tc>
        <w:tc>
          <w:tcPr>
            <w:tcW w:w="1260" w:type="dxa"/>
            <w:vAlign w:val="center"/>
          </w:tcPr>
          <w:p>
            <w:pPr>
              <w:pStyle w:val="18"/>
              <w:rPr>
                <w:rFonts w:ascii="方正仿宋简体" w:hAnsi="方正仿宋简体" w:eastAsia="方正仿宋简体" w:cs="方正仿宋简体"/>
                <w:szCs w:val="21"/>
              </w:rPr>
            </w:pPr>
          </w:p>
        </w:tc>
        <w:tc>
          <w:tcPr>
            <w:tcW w:w="3285" w:type="dxa"/>
            <w:vAlign w:val="center"/>
          </w:tcPr>
          <w:p>
            <w:pPr>
              <w:pStyle w:val="19"/>
              <w:rPr>
                <w:rFonts w:ascii="方正仿宋简体" w:hAnsi="方正仿宋简体" w:eastAsia="方正仿宋简体" w:cs="方正仿宋简体"/>
                <w:szCs w:val="21"/>
              </w:rPr>
            </w:pPr>
          </w:p>
        </w:tc>
        <w:tc>
          <w:tcPr>
            <w:tcW w:w="1110" w:type="dxa"/>
            <w:vAlign w:val="center"/>
          </w:tcPr>
          <w:p>
            <w:pPr>
              <w:pStyle w:val="18"/>
              <w:rPr>
                <w:rFonts w:ascii="方正仿宋简体" w:hAnsi="方正仿宋简体" w:eastAsia="方正仿宋简体" w:cs="方正仿宋简体"/>
                <w:szCs w:val="21"/>
              </w:rPr>
            </w:pPr>
          </w:p>
        </w:tc>
        <w:tc>
          <w:tcPr>
            <w:tcW w:w="1639"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c>
          <w:tcPr>
            <w:tcW w:w="1877"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37</w:t>
            </w:r>
          </w:p>
        </w:tc>
        <w:tc>
          <w:tcPr>
            <w:tcW w:w="2910"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收入总计</w:t>
            </w:r>
          </w:p>
        </w:tc>
        <w:tc>
          <w:tcPr>
            <w:tcW w:w="1260"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3285"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支出总计</w:t>
            </w:r>
          </w:p>
        </w:tc>
        <w:tc>
          <w:tcPr>
            <w:tcW w:w="1110"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1639"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1877" w:type="dxa"/>
            <w:vAlign w:val="center"/>
          </w:tcPr>
          <w:p>
            <w:pPr>
              <w:pStyle w:val="22"/>
              <w:rPr>
                <w:rFonts w:ascii="方正仿宋简体" w:hAnsi="方正仿宋简体" w:eastAsia="方正仿宋简体" w:cs="方正仿宋简体"/>
                <w:b w:val="0"/>
                <w:szCs w:val="21"/>
              </w:rPr>
            </w:pPr>
          </w:p>
        </w:tc>
        <w:tc>
          <w:tcPr>
            <w:tcW w:w="1877" w:type="dxa"/>
            <w:vAlign w:val="center"/>
          </w:tcPr>
          <w:p>
            <w:pPr>
              <w:pStyle w:val="22"/>
              <w:rPr>
                <w:rFonts w:ascii="方正仿宋简体" w:hAnsi="方正仿宋简体" w:eastAsia="方正仿宋简体" w:cs="方正仿宋简体"/>
                <w:b w:val="0"/>
                <w:szCs w:val="21"/>
              </w:rPr>
            </w:pPr>
          </w:p>
        </w:tc>
      </w:tr>
    </w:tbl>
    <w:p>
      <w:pPr>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textAlignment w:val="center"/>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附表1-5</w:t>
      </w:r>
    </w:p>
    <w:p>
      <w:pPr>
        <w:jc w:val="center"/>
        <w:textAlignment w:val="center"/>
        <w:rPr>
          <w:rFonts w:ascii="宋体" w:hAnsi="宋体" w:eastAsia="宋体" w:cs="宋体"/>
          <w:sz w:val="44"/>
          <w:szCs w:val="44"/>
          <w:lang w:eastAsia="zh-CN"/>
        </w:rPr>
      </w:pPr>
      <w:r>
        <w:rPr>
          <w:rFonts w:hint="eastAsia" w:ascii="宋体" w:hAnsi="宋体" w:eastAsia="宋体" w:cs="宋体"/>
          <w:sz w:val="44"/>
          <w:szCs w:val="44"/>
          <w:lang w:eastAsia="zh-CN"/>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1360"/>
        <w:gridCol w:w="3645"/>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250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tblHeader/>
          <w:jc w:val="center"/>
        </w:trPr>
        <w:tc>
          <w:tcPr>
            <w:tcW w:w="250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00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250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2"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基本支出</w:t>
            </w:r>
          </w:p>
        </w:tc>
        <w:tc>
          <w:tcPr>
            <w:tcW w:w="2503"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tblHeader/>
          <w:jc w:val="center"/>
        </w:trPr>
        <w:tc>
          <w:tcPr>
            <w:tcW w:w="2503" w:type="dxa"/>
            <w:vMerge w:val="continue"/>
          </w:tcPr>
          <w:p>
            <w:pPr>
              <w:rPr>
                <w:rFonts w:ascii="方正仿宋简体" w:hAnsi="方正仿宋简体" w:eastAsia="方正仿宋简体" w:cs="方正仿宋简体"/>
                <w:sz w:val="21"/>
                <w:szCs w:val="21"/>
              </w:rPr>
            </w:pPr>
          </w:p>
        </w:tc>
        <w:tc>
          <w:tcPr>
            <w:tcW w:w="13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科目编码</w:t>
            </w:r>
          </w:p>
        </w:tc>
        <w:tc>
          <w:tcPr>
            <w:tcW w:w="364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2503" w:type="dxa"/>
            <w:vMerge w:val="continue"/>
          </w:tcPr>
          <w:p>
            <w:pPr>
              <w:rPr>
                <w:rFonts w:ascii="方正仿宋简体" w:hAnsi="方正仿宋简体" w:eastAsia="方正仿宋简体" w:cs="方正仿宋简体"/>
                <w:sz w:val="21"/>
                <w:szCs w:val="21"/>
              </w:rPr>
            </w:pPr>
          </w:p>
        </w:tc>
        <w:tc>
          <w:tcPr>
            <w:tcW w:w="2502" w:type="dxa"/>
            <w:vMerge w:val="continue"/>
          </w:tcPr>
          <w:p>
            <w:pPr>
              <w:rPr>
                <w:rFonts w:ascii="方正仿宋简体" w:hAnsi="方正仿宋简体" w:eastAsia="方正仿宋简体" w:cs="方正仿宋简体"/>
                <w:sz w:val="21"/>
                <w:szCs w:val="21"/>
              </w:rPr>
            </w:pPr>
          </w:p>
        </w:tc>
        <w:tc>
          <w:tcPr>
            <w:tcW w:w="2503"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13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364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0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360" w:type="dxa"/>
            <w:vAlign w:val="center"/>
          </w:tcPr>
          <w:p>
            <w:pPr>
              <w:pStyle w:val="23"/>
              <w:rPr>
                <w:rFonts w:ascii="方正仿宋简体" w:hAnsi="方正仿宋简体" w:eastAsia="方正仿宋简体" w:cs="方正仿宋简体"/>
                <w:b w:val="0"/>
                <w:szCs w:val="21"/>
              </w:rPr>
            </w:pPr>
          </w:p>
        </w:tc>
        <w:tc>
          <w:tcPr>
            <w:tcW w:w="3645"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8571.57</w:t>
            </w:r>
          </w:p>
        </w:tc>
        <w:tc>
          <w:tcPr>
            <w:tcW w:w="2502"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994.07</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7577.50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社会保障和就业支出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行政事业单位养老支出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103.91</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2080505</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机关事业单位基本养老保险缴费支出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69.27</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69.27</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2080506</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机关事业单位职业年金缴费支出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卫生健康支出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行政事业单位医疗</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2101101</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行政单位医疗</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114.45</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7781.23</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城乡社区管理事务</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2120101</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行政运行</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721.73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21205</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城乡社区环境卫生</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2120501</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城乡社区环境卫生</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农林水支出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21305</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lang w:eastAsia="zh-CN"/>
              </w:rPr>
              <w:t>巩固拓展脱贫攻坚成果</w:t>
            </w:r>
            <w:r>
              <w:rPr>
                <w:rFonts w:hint="eastAsia" w:ascii="方正仿宋简体" w:hAnsi="方正仿宋简体" w:eastAsia="方正仿宋简体" w:cs="方正仿宋简体"/>
                <w:szCs w:val="21"/>
              </w:rPr>
              <w:t>衔接乡村振兴</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2130507</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贷款奖补和贴息</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c>
          <w:tcPr>
            <w:tcW w:w="2502"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住房保障支出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住房改革支出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13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2210201</w:t>
            </w:r>
          </w:p>
        </w:tc>
        <w:tc>
          <w:tcPr>
            <w:tcW w:w="364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住房公积金</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2502"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2503" w:type="dxa"/>
            <w:vAlign w:val="center"/>
          </w:tcPr>
          <w:p>
            <w:pPr>
              <w:pStyle w:val="18"/>
              <w:rPr>
                <w:rFonts w:ascii="方正仿宋简体" w:hAnsi="方正仿宋简体" w:eastAsia="方正仿宋简体" w:cs="方正仿宋简体"/>
                <w:szCs w:val="21"/>
              </w:rPr>
            </w:pPr>
          </w:p>
        </w:tc>
      </w:tr>
    </w:tbl>
    <w:p>
      <w:pPr>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textAlignment w:val="center"/>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附表1-6</w:t>
      </w:r>
    </w:p>
    <w:p>
      <w:pPr>
        <w:jc w:val="center"/>
        <w:textAlignment w:val="center"/>
        <w:rPr>
          <w:rFonts w:ascii="宋体" w:hAnsi="宋体" w:eastAsia="宋体" w:cs="宋体"/>
          <w:sz w:val="44"/>
          <w:szCs w:val="44"/>
          <w:lang w:eastAsia="zh-CN"/>
        </w:rPr>
      </w:pPr>
      <w:r>
        <w:rPr>
          <w:rFonts w:hint="eastAsia" w:ascii="宋体" w:hAnsi="宋体" w:eastAsia="宋体" w:cs="宋体"/>
          <w:sz w:val="44"/>
          <w:szCs w:val="44"/>
          <w:lang w:eastAsia="zh-CN"/>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1690"/>
        <w:gridCol w:w="3315"/>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250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06"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00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支出部门经济分类科目</w:t>
            </w:r>
          </w:p>
        </w:tc>
        <w:tc>
          <w:tcPr>
            <w:tcW w:w="7509" w:type="dxa"/>
            <w:gridSpan w:val="3"/>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continue"/>
          </w:tcPr>
          <w:p>
            <w:pPr>
              <w:rPr>
                <w:rFonts w:ascii="方正仿宋简体" w:hAnsi="方正仿宋简体" w:eastAsia="方正仿宋简体" w:cs="方正仿宋简体"/>
                <w:sz w:val="21"/>
                <w:szCs w:val="21"/>
              </w:rPr>
            </w:pPr>
          </w:p>
        </w:tc>
        <w:tc>
          <w:tcPr>
            <w:tcW w:w="16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科目编码</w:t>
            </w:r>
          </w:p>
        </w:tc>
        <w:tc>
          <w:tcPr>
            <w:tcW w:w="331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人员经费</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16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331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0" w:type="dxa"/>
            <w:vAlign w:val="center"/>
          </w:tcPr>
          <w:p>
            <w:pPr>
              <w:pStyle w:val="23"/>
              <w:rPr>
                <w:rFonts w:ascii="方正仿宋简体" w:hAnsi="方正仿宋简体" w:eastAsia="方正仿宋简体" w:cs="方正仿宋简体"/>
                <w:b w:val="0"/>
                <w:szCs w:val="21"/>
              </w:rPr>
            </w:pPr>
          </w:p>
        </w:tc>
        <w:tc>
          <w:tcPr>
            <w:tcW w:w="3315"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994.07</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975.98</w:t>
            </w:r>
          </w:p>
        </w:tc>
        <w:tc>
          <w:tcPr>
            <w:tcW w:w="2503" w:type="dxa"/>
            <w:vAlign w:val="center"/>
          </w:tcPr>
          <w:p>
            <w:pPr>
              <w:pStyle w:val="22"/>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工资福利支出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784.16</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784.16</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30101</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基本工资</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260.43</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260.43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30102</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津贴补贴</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45.78</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45.78</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30103</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奖金</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60.38</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60.38</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30107</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绩效工资</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138.80</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138.80</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30108</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机关事业单位基本养老保险缴费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70.23</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70.23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30109</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职业年金缴费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34.64</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30110</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职工基本医疗保险缴费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86.41</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86.41</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30111</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公务员医疗补助缴费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28.28</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28.28</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30112</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其他社会保障缴费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5.23</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5.23</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30113</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住房公积金</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53.98</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商品和服务支出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18.09</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14</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30201</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办公费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1.26</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30206</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电费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0.84</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30207</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邮电费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0.42</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30208</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取暖费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2.34</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18</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30211</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差旅费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0.84</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30215</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会议费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0.21</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30216</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培训费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0.21</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30217</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公务接待费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0.09</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22</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30228</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工会经费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4.24</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23</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30229</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福利费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4.52</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24</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30239</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其他交通费用</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0.60</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30299</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其他商品和服务支出</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26</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303</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对个人和家庭的补助</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191.82</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191.82</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27</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30302</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退休费</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179.82</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179.82</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28</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30304</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抚恤金</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11.38</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11.38</w:t>
            </w: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29</w:t>
            </w:r>
          </w:p>
        </w:tc>
        <w:tc>
          <w:tcPr>
            <w:tcW w:w="16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30309</w:t>
            </w:r>
          </w:p>
        </w:tc>
        <w:tc>
          <w:tcPr>
            <w:tcW w:w="331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奖励金</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0.62</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0.62</w:t>
            </w:r>
          </w:p>
        </w:tc>
        <w:tc>
          <w:tcPr>
            <w:tcW w:w="2503" w:type="dxa"/>
            <w:vAlign w:val="center"/>
          </w:tcPr>
          <w:p>
            <w:pPr>
              <w:pStyle w:val="18"/>
              <w:rPr>
                <w:rFonts w:ascii="方正仿宋简体" w:hAnsi="方正仿宋简体" w:eastAsia="方正仿宋简体" w:cs="方正仿宋简体"/>
                <w:szCs w:val="21"/>
              </w:rPr>
            </w:pPr>
          </w:p>
        </w:tc>
      </w:tr>
    </w:tbl>
    <w:p>
      <w:pPr>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textAlignment w:val="center"/>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附表1-7</w:t>
      </w:r>
    </w:p>
    <w:p>
      <w:pPr>
        <w:jc w:val="center"/>
        <w:textAlignment w:val="center"/>
        <w:rPr>
          <w:rFonts w:ascii="宋体" w:hAnsi="宋体" w:eastAsia="宋体" w:cs="宋体"/>
          <w:sz w:val="44"/>
          <w:szCs w:val="44"/>
          <w:lang w:eastAsia="zh-CN"/>
        </w:rPr>
      </w:pPr>
      <w:r>
        <w:rPr>
          <w:rFonts w:hint="eastAsia" w:ascii="宋体" w:hAnsi="宋体" w:eastAsia="宋体" w:cs="宋体"/>
          <w:sz w:val="44"/>
          <w:szCs w:val="44"/>
          <w:lang w:eastAsia="zh-CN"/>
        </w:rPr>
        <w:t>单位预算政府基金预算财政拨款支出表</w:t>
      </w:r>
    </w:p>
    <w:tbl>
      <w:tblPr>
        <w:tblStyle w:val="10"/>
        <w:tblW w:w="15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7"/>
        <w:gridCol w:w="2517"/>
        <w:gridCol w:w="2516"/>
        <w:gridCol w:w="2517"/>
        <w:gridCol w:w="2515"/>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7550"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2517"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32"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2517"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033"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2517"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15"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基本支出</w:t>
            </w:r>
          </w:p>
        </w:tc>
        <w:tc>
          <w:tcPr>
            <w:tcW w:w="2517"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2517" w:type="dxa"/>
            <w:vMerge w:val="continue"/>
          </w:tcPr>
          <w:p>
            <w:pPr>
              <w:rPr>
                <w:rFonts w:ascii="方正仿宋简体" w:hAnsi="方正仿宋简体" w:eastAsia="方正仿宋简体" w:cs="方正仿宋简体"/>
                <w:sz w:val="21"/>
                <w:szCs w:val="21"/>
              </w:rPr>
            </w:pPr>
          </w:p>
        </w:tc>
        <w:tc>
          <w:tcPr>
            <w:tcW w:w="251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科目编码</w:t>
            </w:r>
          </w:p>
        </w:tc>
        <w:tc>
          <w:tcPr>
            <w:tcW w:w="251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2517" w:type="dxa"/>
            <w:vMerge w:val="continue"/>
          </w:tcPr>
          <w:p>
            <w:pPr>
              <w:rPr>
                <w:rFonts w:ascii="方正仿宋简体" w:hAnsi="方正仿宋简体" w:eastAsia="方正仿宋简体" w:cs="方正仿宋简体"/>
                <w:sz w:val="21"/>
                <w:szCs w:val="21"/>
              </w:rPr>
            </w:pPr>
          </w:p>
        </w:tc>
        <w:tc>
          <w:tcPr>
            <w:tcW w:w="2515" w:type="dxa"/>
            <w:vMerge w:val="continue"/>
          </w:tcPr>
          <w:p>
            <w:pPr>
              <w:rPr>
                <w:rFonts w:ascii="方正仿宋简体" w:hAnsi="方正仿宋简体" w:eastAsia="方正仿宋简体" w:cs="方正仿宋简体"/>
                <w:sz w:val="21"/>
                <w:szCs w:val="21"/>
              </w:rPr>
            </w:pPr>
          </w:p>
        </w:tc>
        <w:tc>
          <w:tcPr>
            <w:tcW w:w="2517"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251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251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251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1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1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1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2517" w:type="dxa"/>
            <w:vAlign w:val="center"/>
          </w:tcPr>
          <w:p>
            <w:pPr>
              <w:pStyle w:val="20"/>
              <w:rPr>
                <w:rFonts w:ascii="方正仿宋简体" w:hAnsi="方正仿宋简体" w:eastAsia="方正仿宋简体" w:cs="方正仿宋简体"/>
                <w:szCs w:val="21"/>
              </w:rPr>
            </w:pPr>
          </w:p>
        </w:tc>
        <w:tc>
          <w:tcPr>
            <w:tcW w:w="2517" w:type="dxa"/>
            <w:vAlign w:val="center"/>
          </w:tcPr>
          <w:p>
            <w:pPr>
              <w:pStyle w:val="19"/>
              <w:rPr>
                <w:rFonts w:ascii="方正仿宋简体" w:hAnsi="方正仿宋简体" w:eastAsia="方正仿宋简体" w:cs="方正仿宋简体"/>
                <w:szCs w:val="21"/>
              </w:rPr>
            </w:pPr>
          </w:p>
        </w:tc>
        <w:tc>
          <w:tcPr>
            <w:tcW w:w="2516" w:type="dxa"/>
            <w:vAlign w:val="center"/>
          </w:tcPr>
          <w:p>
            <w:pPr>
              <w:pStyle w:val="19"/>
              <w:rPr>
                <w:rFonts w:ascii="方正仿宋简体" w:hAnsi="方正仿宋简体" w:eastAsia="方正仿宋简体" w:cs="方正仿宋简体"/>
                <w:szCs w:val="21"/>
              </w:rPr>
            </w:pPr>
          </w:p>
        </w:tc>
        <w:tc>
          <w:tcPr>
            <w:tcW w:w="2517" w:type="dxa"/>
            <w:vAlign w:val="center"/>
          </w:tcPr>
          <w:p>
            <w:pPr>
              <w:pStyle w:val="18"/>
              <w:rPr>
                <w:rFonts w:ascii="方正仿宋简体" w:hAnsi="方正仿宋简体" w:eastAsia="方正仿宋简体" w:cs="方正仿宋简体"/>
                <w:szCs w:val="21"/>
              </w:rPr>
            </w:pPr>
          </w:p>
        </w:tc>
        <w:tc>
          <w:tcPr>
            <w:tcW w:w="2515" w:type="dxa"/>
            <w:vAlign w:val="center"/>
          </w:tcPr>
          <w:p>
            <w:pPr>
              <w:pStyle w:val="18"/>
              <w:rPr>
                <w:rFonts w:ascii="方正仿宋简体" w:hAnsi="方正仿宋简体" w:eastAsia="方正仿宋简体" w:cs="方正仿宋简体"/>
                <w:szCs w:val="21"/>
              </w:rPr>
            </w:pPr>
          </w:p>
        </w:tc>
        <w:tc>
          <w:tcPr>
            <w:tcW w:w="2517" w:type="dxa"/>
            <w:vAlign w:val="center"/>
          </w:tcPr>
          <w:p>
            <w:pPr>
              <w:pStyle w:val="18"/>
              <w:rPr>
                <w:rFonts w:ascii="方正仿宋简体" w:hAnsi="方正仿宋简体" w:eastAsia="方正仿宋简体" w:cs="方正仿宋简体"/>
                <w:szCs w:val="21"/>
              </w:rPr>
            </w:pPr>
          </w:p>
        </w:tc>
      </w:tr>
    </w:tbl>
    <w:p>
      <w:pPr>
        <w:ind w:firstLine="420"/>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szCs w:val="21"/>
        </w:rPr>
        <w:t>注：无政府基金预算财政拨款预算，空表列示。</w:t>
      </w:r>
    </w:p>
    <w:p>
      <w:pPr>
        <w:textAlignment w:val="center"/>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附表1-8</w:t>
      </w:r>
    </w:p>
    <w:p>
      <w:pPr>
        <w:jc w:val="center"/>
        <w:textAlignment w:val="center"/>
        <w:rPr>
          <w:rFonts w:ascii="宋体" w:hAnsi="宋体" w:eastAsia="宋体" w:cs="宋体"/>
          <w:sz w:val="44"/>
          <w:szCs w:val="44"/>
          <w:lang w:eastAsia="zh-CN"/>
        </w:rPr>
      </w:pPr>
      <w:r>
        <w:rPr>
          <w:rFonts w:hint="eastAsia" w:ascii="宋体" w:hAnsi="宋体" w:eastAsia="宋体" w:cs="宋体"/>
          <w:sz w:val="44"/>
          <w:szCs w:val="44"/>
          <w:lang w:eastAsia="zh-CN"/>
        </w:rPr>
        <w:t>单位预算国有资本经营预算财政拨款支出表</w:t>
      </w:r>
    </w:p>
    <w:tbl>
      <w:tblPr>
        <w:tblStyle w:val="10"/>
        <w:tblW w:w="15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7"/>
        <w:gridCol w:w="2527"/>
        <w:gridCol w:w="2526"/>
        <w:gridCol w:w="2527"/>
        <w:gridCol w:w="2525"/>
        <w:gridCol w:w="2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7580"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2527"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52"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2527"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5053"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功能分类科目</w:t>
            </w:r>
          </w:p>
        </w:tc>
        <w:tc>
          <w:tcPr>
            <w:tcW w:w="2527"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25"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基本支出</w:t>
            </w:r>
          </w:p>
        </w:tc>
        <w:tc>
          <w:tcPr>
            <w:tcW w:w="2527"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2527" w:type="dxa"/>
            <w:vMerge w:val="continue"/>
          </w:tcPr>
          <w:p>
            <w:pPr>
              <w:rPr>
                <w:rFonts w:ascii="方正仿宋简体" w:hAnsi="方正仿宋简体" w:eastAsia="方正仿宋简体" w:cs="方正仿宋简体"/>
                <w:sz w:val="21"/>
                <w:szCs w:val="21"/>
              </w:rPr>
            </w:pPr>
          </w:p>
        </w:tc>
        <w:tc>
          <w:tcPr>
            <w:tcW w:w="252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科目编码</w:t>
            </w:r>
          </w:p>
        </w:tc>
        <w:tc>
          <w:tcPr>
            <w:tcW w:w="252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科目名称</w:t>
            </w:r>
          </w:p>
        </w:tc>
        <w:tc>
          <w:tcPr>
            <w:tcW w:w="2527" w:type="dxa"/>
            <w:vMerge w:val="continue"/>
          </w:tcPr>
          <w:p>
            <w:pPr>
              <w:rPr>
                <w:rFonts w:ascii="方正仿宋简体" w:hAnsi="方正仿宋简体" w:eastAsia="方正仿宋简体" w:cs="方正仿宋简体"/>
                <w:sz w:val="21"/>
                <w:szCs w:val="21"/>
              </w:rPr>
            </w:pPr>
          </w:p>
        </w:tc>
        <w:tc>
          <w:tcPr>
            <w:tcW w:w="2525" w:type="dxa"/>
            <w:vMerge w:val="continue"/>
          </w:tcPr>
          <w:p>
            <w:pPr>
              <w:rPr>
                <w:rFonts w:ascii="方正仿宋简体" w:hAnsi="方正仿宋简体" w:eastAsia="方正仿宋简体" w:cs="方正仿宋简体"/>
                <w:sz w:val="21"/>
                <w:szCs w:val="21"/>
              </w:rPr>
            </w:pPr>
          </w:p>
        </w:tc>
        <w:tc>
          <w:tcPr>
            <w:tcW w:w="2527" w:type="dxa"/>
            <w:vMerge w:val="continue"/>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252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252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252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2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2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2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527" w:type="dxa"/>
            <w:vAlign w:val="center"/>
          </w:tcPr>
          <w:p>
            <w:pPr>
              <w:pStyle w:val="20"/>
              <w:rPr>
                <w:rFonts w:ascii="方正仿宋简体" w:hAnsi="方正仿宋简体" w:eastAsia="方正仿宋简体" w:cs="方正仿宋简体"/>
                <w:szCs w:val="21"/>
              </w:rPr>
            </w:pPr>
          </w:p>
        </w:tc>
        <w:tc>
          <w:tcPr>
            <w:tcW w:w="2527" w:type="dxa"/>
            <w:vAlign w:val="center"/>
          </w:tcPr>
          <w:p>
            <w:pPr>
              <w:pStyle w:val="19"/>
              <w:rPr>
                <w:rFonts w:ascii="方正仿宋简体" w:hAnsi="方正仿宋简体" w:eastAsia="方正仿宋简体" w:cs="方正仿宋简体"/>
                <w:szCs w:val="21"/>
              </w:rPr>
            </w:pPr>
          </w:p>
        </w:tc>
        <w:tc>
          <w:tcPr>
            <w:tcW w:w="2526" w:type="dxa"/>
            <w:vAlign w:val="center"/>
          </w:tcPr>
          <w:p>
            <w:pPr>
              <w:pStyle w:val="19"/>
              <w:rPr>
                <w:rFonts w:ascii="方正仿宋简体" w:hAnsi="方正仿宋简体" w:eastAsia="方正仿宋简体" w:cs="方正仿宋简体"/>
                <w:szCs w:val="21"/>
              </w:rPr>
            </w:pPr>
          </w:p>
        </w:tc>
        <w:tc>
          <w:tcPr>
            <w:tcW w:w="2527" w:type="dxa"/>
            <w:vAlign w:val="center"/>
          </w:tcPr>
          <w:p>
            <w:pPr>
              <w:pStyle w:val="18"/>
              <w:rPr>
                <w:rFonts w:ascii="方正仿宋简体" w:hAnsi="方正仿宋简体" w:eastAsia="方正仿宋简体" w:cs="方正仿宋简体"/>
                <w:szCs w:val="21"/>
              </w:rPr>
            </w:pPr>
          </w:p>
        </w:tc>
        <w:tc>
          <w:tcPr>
            <w:tcW w:w="2525" w:type="dxa"/>
            <w:vAlign w:val="center"/>
          </w:tcPr>
          <w:p>
            <w:pPr>
              <w:pStyle w:val="18"/>
              <w:rPr>
                <w:rFonts w:ascii="方正仿宋简体" w:hAnsi="方正仿宋简体" w:eastAsia="方正仿宋简体" w:cs="方正仿宋简体"/>
                <w:szCs w:val="21"/>
              </w:rPr>
            </w:pPr>
          </w:p>
        </w:tc>
        <w:tc>
          <w:tcPr>
            <w:tcW w:w="2527" w:type="dxa"/>
            <w:vAlign w:val="center"/>
          </w:tcPr>
          <w:p>
            <w:pPr>
              <w:pStyle w:val="18"/>
              <w:rPr>
                <w:rFonts w:ascii="方正仿宋简体" w:hAnsi="方正仿宋简体" w:eastAsia="方正仿宋简体" w:cs="方正仿宋简体"/>
                <w:szCs w:val="21"/>
              </w:rPr>
            </w:pPr>
          </w:p>
        </w:tc>
      </w:tr>
    </w:tbl>
    <w:p>
      <w:pPr>
        <w:ind w:firstLine="420"/>
        <w:rPr>
          <w:rFonts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szCs w:val="21"/>
        </w:rPr>
        <w:t>注：无国有资本经营预算财政拨款预算，空表列示。</w:t>
      </w:r>
    </w:p>
    <w:p>
      <w:pPr>
        <w:textAlignment w:val="center"/>
        <w:rPr>
          <w:rFonts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附表1-9</w:t>
      </w:r>
    </w:p>
    <w:p>
      <w:pPr>
        <w:jc w:val="center"/>
        <w:textAlignment w:val="center"/>
        <w:rPr>
          <w:rFonts w:ascii="宋体" w:hAnsi="宋体" w:eastAsia="宋体" w:cs="宋体"/>
          <w:sz w:val="44"/>
          <w:szCs w:val="44"/>
          <w:lang w:eastAsia="zh-CN"/>
        </w:rPr>
      </w:pPr>
      <w:r>
        <w:rPr>
          <w:rFonts w:hint="eastAsia" w:ascii="宋体" w:hAnsi="宋体" w:eastAsia="宋体" w:cs="宋体"/>
          <w:sz w:val="44"/>
          <w:szCs w:val="44"/>
          <w:lang w:eastAsia="zh-CN"/>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4539"/>
        <w:gridCol w:w="1551"/>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656002遵化市环境卫生管理中心</w:t>
            </w:r>
          </w:p>
        </w:tc>
        <w:tc>
          <w:tcPr>
            <w:tcW w:w="250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5006"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序号</w:t>
            </w:r>
          </w:p>
        </w:tc>
        <w:tc>
          <w:tcPr>
            <w:tcW w:w="453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  目</w:t>
            </w:r>
          </w:p>
        </w:tc>
        <w:tc>
          <w:tcPr>
            <w:tcW w:w="9060" w:type="dxa"/>
            <w:gridSpan w:val="4"/>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7" w:type="dxa"/>
            <w:vMerge w:val="continue"/>
          </w:tcPr>
          <w:p>
            <w:pPr>
              <w:rPr>
                <w:rFonts w:ascii="方正仿宋简体" w:hAnsi="方正仿宋简体" w:eastAsia="方正仿宋简体" w:cs="方正仿宋简体"/>
                <w:sz w:val="21"/>
                <w:szCs w:val="21"/>
              </w:rPr>
            </w:pPr>
          </w:p>
        </w:tc>
        <w:tc>
          <w:tcPr>
            <w:tcW w:w="4539" w:type="dxa"/>
            <w:vMerge w:val="continue"/>
          </w:tcPr>
          <w:p>
            <w:pPr>
              <w:rPr>
                <w:rFonts w:ascii="方正仿宋简体" w:hAnsi="方正仿宋简体" w:eastAsia="方正仿宋简体" w:cs="方正仿宋简体"/>
                <w:sz w:val="21"/>
                <w:szCs w:val="21"/>
              </w:rPr>
            </w:pPr>
          </w:p>
        </w:tc>
        <w:tc>
          <w:tcPr>
            <w:tcW w:w="1551"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一般公共预算              财政拨款</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政府性基金                  预算拨款</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栏次</w:t>
            </w:r>
          </w:p>
        </w:tc>
        <w:tc>
          <w:tcPr>
            <w:tcW w:w="453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w:t>
            </w:r>
          </w:p>
        </w:tc>
        <w:tc>
          <w:tcPr>
            <w:tcW w:w="1551"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2</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4</w:t>
            </w:r>
          </w:p>
        </w:tc>
        <w:tc>
          <w:tcPr>
            <w:tcW w:w="25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4539" w:type="dxa"/>
            <w:vAlign w:val="center"/>
          </w:tcPr>
          <w:p>
            <w:pPr>
              <w:pStyle w:val="21"/>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合计</w:t>
            </w:r>
          </w:p>
        </w:tc>
        <w:tc>
          <w:tcPr>
            <w:tcW w:w="1551" w:type="dxa"/>
            <w:vAlign w:val="center"/>
          </w:tcPr>
          <w:p>
            <w:pPr>
              <w:pStyle w:val="22"/>
              <w:rPr>
                <w:rFonts w:hint="default" w:ascii="方正仿宋简体" w:hAnsi="方正仿宋简体" w:eastAsia="方正仿宋简体" w:cs="方正仿宋简体"/>
                <w:b w:val="0"/>
                <w:szCs w:val="21"/>
                <w:lang w:val="en-US" w:eastAsia="zh-CN"/>
              </w:rPr>
            </w:pPr>
            <w:r>
              <w:rPr>
                <w:rFonts w:hint="eastAsia" w:ascii="方正仿宋简体" w:hAnsi="方正仿宋简体" w:eastAsia="方正仿宋简体" w:cs="方正仿宋简体"/>
                <w:b w:val="0"/>
                <w:szCs w:val="21"/>
                <w:lang w:val="en-US" w:eastAsia="zh-CN"/>
              </w:rPr>
              <w:t>0.09</w:t>
            </w:r>
          </w:p>
        </w:tc>
        <w:tc>
          <w:tcPr>
            <w:tcW w:w="2503" w:type="dxa"/>
            <w:vAlign w:val="center"/>
          </w:tcPr>
          <w:p>
            <w:pPr>
              <w:pStyle w:val="22"/>
              <w:rPr>
                <w:rFonts w:hint="default" w:ascii="方正仿宋简体" w:hAnsi="方正仿宋简体" w:eastAsia="方正仿宋简体" w:cs="方正仿宋简体"/>
                <w:b w:val="0"/>
                <w:szCs w:val="21"/>
                <w:lang w:val="en-US" w:eastAsia="zh-CN"/>
              </w:rPr>
            </w:pPr>
            <w:r>
              <w:rPr>
                <w:rFonts w:hint="eastAsia" w:ascii="方正仿宋简体" w:hAnsi="方正仿宋简体" w:eastAsia="方正仿宋简体" w:cs="方正仿宋简体"/>
                <w:b w:val="0"/>
                <w:szCs w:val="21"/>
                <w:lang w:val="en-US" w:eastAsia="zh-CN"/>
              </w:rPr>
              <w:t>0.09</w:t>
            </w:r>
          </w:p>
        </w:tc>
        <w:tc>
          <w:tcPr>
            <w:tcW w:w="2503" w:type="dxa"/>
            <w:vAlign w:val="center"/>
          </w:tcPr>
          <w:p>
            <w:pPr>
              <w:pStyle w:val="22"/>
              <w:rPr>
                <w:rFonts w:ascii="方正仿宋简体" w:hAnsi="方正仿宋简体" w:eastAsia="方正仿宋简体" w:cs="方正仿宋简体"/>
                <w:b w:val="0"/>
                <w:szCs w:val="21"/>
              </w:rPr>
            </w:pPr>
          </w:p>
        </w:tc>
        <w:tc>
          <w:tcPr>
            <w:tcW w:w="2503" w:type="dxa"/>
            <w:vAlign w:val="center"/>
          </w:tcPr>
          <w:p>
            <w:pPr>
              <w:pStyle w:val="22"/>
              <w:rPr>
                <w:rFonts w:ascii="方正仿宋简体" w:hAnsi="方正仿宋简体" w:eastAsia="方正仿宋简体" w:cs="方正仿宋简体"/>
                <w:b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453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“三公”经费小计</w:t>
            </w:r>
          </w:p>
        </w:tc>
        <w:tc>
          <w:tcPr>
            <w:tcW w:w="1551"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0.09</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0.09</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w:t>
            </w:r>
          </w:p>
        </w:tc>
        <w:tc>
          <w:tcPr>
            <w:tcW w:w="453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一、因公出国（境）费</w:t>
            </w:r>
          </w:p>
        </w:tc>
        <w:tc>
          <w:tcPr>
            <w:tcW w:w="1551"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w:t>
            </w:r>
          </w:p>
        </w:tc>
        <w:tc>
          <w:tcPr>
            <w:tcW w:w="453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其中：教学科研人员因公出国（境）费</w:t>
            </w:r>
          </w:p>
        </w:tc>
        <w:tc>
          <w:tcPr>
            <w:tcW w:w="1551"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w:t>
            </w:r>
          </w:p>
        </w:tc>
        <w:tc>
          <w:tcPr>
            <w:tcW w:w="453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其他因公出国（境）费</w:t>
            </w:r>
          </w:p>
        </w:tc>
        <w:tc>
          <w:tcPr>
            <w:tcW w:w="1551"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w:t>
            </w:r>
          </w:p>
        </w:tc>
        <w:tc>
          <w:tcPr>
            <w:tcW w:w="453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二、公务用车购置及运维费</w:t>
            </w:r>
          </w:p>
        </w:tc>
        <w:tc>
          <w:tcPr>
            <w:tcW w:w="1551"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7</w:t>
            </w:r>
          </w:p>
        </w:tc>
        <w:tc>
          <w:tcPr>
            <w:tcW w:w="453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其中：公务用车购置费</w:t>
            </w:r>
          </w:p>
        </w:tc>
        <w:tc>
          <w:tcPr>
            <w:tcW w:w="1551"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w:t>
            </w:r>
          </w:p>
        </w:tc>
        <w:tc>
          <w:tcPr>
            <w:tcW w:w="453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公务用车运行维护费</w:t>
            </w:r>
          </w:p>
        </w:tc>
        <w:tc>
          <w:tcPr>
            <w:tcW w:w="1551"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w:t>
            </w:r>
          </w:p>
        </w:tc>
        <w:tc>
          <w:tcPr>
            <w:tcW w:w="453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三、公务接待费</w:t>
            </w:r>
          </w:p>
        </w:tc>
        <w:tc>
          <w:tcPr>
            <w:tcW w:w="1551"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0.09</w:t>
            </w:r>
          </w:p>
        </w:tc>
        <w:tc>
          <w:tcPr>
            <w:tcW w:w="250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0.09</w:t>
            </w:r>
          </w:p>
        </w:tc>
        <w:tc>
          <w:tcPr>
            <w:tcW w:w="2503" w:type="dxa"/>
            <w:vAlign w:val="center"/>
          </w:tcPr>
          <w:p>
            <w:pPr>
              <w:pStyle w:val="18"/>
              <w:rPr>
                <w:rFonts w:ascii="方正仿宋简体" w:hAnsi="方正仿宋简体" w:eastAsia="方正仿宋简体" w:cs="方正仿宋简体"/>
                <w:szCs w:val="21"/>
              </w:rPr>
            </w:pPr>
          </w:p>
        </w:tc>
        <w:tc>
          <w:tcPr>
            <w:tcW w:w="2503" w:type="dxa"/>
            <w:vAlign w:val="center"/>
          </w:tcPr>
          <w:p>
            <w:pPr>
              <w:pStyle w:val="18"/>
              <w:rPr>
                <w:rFonts w:ascii="方正仿宋简体" w:hAnsi="方正仿宋简体" w:eastAsia="方正仿宋简体" w:cs="方正仿宋简体"/>
                <w:szCs w:val="21"/>
              </w:rPr>
            </w:pPr>
          </w:p>
        </w:tc>
      </w:tr>
    </w:tbl>
    <w:p>
      <w:pPr>
        <w:rPr>
          <w:rFonts w:ascii="方正仿宋简体" w:hAnsi="方正仿宋简体" w:eastAsia="方正仿宋简体" w:cs="方正仿宋简体"/>
          <w:sz w:val="21"/>
          <w:szCs w:val="21"/>
        </w:rPr>
        <w:sectPr>
          <w:pgSz w:w="16840" w:h="11900" w:orient="landscape"/>
          <w:pgMar w:top="1361" w:right="1020" w:bottom="1361" w:left="1020" w:header="720" w:footer="720" w:gutter="0"/>
          <w:pgNumType w:fmt="decimal"/>
          <w:cols w:space="720" w:num="1"/>
        </w:sectPr>
      </w:pP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遵化市环境卫生管理中心</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2023年单位预算信息公开情况说明</w:t>
      </w:r>
    </w:p>
    <w:p>
      <w:pPr>
        <w:spacing w:line="570" w:lineRule="exact"/>
        <w:ind w:firstLine="641"/>
        <w:rPr>
          <w:rFonts w:ascii="方正仿宋简体" w:hAnsi="楷体" w:eastAsia="方正仿宋简体" w:cs="楷体"/>
          <w:sz w:val="32"/>
          <w:szCs w:val="32"/>
        </w:rPr>
      </w:pPr>
      <w:r>
        <w:rPr>
          <w:rFonts w:hint="eastAsia" w:ascii="方正仿宋简体" w:hAnsi="楷体" w:eastAsia="方正仿宋简体" w:cs="楷体"/>
          <w:sz w:val="32"/>
          <w:szCs w:val="32"/>
        </w:rPr>
        <w:t>按照《预算法》、《地方预决算公开操作规程》和《关于进一步推进预算公开工作的实施意见》规定，现将遵化市环境卫生管理中心2023年单位预算公开如下：</w:t>
      </w:r>
    </w:p>
    <w:p>
      <w:pPr>
        <w:widowControl w:val="0"/>
        <w:spacing w:line="570" w:lineRule="exact"/>
        <w:ind w:firstLine="560"/>
        <w:rPr>
          <w:rFonts w:ascii="方正黑体简体" w:hAnsi="方正黑体简体" w:eastAsia="方正黑体简体" w:cs="方正黑体简体"/>
          <w:b/>
          <w:bCs/>
          <w:kern w:val="2"/>
          <w:sz w:val="32"/>
          <w:szCs w:val="32"/>
          <w:lang w:eastAsia="zh-CN"/>
        </w:rPr>
      </w:pPr>
      <w:r>
        <w:rPr>
          <w:rFonts w:hint="eastAsia" w:ascii="方正黑体简体" w:hAnsi="方正黑体简体" w:eastAsia="方正黑体简体" w:cs="方正黑体简体"/>
          <w:kern w:val="2"/>
          <w:sz w:val="32"/>
          <w:szCs w:val="32"/>
          <w:lang w:eastAsia="zh-CN"/>
        </w:rPr>
        <w:t>一、</w:t>
      </w:r>
      <w:r>
        <w:rPr>
          <w:rFonts w:hint="eastAsia" w:ascii="方正黑体简体" w:hAnsi="方正黑体简体" w:eastAsia="方正黑体简体" w:cs="方正黑体简体"/>
          <w:b/>
          <w:bCs/>
          <w:kern w:val="2"/>
          <w:sz w:val="32"/>
          <w:szCs w:val="32"/>
          <w:lang w:eastAsia="zh-CN"/>
        </w:rPr>
        <w:t>单位职责及机构设置情况</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单位职责：</w:t>
      </w:r>
    </w:p>
    <w:p>
      <w:pPr>
        <w:spacing w:line="570" w:lineRule="exact"/>
        <w:ind w:firstLine="641"/>
        <w:rPr>
          <w:rFonts w:ascii="方正仿宋简体" w:hAnsi="楷体" w:eastAsia="方正仿宋简体" w:cs="楷体"/>
          <w:sz w:val="32"/>
          <w:szCs w:val="32"/>
        </w:rPr>
      </w:pPr>
      <w:r>
        <w:rPr>
          <w:rFonts w:hint="eastAsia" w:ascii="方正仿宋简体" w:hAnsi="楷体" w:eastAsia="方正仿宋简体" w:cs="楷体"/>
          <w:sz w:val="32"/>
          <w:szCs w:val="32"/>
        </w:rPr>
        <w:t>根据遵机编字[2019]56号文件，我单位主要职责是：负责市区主街主路及部分小街小巷的清扫保洁工作;负责市区主街主路及部分小街小巷的生活垃圾清运工作；负责市区公厕的清掏管理工作；负责市区及部分乡镇生活垃圾的填埋工作；负责市区垃圾处理费的收缴工作；负责市区建筑垃圾的处理；负责市区内环卫设施的建设管理。</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机构设置：</w:t>
      </w:r>
    </w:p>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单位名称</w:t>
            </w:r>
          </w:p>
        </w:tc>
        <w:tc>
          <w:tcPr>
            <w:tcW w:w="3754"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单位性质</w:t>
            </w:r>
          </w:p>
        </w:tc>
        <w:tc>
          <w:tcPr>
            <w:tcW w:w="3754"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单位规格</w:t>
            </w:r>
          </w:p>
        </w:tc>
        <w:tc>
          <w:tcPr>
            <w:tcW w:w="3754"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遵化市环境卫生管理中心</w:t>
            </w:r>
          </w:p>
        </w:tc>
        <w:tc>
          <w:tcPr>
            <w:tcW w:w="3754"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3754"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副科级</w:t>
            </w:r>
          </w:p>
        </w:tc>
        <w:tc>
          <w:tcPr>
            <w:tcW w:w="3754"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bl>
    <w:p>
      <w:pPr>
        <w:spacing w:line="570" w:lineRule="exact"/>
        <w:ind w:firstLine="641"/>
        <w:rPr>
          <w:rFonts w:ascii="方正黑体简体" w:hAnsi="宋体" w:eastAsia="方正黑体简体"/>
          <w:sz w:val="32"/>
          <w:szCs w:val="32"/>
        </w:rPr>
      </w:pPr>
    </w:p>
    <w:p>
      <w:pPr>
        <w:spacing w:line="570" w:lineRule="exact"/>
        <w:ind w:firstLine="641"/>
        <w:rPr>
          <w:rFonts w:ascii="方正黑体简体" w:hAnsi="宋体" w:eastAsia="方正黑体简体"/>
          <w:sz w:val="32"/>
          <w:szCs w:val="32"/>
        </w:rPr>
      </w:pP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二、单位预算安排的总体情况</w:t>
      </w:r>
    </w:p>
    <w:p>
      <w:pPr>
        <w:spacing w:line="570" w:lineRule="exact"/>
        <w:ind w:firstLine="641"/>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按照预算管理有关规定，目前我市</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预算的编制实行综合预算制度，即全部收入和支出都反映在预算中</w:t>
      </w:r>
    </w:p>
    <w:p>
      <w:pPr>
        <w:spacing w:line="570" w:lineRule="exact"/>
        <w:ind w:firstLine="641"/>
        <w:rPr>
          <w:rFonts w:ascii="方正仿宋简体" w:hAnsi="楷体" w:eastAsia="方正仿宋简体" w:cs="楷体"/>
          <w:sz w:val="32"/>
          <w:szCs w:val="32"/>
        </w:rPr>
      </w:pPr>
      <w:r>
        <w:rPr>
          <w:rFonts w:hint="eastAsia" w:ascii="方正仿宋简体" w:hAnsi="楷体" w:eastAsia="方正仿宋简体" w:cs="楷体"/>
          <w:sz w:val="32"/>
          <w:szCs w:val="32"/>
          <w:lang w:eastAsia="zh-CN"/>
        </w:rPr>
        <w:t>1、</w:t>
      </w:r>
      <w:r>
        <w:rPr>
          <w:rFonts w:hint="eastAsia" w:ascii="方正仿宋简体" w:hAnsi="楷体" w:eastAsia="方正仿宋简体" w:cs="楷体"/>
          <w:sz w:val="32"/>
          <w:szCs w:val="32"/>
        </w:rPr>
        <w:t>收入说明</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rPr>
        <w:t>2023年预算收入8571.57万元，其中：一般公共预算拨款8571.57万元，占100%。</w:t>
      </w:r>
    </w:p>
    <w:p>
      <w:pPr>
        <w:spacing w:line="570" w:lineRule="exact"/>
        <w:ind w:firstLine="641"/>
        <w:rPr>
          <w:rFonts w:ascii="方正仿宋简体" w:hAnsi="楷体" w:eastAsia="方正仿宋简体" w:cs="楷体"/>
          <w:sz w:val="32"/>
          <w:szCs w:val="32"/>
        </w:rPr>
      </w:pPr>
      <w:r>
        <w:rPr>
          <w:rFonts w:hint="eastAsia" w:ascii="方正仿宋简体" w:hAnsi="楷体" w:eastAsia="方正仿宋简体" w:cs="楷体"/>
          <w:sz w:val="32"/>
          <w:szCs w:val="32"/>
          <w:lang w:eastAsia="zh-CN"/>
        </w:rPr>
        <w:t>2、</w:t>
      </w:r>
      <w:r>
        <w:rPr>
          <w:rFonts w:hint="eastAsia" w:ascii="方正仿宋简体" w:hAnsi="楷体" w:eastAsia="方正仿宋简体" w:cs="楷体"/>
          <w:sz w:val="32"/>
          <w:szCs w:val="32"/>
        </w:rPr>
        <w:t>支出说明</w:t>
      </w:r>
    </w:p>
    <w:p>
      <w:pPr>
        <w:pStyle w:val="32"/>
        <w:spacing w:line="570" w:lineRule="exact"/>
        <w:rPr>
          <w:rFonts w:ascii="方正仿宋简体" w:hAnsi="楷体" w:eastAsia="方正仿宋简体" w:cs="楷体"/>
          <w:sz w:val="32"/>
          <w:szCs w:val="32"/>
          <w:lang w:eastAsia="zh-CN"/>
        </w:rPr>
      </w:pPr>
      <w:r>
        <w:rPr>
          <w:rFonts w:hint="eastAsia" w:ascii="方正仿宋简体" w:hAnsi="楷体" w:eastAsia="方正仿宋简体" w:cs="楷体"/>
          <w:sz w:val="32"/>
          <w:szCs w:val="32"/>
        </w:rPr>
        <w:t>收支预算总表支出栏、基本支出表、项目支出表按经济分类和支出功能分类科目编制，反映遵化市</w:t>
      </w:r>
      <w:r>
        <w:rPr>
          <w:rFonts w:hint="eastAsia" w:ascii="方正仿宋简体" w:hAnsi="楷体" w:eastAsia="方正仿宋简体" w:cs="楷体"/>
          <w:sz w:val="32"/>
          <w:szCs w:val="32"/>
          <w:lang w:eastAsia="zh-CN"/>
        </w:rPr>
        <w:t>环境卫生管理中心2023</w:t>
      </w:r>
      <w:r>
        <w:rPr>
          <w:rFonts w:hint="eastAsia" w:ascii="方正仿宋简体" w:hAnsi="楷体" w:eastAsia="方正仿宋简体" w:cs="楷体"/>
          <w:sz w:val="32"/>
          <w:szCs w:val="32"/>
        </w:rPr>
        <w:t>年度部门预算中支出预算的总体情况。</w:t>
      </w:r>
      <w:r>
        <w:rPr>
          <w:rFonts w:hint="eastAsia" w:ascii="方正仿宋简体" w:hAnsi="楷体" w:eastAsia="方正仿宋简体" w:cs="楷体"/>
          <w:sz w:val="32"/>
          <w:szCs w:val="32"/>
          <w:lang w:eastAsia="zh-CN"/>
        </w:rPr>
        <w:t>2023</w:t>
      </w:r>
      <w:r>
        <w:rPr>
          <w:rFonts w:hint="eastAsia" w:ascii="方正仿宋简体" w:hAnsi="楷体" w:eastAsia="方正仿宋简体" w:cs="楷体"/>
          <w:sz w:val="32"/>
          <w:szCs w:val="32"/>
        </w:rPr>
        <w:t>年支出预算8571.57万元，其中基本支出</w:t>
      </w:r>
      <w:r>
        <w:rPr>
          <w:rFonts w:hint="eastAsia" w:ascii="方正仿宋简体" w:hAnsi="楷体" w:eastAsia="方正仿宋简体" w:cs="楷体"/>
          <w:sz w:val="32"/>
          <w:szCs w:val="32"/>
          <w:lang w:eastAsia="zh-CN"/>
        </w:rPr>
        <w:t>994.07</w:t>
      </w:r>
      <w:r>
        <w:rPr>
          <w:rFonts w:hint="eastAsia" w:ascii="方正仿宋简体" w:hAnsi="楷体" w:eastAsia="方正仿宋简体" w:cs="楷体"/>
          <w:sz w:val="32"/>
          <w:szCs w:val="32"/>
        </w:rPr>
        <w:t>万元；项目支出</w:t>
      </w:r>
      <w:r>
        <w:rPr>
          <w:rFonts w:hint="eastAsia" w:ascii="方正仿宋简体" w:hAnsi="楷体" w:eastAsia="方正仿宋简体" w:cs="楷体"/>
          <w:sz w:val="32"/>
          <w:szCs w:val="32"/>
          <w:lang w:eastAsia="zh-CN"/>
        </w:rPr>
        <w:t>7577.5</w:t>
      </w:r>
      <w:r>
        <w:rPr>
          <w:rFonts w:hint="eastAsia" w:ascii="方正仿宋简体" w:hAnsi="楷体" w:eastAsia="方正仿宋简体" w:cs="楷体"/>
          <w:sz w:val="32"/>
          <w:szCs w:val="32"/>
        </w:rPr>
        <w:t>万元，</w:t>
      </w:r>
      <w:r>
        <w:rPr>
          <w:rFonts w:hint="eastAsia" w:ascii="方正仿宋简体" w:hAnsi="楷体" w:eastAsia="方正仿宋简体" w:cs="楷体"/>
          <w:sz w:val="32"/>
          <w:szCs w:val="32"/>
          <w:lang w:eastAsia="zh-CN"/>
        </w:rPr>
        <w:t>属</w:t>
      </w:r>
      <w:r>
        <w:rPr>
          <w:rFonts w:hint="eastAsia" w:ascii="方正仿宋简体" w:hAnsi="楷体" w:eastAsia="方正仿宋简体" w:cs="楷体"/>
          <w:sz w:val="32"/>
          <w:szCs w:val="32"/>
        </w:rPr>
        <w:t>本级支出，主要为</w:t>
      </w:r>
      <w:r>
        <w:rPr>
          <w:rFonts w:hint="eastAsia" w:ascii="方正仿宋简体" w:hAnsi="楷体" w:eastAsia="方正仿宋简体" w:cs="楷体"/>
          <w:sz w:val="32"/>
          <w:szCs w:val="32"/>
          <w:lang w:eastAsia="zh-CN"/>
        </w:rPr>
        <w:t>城区保洁一体化服务费、道路保洁一体化服务费、乡镇乡村振兴农村生活垃圾治理服务项目服务费、生活垃圾处置费及时环境卫生管理服务费、公厕清掏等费用及车辆保险、公路养护市场项目巡查用车等费用。</w:t>
      </w:r>
    </w:p>
    <w:p>
      <w:pPr>
        <w:spacing w:line="570" w:lineRule="exact"/>
        <w:ind w:firstLine="641"/>
        <w:rPr>
          <w:rFonts w:ascii="方正仿宋简体" w:hAnsi="楷体" w:eastAsia="方正仿宋简体" w:cs="楷体"/>
          <w:sz w:val="32"/>
          <w:szCs w:val="32"/>
        </w:rPr>
      </w:pPr>
      <w:r>
        <w:rPr>
          <w:rFonts w:hint="eastAsia" w:ascii="方正仿宋简体" w:hAnsi="楷体" w:eastAsia="方正仿宋简体" w:cs="楷体"/>
          <w:sz w:val="32"/>
          <w:szCs w:val="32"/>
          <w:lang w:eastAsia="zh-CN"/>
        </w:rPr>
        <w:t>3、</w:t>
      </w:r>
      <w:r>
        <w:rPr>
          <w:rFonts w:hint="eastAsia" w:ascii="方正仿宋简体" w:hAnsi="楷体" w:eastAsia="方正仿宋简体" w:cs="楷体"/>
          <w:sz w:val="32"/>
          <w:szCs w:val="32"/>
        </w:rPr>
        <w:t>与上年增减情况</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rPr>
        <w:t>2023年预算收支安排8571.57万元，2022年预算收支安排</w:t>
      </w:r>
      <w:r>
        <w:rPr>
          <w:rFonts w:hint="eastAsia" w:ascii="方正仿宋简体" w:hAnsi="楷体" w:eastAsia="方正仿宋简体" w:cs="楷体"/>
          <w:sz w:val="32"/>
          <w:szCs w:val="32"/>
          <w:lang w:eastAsia="zh-CN"/>
        </w:rPr>
        <w:t>为</w:t>
      </w:r>
      <w:r>
        <w:rPr>
          <w:rFonts w:hint="eastAsia" w:ascii="方正仿宋简体" w:hAnsi="楷体" w:eastAsia="方正仿宋简体" w:cs="楷体"/>
          <w:sz w:val="32"/>
          <w:szCs w:val="32"/>
        </w:rPr>
        <w:t>8693.13万元，较上年预算减少121.56万元，主要原因：2023年度乡村振兴农村生活垃圾治理项目服务费（服务群众专项经费）预算减少。</w:t>
      </w:r>
    </w:p>
    <w:p>
      <w:pPr>
        <w:widowControl w:val="0"/>
        <w:spacing w:line="570" w:lineRule="exact"/>
        <w:ind w:firstLine="560"/>
        <w:rPr>
          <w:rFonts w:hint="eastAsia" w:ascii="方正黑体简体" w:hAnsi="方正黑体简体" w:eastAsia="方正黑体简体" w:cs="方正黑体简体"/>
          <w:kern w:val="2"/>
          <w:sz w:val="32"/>
          <w:szCs w:val="32"/>
          <w:lang w:eastAsia="zh-CN"/>
        </w:rPr>
      </w:pP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三、机关运行经费安排情况</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rPr>
        <w:t>2023年预算安排运行经费</w:t>
      </w:r>
      <w:r>
        <w:rPr>
          <w:rFonts w:hint="eastAsia" w:ascii="方正仿宋简体" w:hAnsi="楷体" w:eastAsia="方正仿宋简体" w:cs="楷体"/>
          <w:sz w:val="32"/>
          <w:szCs w:val="32"/>
          <w:lang w:val="en-US" w:eastAsia="zh-CN"/>
        </w:rPr>
        <w:t>18.09</w:t>
      </w:r>
      <w:r>
        <w:rPr>
          <w:rFonts w:hint="eastAsia" w:ascii="方正仿宋简体" w:hAnsi="楷体" w:eastAsia="方正仿宋简体" w:cs="楷体"/>
          <w:sz w:val="32"/>
          <w:szCs w:val="32"/>
        </w:rPr>
        <w:t>万元，主要用于我单位日常运行支出。日常公用经费18.09万元，其中包括办公费、电费、邮电费、办公取暖费、差旅费、公务用车运行维护费、公务交通补贴、其它商品和服务支出、公务接待费、工会经费、福利费。主要用于日常维修、办公用房水电费、办公用房取暖费等日常运行支出及职工工资及福利支出。</w:t>
      </w: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rPr>
        <w:t>2023年财政拨款“三公”经费预算数为0.</w:t>
      </w:r>
      <w:r>
        <w:rPr>
          <w:rFonts w:hint="eastAsia" w:ascii="方正仿宋简体" w:hAnsi="楷体" w:eastAsia="方正仿宋简体" w:cs="楷体"/>
          <w:sz w:val="32"/>
          <w:szCs w:val="32"/>
          <w:lang w:val="en-US" w:eastAsia="zh-CN"/>
        </w:rPr>
        <w:t>09</w:t>
      </w:r>
      <w:r>
        <w:rPr>
          <w:rFonts w:hint="eastAsia" w:ascii="方正仿宋简体" w:hAnsi="楷体" w:eastAsia="方正仿宋简体" w:cs="楷体"/>
          <w:sz w:val="32"/>
          <w:szCs w:val="32"/>
        </w:rPr>
        <w:t>万元。其中：</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rPr>
        <w:t>（一）公务用车购置及运行费。共计安排0万元，比上年减少</w:t>
      </w:r>
      <w:r>
        <w:rPr>
          <w:rFonts w:hint="eastAsia" w:ascii="方正仿宋简体" w:hAnsi="楷体" w:eastAsia="方正仿宋简体" w:cs="楷体"/>
          <w:sz w:val="32"/>
          <w:szCs w:val="32"/>
          <w:lang w:eastAsia="zh-CN"/>
        </w:rPr>
        <w:t>。其中</w:t>
      </w:r>
      <w:r>
        <w:rPr>
          <w:rFonts w:hint="eastAsia" w:ascii="方正仿宋简体" w:hAnsi="楷体" w:eastAsia="方正仿宋简体" w:cs="楷体"/>
          <w:sz w:val="32"/>
          <w:szCs w:val="32"/>
        </w:rPr>
        <w:t>1、公务用车购置安排0万元，与上年持平，无增减变化</w:t>
      </w:r>
      <w:r>
        <w:rPr>
          <w:rFonts w:hint="eastAsia" w:ascii="方正仿宋简体" w:hAnsi="楷体" w:eastAsia="方正仿宋简体" w:cs="楷体"/>
          <w:sz w:val="32"/>
          <w:szCs w:val="32"/>
          <w:lang w:eastAsia="zh-CN"/>
        </w:rPr>
        <w:t>。</w:t>
      </w:r>
      <w:r>
        <w:rPr>
          <w:rFonts w:hint="eastAsia" w:ascii="方正仿宋简体" w:hAnsi="楷体" w:eastAsia="方正仿宋简体" w:cs="楷体"/>
          <w:sz w:val="32"/>
          <w:szCs w:val="32"/>
        </w:rPr>
        <w:t>2、公车运行维护经费安排0万元，比上年减少</w:t>
      </w:r>
      <w:r>
        <w:rPr>
          <w:rFonts w:hint="eastAsia" w:ascii="方正仿宋简体" w:hAnsi="楷体" w:eastAsia="方正仿宋简体" w:cs="楷体"/>
          <w:sz w:val="32"/>
          <w:szCs w:val="32"/>
          <w:lang w:val="en-US" w:eastAsia="zh-CN"/>
        </w:rPr>
        <w:t>.</w:t>
      </w:r>
      <w:r>
        <w:rPr>
          <w:rFonts w:hint="eastAsia" w:ascii="方正仿宋简体" w:hAnsi="楷体" w:eastAsia="方正仿宋简体" w:cs="楷体"/>
          <w:sz w:val="32"/>
          <w:szCs w:val="32"/>
          <w:lang w:eastAsia="zh-CN"/>
        </w:rPr>
        <w:t>主要原因：车辆运行维护费严格按照统一定额标准，公车数量未发生增减。</w:t>
      </w:r>
      <w:r>
        <w:rPr>
          <w:rFonts w:hint="eastAsia" w:ascii="方正仿宋简体" w:hAnsi="宋体" w:eastAsia="方正仿宋简体" w:cs="方正仿宋_GBK"/>
          <w:sz w:val="32"/>
          <w:szCs w:val="32"/>
          <w:lang w:val="en-US" w:eastAsia="zh-CN"/>
        </w:rPr>
        <w:t>公务用车方面进行了精细的规定和限制，合理安排支出，车辆运行维护费减少</w:t>
      </w:r>
      <w:r>
        <w:rPr>
          <w:rFonts w:hint="eastAsia" w:ascii="方正仿宋简体" w:hAnsi="楷体" w:eastAsia="方正仿宋简体" w:cs="楷体"/>
          <w:sz w:val="32"/>
          <w:szCs w:val="32"/>
        </w:rPr>
        <w:t>；</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rPr>
        <w:t>（二）公务接待费0.09万元，与上年持平，无增减变化</w:t>
      </w:r>
      <w:r>
        <w:rPr>
          <w:rFonts w:hint="eastAsia" w:ascii="方正仿宋简体" w:hAnsi="楷体" w:eastAsia="方正仿宋简体" w:cs="楷体"/>
          <w:sz w:val="32"/>
          <w:szCs w:val="32"/>
          <w:lang w:eastAsia="zh-CN"/>
        </w:rPr>
        <w:t>，主要原因：按照统一定额标准计算，无增加变化</w:t>
      </w:r>
      <w:r>
        <w:rPr>
          <w:rFonts w:hint="eastAsia" w:ascii="方正仿宋简体" w:hAnsi="楷体" w:eastAsia="方正仿宋简体" w:cs="楷体"/>
          <w:sz w:val="32"/>
          <w:szCs w:val="32"/>
        </w:rPr>
        <w:t>。</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rPr>
        <w:t>（三）因公出国（境）费安排0万元，与上年持平，无增减变化</w:t>
      </w:r>
      <w:r>
        <w:rPr>
          <w:rFonts w:hint="eastAsia" w:ascii="方正仿宋简体" w:hAnsi="楷体" w:eastAsia="方正仿宋简体" w:cs="楷体"/>
          <w:sz w:val="32"/>
          <w:szCs w:val="32"/>
          <w:lang w:eastAsia="zh-CN"/>
        </w:rPr>
        <w:t>，主要原因：没有因公出国安排，所以未安排因公出国费。</w:t>
      </w:r>
    </w:p>
    <w:p>
      <w:pPr>
        <w:widowControl w:val="0"/>
        <w:spacing w:line="57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五、预算绩效信息</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lang w:eastAsia="zh-CN"/>
        </w:rPr>
        <w:t>1、</w:t>
      </w:r>
      <w:r>
        <w:rPr>
          <w:rFonts w:hint="eastAsia" w:ascii="方正仿宋简体" w:hAnsi="楷体" w:eastAsia="方正仿宋简体" w:cs="楷体"/>
          <w:sz w:val="32"/>
          <w:szCs w:val="32"/>
        </w:rPr>
        <w:t>完善基础设施建设，提高城市综合承载力。以京津冀协同发展为统领，以建设新型城镇化与城乡统筹示范区为抓手，促进城市基础设施转型升级，加大管网建设配套力度，着力提升城市人居生态环境，完善城市综合功能。形成与京津冀协同发展、新型城镇化要求相适应的功能齐全、设施完备的基础设施体系。</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lang w:eastAsia="zh-CN"/>
        </w:rPr>
        <w:t>2、</w:t>
      </w:r>
      <w:r>
        <w:rPr>
          <w:rFonts w:hint="eastAsia" w:ascii="方正仿宋简体" w:hAnsi="楷体" w:eastAsia="方正仿宋简体" w:cs="楷体"/>
          <w:sz w:val="32"/>
          <w:szCs w:val="32"/>
        </w:rPr>
        <w:t>加强环境卫生管理，达到国家规定的相关标准。按道路清扫保洁、垃圾清运和公厕管理等标准进行管理与作业。推进洁净城市创建进程，加强大气污染治理力度。为创建国家文明城市奠定基础。</w:t>
      </w:r>
    </w:p>
    <w:p>
      <w:pPr>
        <w:pStyle w:val="32"/>
        <w:spacing w:line="570" w:lineRule="exact"/>
        <w:rPr>
          <w:rFonts w:ascii="方正仿宋简体" w:hAnsi="楷体" w:eastAsia="方正仿宋简体" w:cs="楷体"/>
          <w:sz w:val="32"/>
          <w:szCs w:val="32"/>
        </w:rPr>
      </w:pPr>
      <w:r>
        <w:rPr>
          <w:rFonts w:hint="eastAsia" w:ascii="方正仿宋简体" w:hAnsi="楷体" w:eastAsia="方正仿宋简体" w:cs="楷体"/>
          <w:sz w:val="32"/>
          <w:szCs w:val="32"/>
          <w:lang w:eastAsia="zh-CN"/>
        </w:rPr>
        <w:t>3、</w:t>
      </w:r>
      <w:r>
        <w:rPr>
          <w:rFonts w:hint="eastAsia" w:ascii="方正仿宋简体" w:hAnsi="楷体" w:eastAsia="方正仿宋简体" w:cs="楷体"/>
          <w:sz w:val="32"/>
          <w:szCs w:val="32"/>
        </w:rPr>
        <w:t>促进行业人才队伍建设，夯实人才支撑。通过专业职称评审，发现行业优秀人才，为推动河北科学发展，实现富民强省提供有力的人才保证和智力支持，为我市的经济、科技、文化的全面发展奠定坚实的基础。充分发挥评审工作在职称工作中的导向作用，引导广大专业技术人员自觉提高业务理论水平，提高解决实际问题的能力，激励他们爱岗敬业、刻苦钻研、勇于实践的热情，争创一流工作业绩，推动全省经济建设工作的蓬勃发展。</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1、做好乡村振兴农村生活垃圾治理项目服务费（服务群众专项经费）项目。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为进一步深化环卫市场化改革进程、充分发挥市场调节作用，实现政府管理、企业运营、社会监督的要求，从而使农村环境卫生质量得到进一步提高、城市品位得到极大提升，达到洁净城市要求的总目标，依据遵化市农村生活垃圾治理项目对我市东区、西区进行生活垃圾治理符合标准，人居环境持续改善，村庄及周边干净整洁。</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绩效指标：为市民出行提供良好环境，提高城市品位，改善环境质量指标值≥95；机械化清扫范围指标值≥95%；提升我市国省干线和部分县乡道路清扫水平指标值≥95%。</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val="en-US" w:eastAsia="zh-CN"/>
        </w:rPr>
        <w:t>2、</w:t>
      </w:r>
      <w:r>
        <w:rPr>
          <w:rFonts w:hint="eastAsia" w:ascii="方正仿宋简体" w:hAnsi="楷体" w:eastAsia="方正仿宋简体" w:cs="楷体"/>
          <w:sz w:val="32"/>
          <w:szCs w:val="32"/>
          <w:lang w:eastAsia="zh-CN"/>
        </w:rPr>
        <w:t>城区保洁一体化服务费费项目。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为进一步深化环卫市场化改革进程、充分发挥市场调节作用，实现政府管理、企业运营、社会监督的要求，从而使城区环境卫生质量得到进一步提高、城市品位得到极大提升，达到省洁净城市要求的总目标，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绩效指标：为市民出行提供良好环境，提高城市品位，改善环境质量指标值≥95；机械化清扫范围指标值≥95%。</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val="en-US" w:eastAsia="zh-CN"/>
        </w:rPr>
        <w:t>3、</w:t>
      </w:r>
      <w:r>
        <w:rPr>
          <w:rFonts w:hint="eastAsia" w:ascii="方正仿宋简体" w:hAnsi="楷体" w:eastAsia="方正仿宋简体" w:cs="楷体"/>
          <w:sz w:val="32"/>
          <w:szCs w:val="32"/>
          <w:lang w:eastAsia="zh-CN"/>
        </w:rPr>
        <w:t>道路保洁一体化服务费项目。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为进一步深化环卫市场化改革进程、充分发挥市场调节作用，实现政府管理、企业运营、社会监督的要求，从而使环境卫生质量得到进一步提高、城市品位得到极大提升，达到省洁净城市要求的总目标，.对国省干线及同乡公路167公里进行公路保洁，加快公路养护市场化进程，促进公路养护工作向社会化、专业化、机械化发展。</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绩效指标：为市民出行提供良好环境，提高城市品位，改善环境质量指标值≥95；机械化清扫范围指标值≥95%；提升我市国省干线和部分县乡道路清扫水平指标值≥95%。</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4、垃圾处置服务费项目。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绩效目标：垃圾处理，需符合国家相关标准规范和要求，所有污染物排放需达到国家相关标准规定指标，环保达标，环境整洁。</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绩效指标：做好生活垃圾处置费，改善环境卫生，保护人民健康，防范发生传染疫情指标值≥95%；垃圾监测准确情况，确保达标指标值≥95%；无害化处理量指标值≥21万吨。</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5、做好城区环卫设施零星修缮工程项目。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绩效目标：按时、按质、按量完成城区环卫设施零星修缮。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绩效指标：改善生态环境质量，确保达标指标值≥95%；群众满意数量占总数的比例≥95%；工程验收合格率≥95%。</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6、环境卫生管理服务费项目。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绩效目标：为了提高城区服务质量，安排城区公厕及其他工作人员的费用及人员保险等正常拨付。</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绩效指标：提高城区环境卫生质量，预算资金完成率≥95%;按月发放临时人员工资指标值≥95%。</w:t>
      </w:r>
      <w:bookmarkStart w:id="12" w:name="_Toc_2_2_0000000003"/>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7、公厕清掏等费用及车辆保险项目。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绩效目标：城区公厕清掏等费用及车辆保险（车辆维修、燃料费、专用材料费、电费、公厕取暖费、消杀等）正常拨付。</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绩效指标：提高城区环境卫生质量，预算资金完成率≥95%;按月拨款指标值≥95%。</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 xml:space="preserve"> 8、公路养护市场项目巡查用车资金项目。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绩效目标：接手遵化市交通运输局已招标《公路养护市场化项目》日常作业的监督管理，按照《公路养护市场化项目》的具体要求，严格管理。</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绩效指标：提高城区环境卫生质量，预算资金完成率≥95%;按月拨款指标值≥95%。</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9、安可计算机购置项目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绩效目标：做好安可应用替代给工作，加强安全保密管理，完成替代任务。</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绩效指标：办事群众服务对象满意度提升率≥95%。</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 xml:space="preserve"> 10、.建筑垃圾场土地、生活垃圾卫生填埋场专用道路、中转站租赁费项目。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绩效目标：加大环境保护，建筑垃圾场环保达标，场地整洁，生活垃圾场专用通道正常使用。</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绩效指标：办事群众服务对象满意度提升率≥95%。</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11、省级劳模医保缴费项目</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绩效目标：河北省人民政府[2005]11号，按文件要求对省级劳模医保补缴正常缴纳。</w:t>
      </w:r>
    </w:p>
    <w:p>
      <w:pPr>
        <w:spacing w:line="570" w:lineRule="exact"/>
        <w:ind w:firstLine="640" w:firstLineChars="200"/>
        <w:rPr>
          <w:rFonts w:hint="eastAsia"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绩效指标：正常交纳医疗保险率≥95%</w:t>
      </w:r>
    </w:p>
    <w:p>
      <w:pPr>
        <w:widowControl w:val="0"/>
        <w:spacing w:line="570" w:lineRule="exact"/>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 xml:space="preserve">        （三）工作保障措施</w:t>
      </w:r>
      <w:bookmarkEnd w:id="12"/>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1、加大城乡环卫保洁作业的督导，提高环境质量，确保环卫工作正常运转；改善公厕环境、方便居民如厕；落实常态化文明城市创建。</w:t>
      </w:r>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2、在资金监管上抓规范。一是进一步深化绩效预算改革，不断提高预算管理水平。二是进一步加大对工程项目审核及招标采购的推进力度，坚持“应审尽审”“应采尽采”，最大限度地提高资金的使用效益。按照方式灵活、程序简便、竞争有效、结果评价的原则，积极探索推进政府购买服务工作。三是进一步健全财务管理制度，严肃财经纪律，规范理财行为，强化财政监督检查，及时处理违规违纪问题。坚持厉行节约，严控“三公”经费等一般性支出，确保财政资金安全、规范运行。</w:t>
      </w:r>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3、完善制度建设。制定完善预算绩效管理制度、资金管理办法、工作保障制度等，为全年预算绩效目标的实现奠定制度基础。</w:t>
      </w:r>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4、加强支出管理。采取优化支出结构、编细编实预算、加快履行政府采购手续、尽快启动项目、及时支付资金、6月底前细化代编预算、按规定及时下达资金等多种措施，确保支出进度达标。</w:t>
      </w:r>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5、加强绩效运行监控。按要求开展绩效运行监控，发现问题及时采取措施，确保绩效目标如期保质实现。</w:t>
      </w:r>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6、做好绩效自评。按要求开展上年度部门预算绩效自评和重点评价工作，对评价中发现的问题及时整改，调整优化支出结构，提高财政资金使用效益。</w:t>
      </w:r>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7、规范财务资产管理。完善财务管理制度，严格审批程序，加强固定资产登记、使用和报废处置管理，做到支出合理，物尽其用。</w:t>
      </w:r>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640" w:firstLineChars="200"/>
        <w:rPr>
          <w:rFonts w:ascii="方正仿宋简体" w:hAnsi="楷体" w:eastAsia="方正仿宋简体" w:cs="楷体"/>
          <w:sz w:val="32"/>
          <w:szCs w:val="32"/>
          <w:lang w:eastAsia="zh-CN"/>
        </w:rPr>
      </w:pPr>
      <w:r>
        <w:rPr>
          <w:rFonts w:hint="eastAsia" w:ascii="方正仿宋简体" w:hAnsi="楷体" w:eastAsia="方正仿宋简体" w:cs="楷体"/>
          <w:sz w:val="32"/>
          <w:szCs w:val="32"/>
          <w:lang w:eastAsia="zh-CN"/>
        </w:rPr>
        <w:t>9、加强宣传培训调研等。加强人员培训，提高本部门职工业务素质；加强调研，提出优化财政资金配置、提高资金使用效益的意见意见；加大宣传力度，强化预算绩效管理意识，促进预算绩效管理水平进一步提升。</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专项资金绩效目标</w:t>
      </w:r>
    </w:p>
    <w:p>
      <w:pPr>
        <w:spacing w:line="570" w:lineRule="exact"/>
        <w:ind w:firstLine="560"/>
        <w:rPr>
          <w:rFonts w:ascii="方正仿宋简体" w:hAnsi="方正仿宋简体" w:eastAsia="方正仿宋简体" w:cs="方正仿宋简体"/>
          <w:sz w:val="32"/>
          <w:szCs w:val="32"/>
        </w:rPr>
      </w:pPr>
      <w:r>
        <w:rPr>
          <w:rFonts w:hint="eastAsia" w:ascii="宋体" w:hAnsi="宋体" w:eastAsia="方正仿宋简体" w:cs="Times New Roman"/>
          <w:color w:val="000000"/>
          <w:sz w:val="32"/>
          <w:szCs w:val="32"/>
        </w:rPr>
        <w:t>2023年无专项资金预算，此内容为空。</w:t>
      </w:r>
    </w:p>
    <w:p>
      <w:pPr>
        <w:pStyle w:val="2"/>
        <w:ind w:firstLine="640"/>
        <w:rPr>
          <w:lang w:eastAsia="zh-CN"/>
        </w:rPr>
        <w:sectPr>
          <w:pgSz w:w="16840" w:h="11900" w:orient="landscape"/>
          <w:pgMar w:top="1361" w:right="1020" w:bottom="1361" w:left="1020" w:header="720" w:footer="720" w:gutter="0"/>
          <w:pgNumType w:fmt="decimal"/>
          <w:cols w:space="720" w:num="1"/>
        </w:sectPr>
      </w:pPr>
      <w:r>
        <w:rPr>
          <w:rFonts w:hint="eastAsia" w:ascii="方正仿宋简体" w:hAnsi="方正仿宋简体" w:eastAsia="方正仿宋简体" w:cs="方正仿宋简体"/>
          <w:sz w:val="32"/>
          <w:szCs w:val="32"/>
          <w:lang w:eastAsia="zh-CN"/>
        </w:rPr>
        <w:t>第三部分 部门</w:t>
      </w:r>
      <w:r>
        <w:rPr>
          <w:rFonts w:hint="eastAsia" w:ascii="方正仿宋简体" w:hAnsi="方正仿宋简体" w:eastAsia="方正仿宋简体" w:cs="方正仿宋简体"/>
          <w:sz w:val="32"/>
          <w:szCs w:val="32"/>
        </w:rPr>
        <w:t>预算项目绩效目标</w:t>
      </w:r>
    </w:p>
    <w:p>
      <w:pPr>
        <w:ind w:firstLine="560"/>
        <w:outlineLvl w:val="3"/>
        <w:rPr>
          <w:rFonts w:ascii="方正仿宋简体" w:hAnsi="方正仿宋简体" w:eastAsia="方正仿宋简体" w:cs="方正仿宋简体"/>
          <w:sz w:val="28"/>
          <w:szCs w:val="28"/>
        </w:rPr>
      </w:pPr>
      <w:bookmarkStart w:id="13" w:name="_Toc_4_4_0000000014"/>
      <w:r>
        <w:rPr>
          <w:rFonts w:hint="eastAsia" w:ascii="方正仿宋简体" w:hAnsi="方正仿宋简体" w:eastAsia="方正仿宋简体" w:cs="方正仿宋简体"/>
          <w:color w:val="000000"/>
          <w:sz w:val="28"/>
          <w:szCs w:val="28"/>
        </w:rPr>
        <w:t>1.安可计算机购置绩效目标表</w:t>
      </w:r>
      <w:bookmarkEnd w:id="13"/>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13028123P00016810001R</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安可计算机购置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0.85</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0.85</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预算数0.85万元。其中：财政资金0.85万元，其他资金0万元。主要用于：做好购置工作，保障单位业务开展。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1.做好购置工作，保障单位业务开展。</w:t>
            </w: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868"/>
        <w:gridCol w:w="2408"/>
        <w:gridCol w:w="4875"/>
        <w:gridCol w:w="2133"/>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186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240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487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213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150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设备购置数量</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设备购置完成数量</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1台</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ascii="方正仿宋简体" w:hAnsi="方正仿宋简体" w:eastAsia="方正仿宋简体" w:cs="方正仿宋简体"/>
                <w:sz w:val="21"/>
                <w:szCs w:val="21"/>
              </w:rPr>
            </w:pP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验收合格率</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验收合格率=验收合格的设备数量/当年购置设备数量*100%</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ascii="方正仿宋简体" w:hAnsi="方正仿宋简体" w:eastAsia="方正仿宋简体" w:cs="方正仿宋简体"/>
                <w:sz w:val="21"/>
                <w:szCs w:val="21"/>
              </w:rPr>
            </w:pP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购置完成时限</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购置完成时限</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≤122023年12月31日</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ascii="方正仿宋简体" w:hAnsi="方正仿宋简体" w:eastAsia="方正仿宋简体" w:cs="方正仿宋简体"/>
                <w:sz w:val="21"/>
                <w:szCs w:val="21"/>
              </w:rPr>
            </w:pP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预算执行率</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预算执行率</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节约项目开支</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践行厉行节约反对浪费制度体系建设</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ascii="方正仿宋简体" w:hAnsi="方正仿宋简体" w:eastAsia="方正仿宋简体" w:cs="方正仿宋简体"/>
                <w:sz w:val="21"/>
                <w:szCs w:val="21"/>
              </w:rPr>
            </w:pP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提升公共服务水平</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购置对公共服务水平的提升</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ascii="方正仿宋简体" w:hAnsi="方正仿宋简体" w:eastAsia="方正仿宋简体" w:cs="方正仿宋简体"/>
                <w:sz w:val="21"/>
                <w:szCs w:val="21"/>
              </w:rPr>
            </w:pP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工作环境改善程度</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对工作环境的改善程度</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ascii="方正仿宋简体" w:hAnsi="方正仿宋简体" w:eastAsia="方正仿宋简体" w:cs="方正仿宋简体"/>
                <w:sz w:val="21"/>
                <w:szCs w:val="21"/>
              </w:rPr>
            </w:pP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提高发改领域服务保障能力</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有利于业务开展，提高服务保障能力</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40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w:t>
            </w:r>
          </w:p>
        </w:tc>
        <w:tc>
          <w:tcPr>
            <w:tcW w:w="48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w:t>
            </w:r>
          </w:p>
        </w:tc>
        <w:tc>
          <w:tcPr>
            <w:tcW w:w="21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150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三定方案</w:t>
            </w:r>
          </w:p>
        </w:tc>
      </w:tr>
    </w:tbl>
    <w:p>
      <w:pPr>
        <w:sectPr>
          <w:pgSz w:w="16840" w:h="11900" w:orient="landscape"/>
          <w:pgMar w:top="1304" w:right="1984" w:bottom="1304" w:left="1134" w:header="720" w:footer="720" w:gutter="0"/>
          <w:pgNumType w:fmt="decimal"/>
          <w:cols w:space="720" w:num="1"/>
        </w:sectPr>
      </w:pPr>
    </w:p>
    <w:p>
      <w:pPr>
        <w:jc w:val="center"/>
        <w:rPr>
          <w:sz w:val="28"/>
          <w:szCs w:val="28"/>
        </w:rPr>
      </w:pPr>
    </w:p>
    <w:p>
      <w:pPr>
        <w:ind w:firstLine="560"/>
        <w:outlineLvl w:val="3"/>
        <w:rPr>
          <w:rFonts w:ascii="方正仿宋简体" w:hAnsi="方正仿宋简体" w:eastAsia="方正仿宋简体" w:cs="方正仿宋简体"/>
          <w:sz w:val="28"/>
          <w:szCs w:val="28"/>
        </w:rPr>
      </w:pPr>
      <w:bookmarkStart w:id="14" w:name="_Toc_4_4_0000000015"/>
      <w:r>
        <w:rPr>
          <w:rFonts w:hint="eastAsia" w:ascii="方正仿宋简体" w:hAnsi="方正仿宋简体" w:eastAsia="方正仿宋简体" w:cs="方正仿宋简体"/>
          <w:color w:val="000000"/>
          <w:sz w:val="28"/>
          <w:szCs w:val="28"/>
        </w:rPr>
        <w:t>2.城区保洁一体化服务费绩效目标表</w:t>
      </w:r>
      <w:bookmarkEnd w:id="14"/>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13028123P00014010002H</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城区保洁一体化服务费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4587.00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4587.00</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4587万元。其中：财政资金4587万元，其他资金0万元。主要用于：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849"/>
        <w:gridCol w:w="2560"/>
        <w:gridCol w:w="4694"/>
        <w:gridCol w:w="2206"/>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184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256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46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220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149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道路清扫保洁面积</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反映服务范围道路清扫保洁工程量情况</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≥426.79平方米</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ascii="方正仿宋简体" w:hAnsi="方正仿宋简体" w:eastAsia="方正仿宋简体" w:cs="方正仿宋简体"/>
                <w:sz w:val="21"/>
                <w:szCs w:val="21"/>
              </w:rPr>
            </w:pP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机械化清扫率</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反映服务范围垃圾清运工程量情况</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ascii="方正仿宋简体" w:hAnsi="方正仿宋简体" w:eastAsia="方正仿宋简体" w:cs="方正仿宋简体"/>
                <w:sz w:val="21"/>
                <w:szCs w:val="21"/>
              </w:rPr>
            </w:pP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按合同时限</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按合同时限付款</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122022年12月底前完成</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ascii="方正仿宋简体" w:hAnsi="方正仿宋简体" w:eastAsia="方正仿宋简体" w:cs="方正仿宋简体"/>
                <w:sz w:val="21"/>
                <w:szCs w:val="21"/>
              </w:rPr>
            </w:pP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城区环卫保洁一体化投资额</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反映投资总体情况</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为市民出行提供良好环境质量</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反映市民出行环境质量情况</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ascii="方正仿宋简体" w:hAnsi="方正仿宋简体" w:eastAsia="方正仿宋简体" w:cs="方正仿宋简体"/>
                <w:sz w:val="21"/>
                <w:szCs w:val="21"/>
              </w:rPr>
            </w:pP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城市品位得到提升</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反映城市形象情况</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ascii="方正仿宋简体" w:hAnsi="方正仿宋简体" w:eastAsia="方正仿宋简体" w:cs="方正仿宋简体"/>
                <w:sz w:val="21"/>
                <w:szCs w:val="21"/>
              </w:rPr>
            </w:pP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环境质量改善</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为改善环境空气质量提供技术支撑</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ascii="方正仿宋简体" w:hAnsi="方正仿宋简体" w:eastAsia="方正仿宋简体" w:cs="方正仿宋简体"/>
                <w:sz w:val="21"/>
                <w:szCs w:val="21"/>
              </w:rPr>
            </w:pP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基本公共卫生服务水平</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反映为省内常住人口提供基本公共卫生服务的能力和效果</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84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56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市民满意度</w:t>
            </w:r>
          </w:p>
        </w:tc>
        <w:tc>
          <w:tcPr>
            <w:tcW w:w="46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反映市民满意度情况</w:t>
            </w:r>
          </w:p>
        </w:tc>
        <w:tc>
          <w:tcPr>
            <w:tcW w:w="220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14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社会反响</w:t>
            </w:r>
          </w:p>
        </w:tc>
      </w:tr>
    </w:tbl>
    <w:p>
      <w:pPr>
        <w:sectPr>
          <w:pgSz w:w="16840" w:h="11900" w:orient="landscape"/>
          <w:pgMar w:top="1304" w:right="1984" w:bottom="1304" w:left="1134" w:header="720" w:footer="720" w:gutter="0"/>
          <w:pgNumType w:fmt="decimal"/>
          <w:cols w:space="720" w:num="1"/>
        </w:sectPr>
      </w:pPr>
    </w:p>
    <w:p>
      <w:pPr>
        <w:jc w:val="center"/>
        <w:rPr>
          <w:sz w:val="28"/>
          <w:szCs w:val="28"/>
        </w:rPr>
      </w:pPr>
    </w:p>
    <w:p>
      <w:pPr>
        <w:ind w:firstLine="560"/>
        <w:outlineLvl w:val="3"/>
        <w:rPr>
          <w:rFonts w:ascii="方正仿宋简体" w:hAnsi="方正仿宋简体" w:eastAsia="方正仿宋简体" w:cs="方正仿宋简体"/>
          <w:sz w:val="28"/>
          <w:szCs w:val="28"/>
        </w:rPr>
      </w:pPr>
      <w:bookmarkStart w:id="15" w:name="_Toc_4_4_0000000016"/>
      <w:r>
        <w:rPr>
          <w:rFonts w:hint="eastAsia" w:ascii="方正仿宋简体" w:hAnsi="方正仿宋简体" w:eastAsia="方正仿宋简体" w:cs="方正仿宋简体"/>
          <w:color w:val="000000"/>
          <w:sz w:val="28"/>
          <w:szCs w:val="28"/>
        </w:rPr>
        <w:t>3.城区环卫设施零星修缮工程费用绩效目标表</w:t>
      </w:r>
      <w:bookmarkEnd w:id="15"/>
    </w:p>
    <w:tbl>
      <w:tblPr>
        <w:tblStyle w:val="10"/>
        <w:tblW w:w="1393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2"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0"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13028123P00015610002T</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3"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城区环卫设施零星修缮工程费用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41.00</w:t>
            </w:r>
          </w:p>
        </w:tc>
        <w:tc>
          <w:tcPr>
            <w:tcW w:w="199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0"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ascii="方正仿宋简体" w:hAnsi="方正仿宋简体" w:eastAsia="方正仿宋简体" w:cs="方正仿宋简体"/>
                <w:sz w:val="21"/>
                <w:szCs w:val="21"/>
              </w:rPr>
            </w:pPr>
          </w:p>
        </w:tc>
        <w:tc>
          <w:tcPr>
            <w:tcW w:w="11943"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预算数41万元。其中：财政资金41万元，其他资金0万元。主要用于：按规定支付维修修缮费用，按时、按质、按量完成环卫设施零星修缮工作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3"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3"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3"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1.按规定支付维修修缮费用，按时、按质、按量完成环卫设施零星修缮工作</w:t>
            </w:r>
          </w:p>
        </w:tc>
      </w:tr>
    </w:tbl>
    <w:p>
      <w:pPr>
        <w:spacing w:line="2" w:lineRule="exact"/>
        <w:jc w:val="center"/>
        <w:rPr>
          <w:rFonts w:ascii="方正仿宋简体" w:hAnsi="方正仿宋简体" w:eastAsia="方正仿宋简体" w:cs="方正仿宋简体"/>
          <w:sz w:val="21"/>
          <w:szCs w:val="21"/>
        </w:rPr>
      </w:pPr>
    </w:p>
    <w:tbl>
      <w:tblPr>
        <w:tblStyle w:val="10"/>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2374"/>
        <w:gridCol w:w="3796"/>
        <w:gridCol w:w="3322"/>
        <w:gridCol w:w="1118"/>
        <w:gridCol w:w="1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237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3796"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332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111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190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环卫设施零星修缮</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反映零星修缮总体情况</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≥500处</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维修报表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ascii="方正仿宋简体" w:hAnsi="方正仿宋简体" w:eastAsia="方正仿宋简体" w:cs="方正仿宋简体"/>
                <w:sz w:val="21"/>
                <w:szCs w:val="21"/>
              </w:rPr>
            </w:pP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验收合格率</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反映工程质量　</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ascii="方正仿宋简体" w:hAnsi="方正仿宋简体" w:eastAsia="方正仿宋简体" w:cs="方正仿宋简体"/>
                <w:sz w:val="21"/>
                <w:szCs w:val="21"/>
              </w:rPr>
            </w:pP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环卫设施零星修缮项目按期完成率</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反映建设监督情况　</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ascii="方正仿宋简体" w:hAnsi="方正仿宋简体" w:eastAsia="方正仿宋简体" w:cs="方正仿宋简体"/>
                <w:sz w:val="21"/>
                <w:szCs w:val="21"/>
              </w:rPr>
            </w:pP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环卫设施零星修缮投资额</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反映投资总体情况</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长效机制</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城市环卫设施正常运转</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ascii="方正仿宋简体" w:hAnsi="方正仿宋简体" w:eastAsia="方正仿宋简体" w:cs="方正仿宋简体"/>
                <w:sz w:val="21"/>
                <w:szCs w:val="21"/>
              </w:rPr>
            </w:pP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项目完成情况</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项目完成情况</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ascii="方正仿宋简体" w:hAnsi="方正仿宋简体" w:eastAsia="方正仿宋简体" w:cs="方正仿宋简体"/>
                <w:sz w:val="21"/>
                <w:szCs w:val="21"/>
              </w:rPr>
            </w:pP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设施完好率</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反映城市公厕设施的安全运营</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ascii="方正仿宋简体" w:hAnsi="方正仿宋简体" w:eastAsia="方正仿宋简体" w:cs="方正仿宋简体"/>
                <w:sz w:val="21"/>
                <w:szCs w:val="21"/>
              </w:rPr>
            </w:pP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环境改善情况</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237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3796"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w:t>
            </w:r>
          </w:p>
        </w:tc>
        <w:tc>
          <w:tcPr>
            <w:tcW w:w="3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反映市民满意度情况</w:t>
            </w:r>
          </w:p>
        </w:tc>
        <w:tc>
          <w:tcPr>
            <w:tcW w:w="11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9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社会反响</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简体" w:eastAsia="方正仿宋简体" w:cs="方正仿宋简体"/>
          <w:sz w:val="21"/>
          <w:szCs w:val="21"/>
        </w:rPr>
      </w:pPr>
      <w:bookmarkStart w:id="16" w:name="_Toc_4_4_0000000017"/>
      <w:r>
        <w:rPr>
          <w:rFonts w:hint="eastAsia" w:ascii="方正仿宋简体" w:hAnsi="方正仿宋简体" w:eastAsia="方正仿宋简体" w:cs="方正仿宋简体"/>
          <w:color w:val="000000"/>
          <w:sz w:val="28"/>
          <w:szCs w:val="28"/>
        </w:rPr>
        <w:t>4.道路保洁一体化服务费绩效目标表</w:t>
      </w:r>
      <w:bookmarkEnd w:id="16"/>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13028123P000150100015</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838.00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838.00</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预算数838万元。其中：财政资金838万元，其他资金0万元。主要用于：对国省干线及同乡公路167公里进行公路保洁，加快公路养护市场化进程，促进公路养护工作向社会化、专业化、机械化发展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1.对国省干线及同乡公路167公里进行公路保洁，加快公路养护市场化进程，促进公路养护工作向社会化、专业化、机械化发展</w:t>
            </w:r>
          </w:p>
        </w:tc>
      </w:tr>
    </w:tbl>
    <w:p>
      <w:pPr>
        <w:spacing w:line="2" w:lineRule="exact"/>
        <w:jc w:val="center"/>
        <w:rPr>
          <w:rFonts w:ascii="方正仿宋简体" w:hAnsi="方正仿宋简体" w:eastAsia="方正仿宋简体" w:cs="方正仿宋简体"/>
          <w:sz w:val="21"/>
          <w:szCs w:val="21"/>
        </w:rPr>
      </w:pPr>
    </w:p>
    <w:tbl>
      <w:tblPr>
        <w:tblStyle w:val="10"/>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4"/>
        <w:gridCol w:w="2323"/>
        <w:gridCol w:w="2091"/>
        <w:gridCol w:w="4640"/>
        <w:gridCol w:w="932"/>
        <w:gridCol w:w="2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232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2091"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464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93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255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机械使用率</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机械清扫，清运情况</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ascii="方正仿宋简体" w:hAnsi="方正仿宋简体" w:eastAsia="方正仿宋简体" w:cs="方正仿宋简体"/>
                <w:sz w:val="21"/>
                <w:szCs w:val="21"/>
              </w:rPr>
            </w:pP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工程合格率</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道路保洁质量及杨尘治理</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ascii="方正仿宋简体" w:hAnsi="方正仿宋简体" w:eastAsia="方正仿宋简体" w:cs="方正仿宋简体"/>
                <w:sz w:val="21"/>
                <w:szCs w:val="21"/>
              </w:rPr>
            </w:pP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按期完成率</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按期完成工作，付款及时</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ascii="方正仿宋简体" w:hAnsi="方正仿宋简体" w:eastAsia="方正仿宋简体" w:cs="方正仿宋简体"/>
                <w:sz w:val="21"/>
                <w:szCs w:val="21"/>
              </w:rPr>
            </w:pP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项目成本</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项目总投资情况</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项目工程完成情况</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按期限要求完成及时付款</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ascii="方正仿宋简体" w:hAnsi="方正仿宋简体" w:eastAsia="方正仿宋简体" w:cs="方正仿宋简体"/>
                <w:sz w:val="21"/>
                <w:szCs w:val="21"/>
              </w:rPr>
            </w:pP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设施完善</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提升我市国省干线和部分县乡道路清扫水平</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ascii="方正仿宋简体" w:hAnsi="方正仿宋简体" w:eastAsia="方正仿宋简体" w:cs="方正仿宋简体"/>
                <w:sz w:val="21"/>
                <w:szCs w:val="21"/>
              </w:rPr>
            </w:pP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改善生态环境质量</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提高工作效率，生态环境质量达标</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ascii="方正仿宋简体" w:hAnsi="方正仿宋简体" w:eastAsia="方正仿宋简体" w:cs="方正仿宋简体"/>
                <w:sz w:val="21"/>
                <w:szCs w:val="21"/>
              </w:rPr>
            </w:pP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项目建成效果</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项目建成产生的效果及影响</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232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091"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464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社会公众对象对项目满意度</w:t>
            </w:r>
          </w:p>
        </w:tc>
        <w:tc>
          <w:tcPr>
            <w:tcW w:w="9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55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公路养护保洁项目合同</w:t>
            </w:r>
          </w:p>
        </w:tc>
      </w:tr>
    </w:tbl>
    <w:p>
      <w:pPr>
        <w:sectPr>
          <w:pgSz w:w="16840" w:h="11900" w:orient="landscape"/>
          <w:pgMar w:top="1304" w:right="1984" w:bottom="1304" w:left="1134" w:header="720" w:footer="720" w:gutter="0"/>
          <w:pgNumType w:fmt="decimal"/>
          <w:cols w:space="720" w:num="1"/>
        </w:sectPr>
      </w:pPr>
    </w:p>
    <w:p>
      <w:pPr>
        <w:jc w:val="center"/>
        <w:rPr>
          <w:sz w:val="28"/>
          <w:szCs w:val="28"/>
        </w:rPr>
      </w:pPr>
    </w:p>
    <w:p>
      <w:pPr>
        <w:ind w:firstLine="560"/>
        <w:outlineLvl w:val="3"/>
        <w:rPr>
          <w:rFonts w:ascii="方正仿宋简体" w:hAnsi="方正仿宋简体" w:eastAsia="方正仿宋简体" w:cs="方正仿宋简体"/>
          <w:sz w:val="28"/>
          <w:szCs w:val="28"/>
        </w:rPr>
      </w:pPr>
      <w:bookmarkStart w:id="17" w:name="_Toc_4_4_0000000018"/>
      <w:r>
        <w:rPr>
          <w:rFonts w:hint="eastAsia" w:ascii="方正仿宋简体" w:hAnsi="方正仿宋简体" w:eastAsia="方正仿宋简体" w:cs="方正仿宋简体"/>
          <w:color w:val="000000"/>
          <w:sz w:val="28"/>
          <w:szCs w:val="28"/>
        </w:rPr>
        <w:t>5.公厕清掏等费用及车辆保险绩效目标表</w:t>
      </w:r>
      <w:bookmarkEnd w:id="17"/>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13028123P00015410002F</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公厕清掏等费用及车辆保险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214.00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214.00</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预算数214万元。其中：财政资金214万元，其他资金0万元。主要用于：城区公厕清掏等费用及车辆保险（车辆维修、燃料费、专用材料费、电费、公厕取暖费、消杀等）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1.城区公厕清掏等费用及车辆保险（车辆维修、燃料费、专用材料费、电费、公厕取暖费、消杀等）</w:t>
            </w:r>
          </w:p>
          <w:p>
            <w:pPr>
              <w:pStyle w:val="19"/>
              <w:rPr>
                <w:rFonts w:ascii="方正仿宋简体" w:hAnsi="方正仿宋简体" w:eastAsia="方正仿宋简体" w:cs="方正仿宋简体"/>
                <w:szCs w:val="21"/>
              </w:rPr>
            </w:pP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8"/>
        <w:gridCol w:w="1112"/>
        <w:gridCol w:w="1322"/>
        <w:gridCol w:w="3893"/>
        <w:gridCol w:w="1495"/>
        <w:gridCol w:w="5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6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111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132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389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149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534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基本公共卫生服务覆盖数</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公厕数量达到上级部分要求</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≥88座</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ascii="方正仿宋简体" w:hAnsi="方正仿宋简体" w:eastAsia="方正仿宋简体" w:cs="方正仿宋简体"/>
                <w:sz w:val="21"/>
                <w:szCs w:val="21"/>
              </w:rPr>
            </w:pP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优良率</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公厕清掏、环卫设施正常运转（百分比）　</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ascii="方正仿宋简体" w:hAnsi="方正仿宋简体" w:eastAsia="方正仿宋简体" w:cs="方正仿宋简体"/>
                <w:sz w:val="21"/>
                <w:szCs w:val="21"/>
              </w:rPr>
            </w:pP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完成及时率</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拨款及时，按时发放</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122022年12月底前完成</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ascii="方正仿宋简体" w:hAnsi="方正仿宋简体" w:eastAsia="方正仿宋简体" w:cs="方正仿宋简体"/>
                <w:sz w:val="21"/>
                <w:szCs w:val="21"/>
              </w:rPr>
            </w:pP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预算资金完成率</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预算资金完成率情况</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城乡居民公共卫生差距</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提升城区环境整洁度</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ascii="方正仿宋简体" w:hAnsi="方正仿宋简体" w:eastAsia="方正仿宋简体" w:cs="方正仿宋简体"/>
                <w:sz w:val="21"/>
                <w:szCs w:val="21"/>
              </w:rPr>
            </w:pP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项目工程完成情况</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节约了改善城市生态环境管理成本</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ascii="方正仿宋简体" w:hAnsi="方正仿宋简体" w:eastAsia="方正仿宋简体" w:cs="方正仿宋简体"/>
                <w:sz w:val="21"/>
                <w:szCs w:val="21"/>
              </w:rPr>
            </w:pP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基本公共卫生服务水平</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反映为省内常住人口提供基本公共卫生服务的能力和效果，持续有效促进区域经济发展</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ascii="方正仿宋简体" w:hAnsi="方正仿宋简体" w:eastAsia="方正仿宋简体" w:cs="方正仿宋简体"/>
                <w:sz w:val="21"/>
                <w:szCs w:val="21"/>
              </w:rPr>
            </w:pP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环境卫生质量达标</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改善环境卫生，保护人民健康，防范发生传染疫情，对于改善城市生态环境的提升作用明显</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11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32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389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群众满意数量占总数的比例。</w:t>
            </w:r>
          </w:p>
        </w:tc>
        <w:tc>
          <w:tcPr>
            <w:tcW w:w="149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34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遵机编字【2019】56号中共遵化市委机构编制委员会关于明确遵化市城市管理综合行政执法局所属事业单位机构设置的通知</w:t>
            </w:r>
          </w:p>
        </w:tc>
      </w:tr>
    </w:tbl>
    <w:p>
      <w:pPr>
        <w:sectPr>
          <w:pgSz w:w="16840" w:h="11900" w:orient="landscape"/>
          <w:pgMar w:top="1304" w:right="1984" w:bottom="1304" w:left="1134" w:header="720" w:footer="720" w:gutter="0"/>
          <w:pgNumType w:fmt="decimal"/>
          <w:cols w:space="720" w:num="1"/>
        </w:sectPr>
      </w:pPr>
    </w:p>
    <w:p>
      <w:pPr>
        <w:jc w:val="both"/>
        <w:rPr>
          <w:rFonts w:ascii="方正仿宋简体" w:hAnsi="方正仿宋简体" w:eastAsia="方正仿宋简体" w:cs="方正仿宋简体"/>
          <w:sz w:val="11"/>
          <w:szCs w:val="11"/>
        </w:rPr>
      </w:pPr>
    </w:p>
    <w:p>
      <w:pPr>
        <w:ind w:firstLine="560"/>
        <w:outlineLvl w:val="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6.公路养护市场项目巡查用车资金绩效目标表</w:t>
      </w:r>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656002遵化市环境卫生管理中心</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80"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13028123P00016310001D</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975"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公路养护市场项目巡查用车资金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15.45</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9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15.45</w:t>
            </w:r>
          </w:p>
        </w:tc>
        <w:tc>
          <w:tcPr>
            <w:tcW w:w="199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991"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预算数15.45万元。其中：财政资金15.45万元，其他资金0万元。主要用于：接手遵化市交通运输局已招标《公路养护市场化项目》日常作业的监督管理，按照《公路养护市场化项目》的具体要求，严格管理。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90"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80"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985"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bCs/>
                <w:sz w:val="21"/>
                <w:szCs w:val="21"/>
              </w:rPr>
            </w:pPr>
          </w:p>
        </w:tc>
        <w:tc>
          <w:tcPr>
            <w:tcW w:w="3980"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90"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985"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45"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1.接手遵化市交通运输局已招标《公路养护市场化项目》日常作业的监督管理，按照《公路养护市场化项目》的具体要求，严格管理。</w:t>
            </w:r>
          </w:p>
        </w:tc>
      </w:tr>
    </w:tbl>
    <w:p>
      <w:pPr>
        <w:spacing w:line="2" w:lineRule="exact"/>
        <w:jc w:val="center"/>
        <w:rPr>
          <w:rFonts w:ascii="方正仿宋简体" w:hAnsi="方正仿宋简体" w:eastAsia="方正仿宋简体" w:cs="方正仿宋简体"/>
          <w:bCs/>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684"/>
        <w:gridCol w:w="2893"/>
        <w:gridCol w:w="3581"/>
        <w:gridCol w:w="1560"/>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5"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168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2893"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3581"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560"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3055"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监督检查次数</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监督检查次数</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≥1天/次</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ascii="方正仿宋简体" w:hAnsi="方正仿宋简体" w:eastAsia="方正仿宋简体" w:cs="方正仿宋简体"/>
                <w:bCs/>
                <w:sz w:val="21"/>
                <w:szCs w:val="21"/>
              </w:rPr>
            </w:pP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 xml:space="preserve"> 优良率</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结项鉴定优秀等级项目数量占结项总数量的比例　</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ascii="方正仿宋简体" w:hAnsi="方正仿宋简体" w:eastAsia="方正仿宋简体" w:cs="方正仿宋简体"/>
                <w:bCs/>
                <w:sz w:val="21"/>
                <w:szCs w:val="21"/>
              </w:rPr>
            </w:pP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扶助资金到位率　</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按月支付，每月月底前支付</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ascii="方正仿宋简体" w:hAnsi="方正仿宋简体" w:eastAsia="方正仿宋简体" w:cs="方正仿宋简体"/>
                <w:bCs/>
                <w:sz w:val="21"/>
                <w:szCs w:val="21"/>
              </w:rPr>
            </w:pP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预算资金完成率</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预算资金完成率</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全国文明城市提升创建水平</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反映我省参加全国文明创建创情况</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ascii="方正仿宋简体" w:hAnsi="方正仿宋简体" w:eastAsia="方正仿宋简体" w:cs="方正仿宋简体"/>
                <w:bCs/>
                <w:sz w:val="21"/>
                <w:szCs w:val="21"/>
              </w:rPr>
            </w:pP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改善人居环境、防止二次污染　</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生活垃圾全部运到遵化市生活垃圾填埋场　</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ascii="方正仿宋简体" w:hAnsi="方正仿宋简体" w:eastAsia="方正仿宋简体" w:cs="方正仿宋简体"/>
                <w:bCs/>
                <w:sz w:val="21"/>
                <w:szCs w:val="21"/>
              </w:rPr>
            </w:pP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专项资金投入产出效益</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专项资金投入产出效益</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ascii="方正仿宋简体" w:hAnsi="方正仿宋简体" w:eastAsia="方正仿宋简体" w:cs="方正仿宋简体"/>
                <w:bCs/>
                <w:sz w:val="21"/>
                <w:szCs w:val="21"/>
              </w:rPr>
            </w:pP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监测、评价完成率　</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监测、评价完成率　</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168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289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群众满意度　</w:t>
            </w:r>
          </w:p>
        </w:tc>
        <w:tc>
          <w:tcPr>
            <w:tcW w:w="3581"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通过问卷调查，满意的受资助对象占所有调查对象的比例</w:t>
            </w:r>
          </w:p>
        </w:tc>
        <w:tc>
          <w:tcPr>
            <w:tcW w:w="1560"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3055"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租车合同及实际发生费用</w:t>
            </w:r>
          </w:p>
        </w:tc>
      </w:tr>
    </w:tbl>
    <w:p>
      <w:pPr>
        <w:sectPr>
          <w:pgSz w:w="16840" w:h="11900" w:orient="landscape"/>
          <w:pgMar w:top="1304" w:right="1984" w:bottom="1304" w:left="1134" w:header="720" w:footer="720" w:gutter="0"/>
          <w:pgNumType w:fmt="decimal"/>
          <w:cols w:space="720" w:num="1"/>
        </w:sectPr>
      </w:pPr>
    </w:p>
    <w:p>
      <w:pPr>
        <w:jc w:val="both"/>
        <w:rPr>
          <w:rFonts w:ascii="方正仿宋简体" w:hAnsi="方正仿宋简体" w:eastAsia="方正仿宋简体" w:cs="方正仿宋简体"/>
          <w:sz w:val="21"/>
          <w:szCs w:val="21"/>
        </w:rPr>
      </w:pPr>
    </w:p>
    <w:p>
      <w:pPr>
        <w:ind w:firstLine="560"/>
        <w:outlineLvl w:val="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7.环境卫生管理服务费绩效目标表</w:t>
      </w:r>
    </w:p>
    <w:tbl>
      <w:tblPr>
        <w:tblStyle w:val="10"/>
        <w:tblW w:w="1393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2"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0"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13028123P00012010003N</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3"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环境卫生管理服务费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155.00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155.00</w:t>
            </w:r>
          </w:p>
        </w:tc>
        <w:tc>
          <w:tcPr>
            <w:tcW w:w="199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0"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ascii="方正仿宋简体" w:hAnsi="方正仿宋简体" w:eastAsia="方正仿宋简体" w:cs="方正仿宋简体"/>
                <w:sz w:val="21"/>
                <w:szCs w:val="21"/>
              </w:rPr>
            </w:pPr>
          </w:p>
        </w:tc>
        <w:tc>
          <w:tcPr>
            <w:tcW w:w="11943"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预算数155万元。其中：财政资金155万元，其他资金0万元。主要用于：为了提高城区服务质量，安排城区公厕及其他工作人员的费用及人员保险等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3"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3"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3"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1.为了提高城区服务质量，安排城区公厕及其他工作人员的费用及人员保险等</w:t>
            </w: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1200"/>
        <w:gridCol w:w="1587"/>
        <w:gridCol w:w="3732"/>
        <w:gridCol w:w="703"/>
        <w:gridCol w:w="5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120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158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373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7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590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临时工人数及车辆数量</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基本公共卫生服务临时工人数</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≥87人</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ascii="方正仿宋简体" w:hAnsi="方正仿宋简体" w:eastAsia="方正仿宋简体" w:cs="方正仿宋简体"/>
                <w:sz w:val="21"/>
                <w:szCs w:val="21"/>
              </w:rPr>
            </w:pP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优良率</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提高城区环境卫生质量</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ascii="方正仿宋简体" w:hAnsi="方正仿宋简体" w:eastAsia="方正仿宋简体" w:cs="方正仿宋简体"/>
                <w:sz w:val="21"/>
                <w:szCs w:val="21"/>
              </w:rPr>
            </w:pP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完成率</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按月发放临时人员工资</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ascii="方正仿宋简体" w:hAnsi="方正仿宋简体" w:eastAsia="方正仿宋简体" w:cs="方正仿宋简体"/>
                <w:sz w:val="21"/>
                <w:szCs w:val="21"/>
              </w:rPr>
            </w:pP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预算资金完成率</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预算资金完成情况</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经济发展影响力</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经济发展影响力得到提升</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ascii="方正仿宋简体" w:hAnsi="方正仿宋简体" w:eastAsia="方正仿宋简体" w:cs="方正仿宋简体"/>
                <w:sz w:val="21"/>
                <w:szCs w:val="21"/>
              </w:rPr>
            </w:pP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社会影响力</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在全国或全省产生的重要影响，得到广大受众的充分认可。</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ascii="方正仿宋简体" w:hAnsi="方正仿宋简体" w:eastAsia="方正仿宋简体" w:cs="方正仿宋简体"/>
                <w:sz w:val="21"/>
                <w:szCs w:val="21"/>
              </w:rPr>
            </w:pP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项目实施对环境的影响</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保洁畅通，提高城区服务质量</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ascii="方正仿宋简体" w:hAnsi="方正仿宋简体" w:eastAsia="方正仿宋简体" w:cs="方正仿宋简体"/>
                <w:sz w:val="21"/>
                <w:szCs w:val="21"/>
              </w:rPr>
            </w:pP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生态环境管理工作信息化水平</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生态环境管理工作信息化水平</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20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58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w:t>
            </w:r>
          </w:p>
        </w:tc>
        <w:tc>
          <w:tcPr>
            <w:tcW w:w="373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接受基本公共卫生服务的重点人群对基层医疗卫生机构所提供服务的满意程度</w:t>
            </w:r>
          </w:p>
        </w:tc>
        <w:tc>
          <w:tcPr>
            <w:tcW w:w="7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90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遵机编字【2019】67号中共遵化市委机构编制委员会关于明确遵化市城市管理综合行政执法局所属事业单位机构设置的通知</w:t>
            </w:r>
          </w:p>
        </w:tc>
      </w:tr>
    </w:tbl>
    <w:p>
      <w:pPr>
        <w:sectPr>
          <w:pgSz w:w="16840" w:h="11900" w:orient="landscape"/>
          <w:pgMar w:top="1304" w:right="1984" w:bottom="1304" w:left="1134" w:header="720" w:footer="720" w:gutter="0"/>
          <w:pgNumType w:fmt="decimal"/>
          <w:cols w:space="720" w:num="1"/>
        </w:sectPr>
      </w:pPr>
    </w:p>
    <w:p>
      <w:pPr>
        <w:jc w:val="center"/>
      </w:pPr>
    </w:p>
    <w:p>
      <w:pPr>
        <w:ind w:firstLine="560"/>
        <w:outlineLvl w:val="3"/>
        <w:rPr>
          <w:rFonts w:ascii="方正仿宋简体" w:hAnsi="方正仿宋简体" w:eastAsia="方正仿宋简体" w:cs="方正仿宋简体"/>
          <w:sz w:val="28"/>
          <w:szCs w:val="28"/>
        </w:rPr>
      </w:pPr>
      <w:bookmarkStart w:id="18" w:name="_Toc_4_4_0000000021"/>
      <w:r>
        <w:rPr>
          <w:rFonts w:hint="eastAsia" w:ascii="方正仿宋简体" w:hAnsi="方正仿宋简体" w:eastAsia="方正仿宋简体" w:cs="方正仿宋简体"/>
          <w:color w:val="000000"/>
          <w:sz w:val="28"/>
          <w:szCs w:val="28"/>
        </w:rPr>
        <w:t>8.建筑垃圾场土地、生活垃圾卫生填埋场专用道路、中转站租赁费绩效目标表</w:t>
      </w:r>
      <w:bookmarkEnd w:id="18"/>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13028123P000167100014</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建筑垃圾场土地、生活垃圾卫生填埋场专用道路、中转站租赁费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13.00</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预算数13万元。其中：财政资金13元，其他资金0万元。主要用于：加大环境保护，建筑垃圾场环保达标，场地整洁，生活垃圾场专用通道正常使用</w:t>
            </w:r>
            <w:r>
              <w:rPr>
                <w:rFonts w:hint="eastAsia" w:ascii="方正仿宋简体" w:hAnsi="方正仿宋简体" w:eastAsia="方正仿宋简体" w:cs="方正仿宋简体"/>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1.加大环境保护，建筑垃圾场环保达标，场地整洁，生活垃圾场专用通道正常使用</w:t>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r>
              <w:rPr>
                <w:rFonts w:hint="eastAsia" w:ascii="方正仿宋简体" w:hAnsi="方正仿宋简体" w:eastAsia="方正仿宋简体" w:cs="方正仿宋简体"/>
                <w:szCs w:val="21"/>
              </w:rPr>
              <w:tab/>
            </w:r>
          </w:p>
          <w:p>
            <w:pPr>
              <w:pStyle w:val="19"/>
              <w:rPr>
                <w:rFonts w:ascii="方正仿宋简体" w:hAnsi="方正仿宋简体" w:eastAsia="方正仿宋简体" w:cs="方正仿宋简体"/>
                <w:szCs w:val="21"/>
              </w:rPr>
            </w:pP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1420"/>
        <w:gridCol w:w="1754"/>
        <w:gridCol w:w="3618"/>
        <w:gridCol w:w="809"/>
        <w:gridCol w:w="5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2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142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175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361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809"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541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基本公共卫生服务覆盖数</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公共卫生服务覆盖租赁土地</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≥127亩</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ascii="方正仿宋简体" w:hAnsi="方正仿宋简体" w:eastAsia="方正仿宋简体" w:cs="方正仿宋简体"/>
                <w:sz w:val="21"/>
                <w:szCs w:val="21"/>
              </w:rPr>
            </w:pP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优良率</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租赁土地验收率</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ascii="方正仿宋简体" w:hAnsi="方正仿宋简体" w:eastAsia="方正仿宋简体" w:cs="方正仿宋简体"/>
                <w:sz w:val="21"/>
                <w:szCs w:val="21"/>
              </w:rPr>
            </w:pP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完成率</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按合同期限付款</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ascii="方正仿宋简体" w:hAnsi="方正仿宋简体" w:eastAsia="方正仿宋简体" w:cs="方正仿宋简体"/>
                <w:sz w:val="21"/>
                <w:szCs w:val="21"/>
              </w:rPr>
            </w:pP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预算资金完成率</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预算资金安排完成情况</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监测、评价完成率</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监测、评价完成率</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ascii="方正仿宋简体" w:hAnsi="方正仿宋简体" w:eastAsia="方正仿宋简体" w:cs="方正仿宋简体"/>
                <w:sz w:val="21"/>
                <w:szCs w:val="21"/>
              </w:rPr>
            </w:pP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提高工作效率</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提高经济效率，费用及时拨付</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ascii="方正仿宋简体" w:hAnsi="方正仿宋简体" w:eastAsia="方正仿宋简体" w:cs="方正仿宋简体"/>
                <w:sz w:val="21"/>
                <w:szCs w:val="21"/>
              </w:rPr>
            </w:pP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城乡居民公共卫生差距</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反映城镇人口与乡村人口获得公共卫生服务效果之间的差异　</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ascii="方正仿宋简体" w:hAnsi="方正仿宋简体" w:eastAsia="方正仿宋简体" w:cs="方正仿宋简体"/>
                <w:sz w:val="21"/>
                <w:szCs w:val="21"/>
              </w:rPr>
            </w:pP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环境保护</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改善环境卫生，保护人民健康，防范发生传染疫情　　</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4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175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361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群众满意数量占总数的比例。</w:t>
            </w:r>
          </w:p>
        </w:tc>
        <w:tc>
          <w:tcPr>
            <w:tcW w:w="809"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41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建筑垃圾场土地、污泥堆放场地、生活垃圾卫生填埋场专用道路租赁合同， 中转站租赁合同</w:t>
            </w:r>
          </w:p>
        </w:tc>
      </w:tr>
    </w:tbl>
    <w:p>
      <w:pPr>
        <w:rPr>
          <w:rFonts w:ascii="方正仿宋简体" w:hAnsi="方正仿宋简体" w:eastAsia="方正仿宋简体" w:cs="方正仿宋简体"/>
          <w:sz w:val="21"/>
          <w:szCs w:val="21"/>
        </w:rPr>
        <w:sectPr>
          <w:pgSz w:w="16840" w:h="11900" w:orient="landscape"/>
          <w:pgMar w:top="1304" w:right="1984" w:bottom="1304" w:left="1134" w:header="720" w:footer="720" w:gutter="0"/>
          <w:pgNumType w:fmt="decimal"/>
          <w:cols w:space="720" w:num="1"/>
        </w:sectPr>
      </w:pPr>
    </w:p>
    <w:p>
      <w:pPr>
        <w:ind w:firstLine="560"/>
        <w:outlineLvl w:val="3"/>
        <w:rPr>
          <w:rFonts w:ascii="方正仿宋简体" w:hAnsi="方正仿宋简体" w:eastAsia="方正仿宋简体" w:cs="方正仿宋简体"/>
          <w:sz w:val="28"/>
          <w:szCs w:val="28"/>
        </w:rPr>
      </w:pPr>
      <w:bookmarkStart w:id="19" w:name="_Toc_4_4_0000000022"/>
      <w:r>
        <w:rPr>
          <w:rFonts w:hint="eastAsia" w:ascii="方正仿宋简体" w:hAnsi="方正仿宋简体" w:eastAsia="方正仿宋简体" w:cs="方正仿宋简体"/>
          <w:color w:val="000000"/>
          <w:sz w:val="28"/>
          <w:szCs w:val="28"/>
        </w:rPr>
        <w:t>9.生活垃圾处置费绩效目标表</w:t>
      </w:r>
      <w:bookmarkEnd w:id="19"/>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13028123P00014210002W</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生活垃圾处置费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1194.00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1194.00</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1194万元。其中：财政资金1194万元，其他资金0万元。主要用于：确保遵化市城区生活垃圾卫生填埋场运营符合国家相关标准规范的要求，所有污染物排放需达到国家相关标准规定指标，环保达标，环境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1.确保遵化市城区生活垃圾卫生填埋场运营符合国家相关标准规范的要求，所有污染物排放需达到国家相关标准规定指标，环保达标，环境整洁。</w:t>
            </w: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5"/>
        <w:gridCol w:w="1167"/>
        <w:gridCol w:w="982"/>
        <w:gridCol w:w="8970"/>
        <w:gridCol w:w="1042"/>
        <w:gridCol w:w="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9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1167"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98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897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104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982"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无害化处理</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①垃圾填埋数量是否达到合同要求；②渗滤液处理数量是否达到合同要求</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≥200750吨</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ascii="方正仿宋简体" w:hAnsi="方正仿宋简体" w:eastAsia="方正仿宋简体" w:cs="方正仿宋简体"/>
                <w:sz w:val="21"/>
                <w:szCs w:val="21"/>
              </w:rPr>
            </w:pP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垃圾监测准确率</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垃圾监测准确情况，确保达标①垃圾填埋质量是否达到合同要求；②渗滤液处理质量是否达到合同要求</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ascii="方正仿宋简体" w:hAnsi="方正仿宋简体" w:eastAsia="方正仿宋简体" w:cs="方正仿宋简体"/>
                <w:sz w:val="21"/>
                <w:szCs w:val="21"/>
              </w:rPr>
            </w:pP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预算资金完成率</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预算资金完成率</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ascii="方正仿宋简体" w:hAnsi="方正仿宋简体" w:eastAsia="方正仿宋简体" w:cs="方正仿宋简体"/>
                <w:sz w:val="21"/>
                <w:szCs w:val="21"/>
              </w:rPr>
            </w:pP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完成及时性</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①垃圾是否及时填埋；②渗滤液处理是否及时</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可持续性指标</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①项目运行维护是否责任明确、管理有序；②项目运行是否持续发挥作用；③项目形成的资产后续管理是否有完备的实施方案；④项目管理是不是有稳定的资金保障。⑤后续管理是否体现了政府购买服务的思想</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ascii="方正仿宋简体" w:hAnsi="方正仿宋简体" w:eastAsia="方正仿宋简体" w:cs="方正仿宋简体"/>
                <w:sz w:val="21"/>
                <w:szCs w:val="21"/>
              </w:rPr>
            </w:pP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通过项目的实施，可改善居民的生活和生态环境，保护本县整体环境和恢复生态平衡，从而保证整个本县社会经济又好又快发展</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ascii="方正仿宋简体" w:hAnsi="方正仿宋简体" w:eastAsia="方正仿宋简体" w:cs="方正仿宋简体"/>
                <w:sz w:val="21"/>
                <w:szCs w:val="21"/>
              </w:rPr>
            </w:pP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通过本项目的实施能够提高居民的生活水平和健康水平</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ascii="方正仿宋简体" w:hAnsi="方正仿宋简体" w:eastAsia="方正仿宋简体" w:cs="方正仿宋简体"/>
                <w:sz w:val="21"/>
                <w:szCs w:val="21"/>
              </w:rPr>
            </w:pP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生态效益</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①项目实施是否注重生态环境的保护；②项目实施是否注重环保材料的使用和利用；③通过项目实施是否促进节能减排和减少污染排放，提升城市生态环境质量</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16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群众满意度</w:t>
            </w:r>
          </w:p>
        </w:tc>
        <w:tc>
          <w:tcPr>
            <w:tcW w:w="897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市民对遵化市遵化市生活垃圾卫生填埋场运营项目工作效果是否满意</w:t>
            </w:r>
          </w:p>
        </w:tc>
        <w:tc>
          <w:tcPr>
            <w:tcW w:w="104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≥85%</w:t>
            </w:r>
          </w:p>
        </w:tc>
        <w:tc>
          <w:tcPr>
            <w:tcW w:w="982"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垃圾处理合同</w:t>
            </w:r>
          </w:p>
        </w:tc>
      </w:tr>
    </w:tbl>
    <w:p>
      <w:pPr>
        <w:sectPr>
          <w:pgSz w:w="16840" w:h="11900" w:orient="landscape"/>
          <w:pgMar w:top="1304" w:right="1984" w:bottom="1304" w:left="1134" w:header="720" w:footer="720" w:gutter="0"/>
          <w:pgNumType w:fmt="decimal"/>
          <w:cols w:space="720" w:num="1"/>
        </w:sectPr>
      </w:pPr>
    </w:p>
    <w:p>
      <w:pPr>
        <w:jc w:val="both"/>
      </w:pPr>
    </w:p>
    <w:p>
      <w:pPr>
        <w:ind w:firstLine="560"/>
        <w:outlineLvl w:val="3"/>
        <w:rPr>
          <w:rFonts w:ascii="方正仿宋简体" w:hAnsi="方正仿宋简体" w:eastAsia="方正仿宋简体" w:cs="方正仿宋简体"/>
          <w:sz w:val="28"/>
          <w:szCs w:val="28"/>
        </w:rPr>
      </w:pPr>
      <w:bookmarkStart w:id="20" w:name="_Toc_4_4_0000000023"/>
      <w:r>
        <w:rPr>
          <w:rFonts w:hint="eastAsia" w:ascii="方正仿宋简体" w:hAnsi="方正仿宋简体" w:eastAsia="方正仿宋简体" w:cs="方正仿宋简体"/>
          <w:color w:val="000000"/>
          <w:sz w:val="28"/>
          <w:szCs w:val="28"/>
          <w:lang w:eastAsia="zh-CN"/>
        </w:rPr>
        <w:t>10</w:t>
      </w:r>
      <w:r>
        <w:rPr>
          <w:rFonts w:hint="eastAsia" w:ascii="方正仿宋简体" w:hAnsi="方正仿宋简体" w:eastAsia="方正仿宋简体" w:cs="方正仿宋简体"/>
          <w:color w:val="000000"/>
          <w:sz w:val="28"/>
          <w:szCs w:val="28"/>
        </w:rPr>
        <w:t>.省级劳模医保缴费绩效目标表</w:t>
      </w:r>
      <w:bookmarkEnd w:id="20"/>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656002遵化市环境卫生管理中心</w:t>
            </w:r>
          </w:p>
        </w:tc>
        <w:tc>
          <w:tcPr>
            <w:tcW w:w="1991"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980"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13028123P000128100034</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975" w:type="dxa"/>
            <w:gridSpan w:val="3"/>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省级劳模医保缴费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1.20</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9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1.20</w:t>
            </w:r>
          </w:p>
        </w:tc>
        <w:tc>
          <w:tcPr>
            <w:tcW w:w="19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1991" w:type="dxa"/>
            <w:vAlign w:val="center"/>
          </w:tcPr>
          <w:p>
            <w:pPr>
              <w:pStyle w:val="19"/>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预算数1.2万元。其中：财政资金1.2万元，其他资金0万元。主要用于：河北省人民政府[2005]11号，按文件要求对省级劳模医保补缴正常缴纳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980"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10月底</w:t>
            </w:r>
          </w:p>
        </w:tc>
        <w:tc>
          <w:tcPr>
            <w:tcW w:w="3985" w:type="dxa"/>
            <w:gridSpan w:val="2"/>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ascii="方正仿宋简体" w:hAnsi="方正仿宋简体" w:eastAsia="方正仿宋简体" w:cs="方正仿宋简体"/>
                <w:sz w:val="21"/>
                <w:szCs w:val="21"/>
              </w:rPr>
            </w:pPr>
          </w:p>
        </w:tc>
        <w:tc>
          <w:tcPr>
            <w:tcW w:w="3980"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90"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985" w:type="dxa"/>
            <w:gridSpan w:val="2"/>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45" w:type="dxa"/>
            <w:gridSpan w:val="6"/>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1.河北省人民政府[2005]11号，按文件要求对省级劳模医保补缴正常缴纳</w:t>
            </w:r>
          </w:p>
        </w:tc>
      </w:tr>
    </w:tbl>
    <w:p>
      <w:pPr>
        <w:spacing w:line="2" w:lineRule="exact"/>
        <w:jc w:val="center"/>
        <w:rPr>
          <w:rFonts w:ascii="方正仿宋简体" w:hAnsi="方正仿宋简体" w:eastAsia="方正仿宋简体" w:cs="方正仿宋简体"/>
          <w:sz w:val="21"/>
          <w:szCs w:val="21"/>
        </w:rPr>
      </w:pP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8"/>
        <w:gridCol w:w="1775"/>
        <w:gridCol w:w="2194"/>
        <w:gridCol w:w="4868"/>
        <w:gridCol w:w="1320"/>
        <w:gridCol w:w="2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4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1775"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2194"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4868"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1320"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2833" w:type="dxa"/>
            <w:vAlign w:val="center"/>
          </w:tcPr>
          <w:p>
            <w:pPr>
              <w:pStyle w:val="17"/>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居民电子健康档案建档</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已建立电子健康档案的人数占年度常住人口数的比例</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≥1人</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ascii="方正仿宋简体" w:hAnsi="方正仿宋简体" w:eastAsia="方正仿宋简体" w:cs="方正仿宋简体"/>
                <w:sz w:val="21"/>
                <w:szCs w:val="21"/>
              </w:rPr>
            </w:pP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缴费时限</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按时缴费，保证缴费人员正常使用</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122022年12月底前完成</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ascii="方正仿宋简体" w:hAnsi="方正仿宋简体" w:eastAsia="方正仿宋简体" w:cs="方正仿宋简体"/>
                <w:sz w:val="21"/>
                <w:szCs w:val="21"/>
              </w:rPr>
            </w:pP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预算资金完成率</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预算资金完成情况</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ascii="方正仿宋简体" w:hAnsi="方正仿宋简体" w:eastAsia="方正仿宋简体" w:cs="方正仿宋简体"/>
                <w:sz w:val="21"/>
                <w:szCs w:val="21"/>
              </w:rPr>
            </w:pP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县级中医医院康复科建设合格率</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康复科建设合格的县级中医医院数量占年度内开展康复科建设的县级中医医院数量的比例　</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restart"/>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应急救助率</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 得到应急医疗救助的患者数量占符合条件应救助患者总数的比例</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ascii="方正仿宋简体" w:hAnsi="方正仿宋简体" w:eastAsia="方正仿宋简体" w:cs="方正仿宋简体"/>
                <w:sz w:val="21"/>
                <w:szCs w:val="21"/>
              </w:rPr>
            </w:pP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基本公共卫生服务水平</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反映为省内常住人口提供基本公共卫生服务的能力和效果　</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ascii="方正仿宋简体" w:hAnsi="方正仿宋简体" w:eastAsia="方正仿宋简体" w:cs="方正仿宋简体"/>
                <w:sz w:val="21"/>
                <w:szCs w:val="21"/>
              </w:rPr>
            </w:pP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对经济发展带来效果</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对经济发展带来效果按照要求达到标准</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ascii="方正仿宋简体" w:hAnsi="方正仿宋简体" w:eastAsia="方正仿宋简体" w:cs="方正仿宋简体"/>
                <w:sz w:val="21"/>
                <w:szCs w:val="21"/>
              </w:rPr>
            </w:pP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改善生态环境质量</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改善生态环境质量，达到领导要求</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1775"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194"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4868"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群众满意数量占总数的比例。</w:t>
            </w:r>
          </w:p>
        </w:tc>
        <w:tc>
          <w:tcPr>
            <w:tcW w:w="1320"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2833"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河北省人民政府[2005]16号</w:t>
            </w:r>
          </w:p>
        </w:tc>
      </w:tr>
    </w:tbl>
    <w:p>
      <w:pPr>
        <w:sectPr>
          <w:pgSz w:w="16840" w:h="11900" w:orient="landscape"/>
          <w:pgMar w:top="1304" w:right="1984" w:bottom="1304" w:left="1134" w:header="720" w:footer="720" w:gutter="0"/>
          <w:pgNumType w:fmt="decimal"/>
          <w:cols w:space="720" w:num="1"/>
        </w:sectPr>
      </w:pPr>
    </w:p>
    <w:p>
      <w:pPr>
        <w:jc w:val="both"/>
        <w:rPr>
          <w:sz w:val="11"/>
          <w:szCs w:val="11"/>
        </w:rPr>
      </w:pPr>
    </w:p>
    <w:p>
      <w:pPr>
        <w:ind w:firstLine="560"/>
        <w:outlineLvl w:val="3"/>
        <w:rPr>
          <w:rFonts w:ascii="方正仿宋简体" w:hAnsi="方正仿宋简体" w:eastAsia="方正仿宋简体" w:cs="方正仿宋简体"/>
          <w:sz w:val="28"/>
          <w:szCs w:val="28"/>
        </w:rPr>
      </w:pPr>
      <w:bookmarkStart w:id="21" w:name="_Toc_4_4_0000000024"/>
      <w:r>
        <w:rPr>
          <w:rFonts w:hint="eastAsia" w:ascii="方正仿宋简体" w:hAnsi="方正仿宋简体" w:eastAsia="方正仿宋简体" w:cs="方正仿宋简体"/>
          <w:color w:val="000000"/>
          <w:sz w:val="28"/>
          <w:szCs w:val="28"/>
          <w:lang w:eastAsia="zh-CN"/>
        </w:rPr>
        <w:t>1</w:t>
      </w:r>
      <w:r>
        <w:rPr>
          <w:rFonts w:hint="eastAsia" w:ascii="方正仿宋简体" w:hAnsi="方正仿宋简体" w:eastAsia="方正仿宋简体" w:cs="方正仿宋简体"/>
          <w:color w:val="000000"/>
          <w:sz w:val="28"/>
          <w:szCs w:val="28"/>
        </w:rPr>
        <w:t>1.乡镇乡村振兴农村生活垃圾治理项目服务费（服务群众专项经费）绩效目标表</w:t>
      </w:r>
      <w:bookmarkEnd w:id="21"/>
    </w:p>
    <w:tbl>
      <w:tblPr>
        <w:tblStyle w:val="10"/>
        <w:tblW w:w="1501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8" w:type="dxa"/>
            <w:gridSpan w:val="6"/>
            <w:tcBorders>
              <w:top w:val="single" w:color="FFFFFF" w:sz="6" w:space="0"/>
              <w:left w:val="single" w:color="FFFFFF" w:sz="6" w:space="0"/>
              <w:right w:val="single" w:color="FFFFFF" w:sz="6" w:space="0"/>
            </w:tcBorders>
            <w:vAlign w:val="center"/>
          </w:tcPr>
          <w:p>
            <w:pPr>
              <w:pStyle w:val="23"/>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656002遵化市环境卫生管理中心</w:t>
            </w:r>
          </w:p>
        </w:tc>
        <w:tc>
          <w:tcPr>
            <w:tcW w:w="2145" w:type="dxa"/>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4288" w:type="dxa"/>
            <w:gridSpan w:val="2"/>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13028123P000171100019</w:t>
            </w:r>
          </w:p>
        </w:tc>
        <w:tc>
          <w:tcPr>
            <w:tcW w:w="214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437" w:type="dxa"/>
            <w:gridSpan w:val="3"/>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乡镇乡村振兴农村生活垃圾治理项目服务费（服务群众专项经费）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214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214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518.00</w:t>
            </w:r>
          </w:p>
        </w:tc>
        <w:tc>
          <w:tcPr>
            <w:tcW w:w="214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2144"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518.00</w:t>
            </w:r>
          </w:p>
        </w:tc>
        <w:tc>
          <w:tcPr>
            <w:tcW w:w="2148"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2145" w:type="dxa"/>
            <w:vAlign w:val="center"/>
          </w:tcPr>
          <w:p>
            <w:pPr>
              <w:pStyle w:val="19"/>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tcPr>
          <w:p>
            <w:pPr>
              <w:rPr>
                <w:rFonts w:ascii="方正仿宋简体" w:hAnsi="方正仿宋简体" w:eastAsia="方正仿宋简体" w:cs="方正仿宋简体"/>
                <w:bCs/>
                <w:sz w:val="21"/>
                <w:szCs w:val="21"/>
              </w:rPr>
            </w:pPr>
          </w:p>
        </w:tc>
        <w:tc>
          <w:tcPr>
            <w:tcW w:w="12869"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预算数518万元。其中：财政资金518万元，其他资金0万元。主要用于：依据遵化市农村生活垃圾治理项目对我市东区、西区进行生活垃圾治理符合标准，人居环境持续改善，村庄及周边干净整洁。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4288"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214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214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4293" w:type="dxa"/>
            <w:gridSpan w:val="2"/>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tcPr>
          <w:p>
            <w:pPr>
              <w:rPr>
                <w:rFonts w:ascii="方正仿宋简体" w:hAnsi="方正仿宋简体" w:eastAsia="方正仿宋简体" w:cs="方正仿宋简体"/>
                <w:bCs/>
                <w:sz w:val="21"/>
                <w:szCs w:val="21"/>
              </w:rPr>
            </w:pPr>
          </w:p>
        </w:tc>
        <w:tc>
          <w:tcPr>
            <w:tcW w:w="4288"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2144"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2144"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4293" w:type="dxa"/>
            <w:gridSpan w:val="2"/>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2869" w:type="dxa"/>
            <w:gridSpan w:val="6"/>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1.依据遵化市农村生活垃圾治理项目对我市东区、西区进行生活垃圾治理符合标准，人居环境持续改善，村庄及周边干净整洁。</w:t>
            </w:r>
          </w:p>
        </w:tc>
      </w:tr>
    </w:tbl>
    <w:p>
      <w:pPr>
        <w:spacing w:line="2" w:lineRule="exact"/>
        <w:jc w:val="center"/>
        <w:rPr>
          <w:rFonts w:ascii="方正仿宋简体" w:hAnsi="方正仿宋简体" w:eastAsia="方正仿宋简体" w:cs="方正仿宋简体"/>
          <w:bCs/>
          <w:sz w:val="21"/>
          <w:szCs w:val="21"/>
        </w:rPr>
      </w:pP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2192"/>
        <w:gridCol w:w="1967"/>
        <w:gridCol w:w="4166"/>
        <w:gridCol w:w="943"/>
        <w:gridCol w:w="4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6"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2192"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967"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4166"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943"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4482" w:type="dxa"/>
            <w:vAlign w:val="center"/>
          </w:tcPr>
          <w:p>
            <w:pPr>
              <w:pStyle w:val="17"/>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基本公共卫生服务覆盖村</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　基本公共卫生服务项目覆盖村</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≥608个村庄</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ascii="方正仿宋简体" w:hAnsi="方正仿宋简体" w:eastAsia="方正仿宋简体" w:cs="方正仿宋简体"/>
                <w:bCs/>
                <w:sz w:val="21"/>
                <w:szCs w:val="21"/>
              </w:rPr>
            </w:pP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村民知晓率</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村民对农村生活垃圾治理市场化知晓率</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≥80%</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ascii="方正仿宋简体" w:hAnsi="方正仿宋简体" w:eastAsia="方正仿宋简体" w:cs="方正仿宋简体"/>
                <w:bCs/>
                <w:sz w:val="21"/>
                <w:szCs w:val="21"/>
              </w:rPr>
            </w:pP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预算资金完成率</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预算资金完成率</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ascii="方正仿宋简体" w:hAnsi="方正仿宋简体" w:eastAsia="方正仿宋简体" w:cs="方正仿宋简体"/>
                <w:bCs/>
                <w:sz w:val="21"/>
                <w:szCs w:val="21"/>
              </w:rPr>
            </w:pP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扶助资金到位率</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按月支付，每月月底前支付</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restart"/>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社会影响力</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在全国或全省产生的重要影响，得到广大受众的充分认可。</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≥80%</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ascii="方正仿宋简体" w:hAnsi="方正仿宋简体" w:eastAsia="方正仿宋简体" w:cs="方正仿宋简体"/>
                <w:bCs/>
                <w:sz w:val="21"/>
                <w:szCs w:val="21"/>
              </w:rPr>
            </w:pP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改善人居环境、防止二次污染</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生活垃圾全部运到遵化市生活垃圾填埋场　</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ascii="方正仿宋简体" w:hAnsi="方正仿宋简体" w:eastAsia="方正仿宋简体" w:cs="方正仿宋简体"/>
                <w:bCs/>
                <w:sz w:val="21"/>
                <w:szCs w:val="21"/>
              </w:rPr>
            </w:pP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环境改善情况</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通过本项目的实施能够提高居民的生活水平和健康水平</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ascii="方正仿宋简体" w:hAnsi="方正仿宋简体" w:eastAsia="方正仿宋简体" w:cs="方正仿宋简体"/>
                <w:bCs/>
                <w:sz w:val="21"/>
                <w:szCs w:val="21"/>
              </w:rPr>
            </w:pP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改善人居环境、防止二次污染</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农村生活垃圾收集、转运长效运转　</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≥95%</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Align w:val="center"/>
          </w:tcPr>
          <w:p>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219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967"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w:t>
            </w:r>
          </w:p>
        </w:tc>
        <w:tc>
          <w:tcPr>
            <w:tcW w:w="4166"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群众满意数量占总数的比例。　</w:t>
            </w:r>
          </w:p>
        </w:tc>
        <w:tc>
          <w:tcPr>
            <w:tcW w:w="943"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≥85%</w:t>
            </w:r>
          </w:p>
        </w:tc>
        <w:tc>
          <w:tcPr>
            <w:tcW w:w="4482" w:type="dxa"/>
            <w:vAlign w:val="center"/>
          </w:tcPr>
          <w:p>
            <w:pPr>
              <w:pStyle w:val="19"/>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遵化市农村生活垃圾治理项目东区、西区合同　</w:t>
            </w:r>
          </w:p>
        </w:tc>
      </w:tr>
    </w:tbl>
    <w:p/>
    <w:p>
      <w:pPr>
        <w:widowControl w:val="0"/>
        <w:spacing w:line="56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六、政府采购预算情况</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2023年，遵化市环境卫生管理中心安排政府采购预算0.85万元。具体内容见下表。</w:t>
      </w:r>
    </w:p>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756"/>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656002遵化市环境卫生管理中心</w:t>
            </w:r>
          </w:p>
        </w:tc>
        <w:tc>
          <w:tcPr>
            <w:tcW w:w="8316" w:type="dxa"/>
            <w:gridSpan w:val="9"/>
            <w:tcBorders>
              <w:top w:val="single" w:color="FFFFFF" w:sz="6" w:space="0"/>
              <w:left w:val="single" w:color="FFFFFF" w:sz="6" w:space="0"/>
              <w:right w:val="single" w:color="FFFFFF" w:sz="6" w:space="0"/>
            </w:tcBorders>
            <w:vAlign w:val="center"/>
          </w:tcPr>
          <w:p>
            <w:pPr>
              <w:pStyle w:val="31"/>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政府采购项目来源</w:t>
            </w:r>
          </w:p>
        </w:tc>
        <w:tc>
          <w:tcPr>
            <w:tcW w:w="924" w:type="dxa"/>
            <w:vMerge w:val="restart"/>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采购物品名称</w:t>
            </w:r>
          </w:p>
        </w:tc>
        <w:tc>
          <w:tcPr>
            <w:tcW w:w="924" w:type="dxa"/>
            <w:vMerge w:val="restart"/>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政府采购目录序号</w:t>
            </w:r>
          </w:p>
        </w:tc>
        <w:tc>
          <w:tcPr>
            <w:tcW w:w="924" w:type="dxa"/>
            <w:vMerge w:val="restart"/>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计量  单位</w:t>
            </w:r>
          </w:p>
        </w:tc>
        <w:tc>
          <w:tcPr>
            <w:tcW w:w="924" w:type="dxa"/>
            <w:vMerge w:val="restart"/>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数量</w:t>
            </w:r>
          </w:p>
        </w:tc>
        <w:tc>
          <w:tcPr>
            <w:tcW w:w="924" w:type="dxa"/>
            <w:vMerge w:val="restart"/>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单价</w:t>
            </w:r>
          </w:p>
        </w:tc>
        <w:tc>
          <w:tcPr>
            <w:tcW w:w="7392" w:type="dxa"/>
            <w:gridSpan w:val="8"/>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政府采购金额（当年部门预算安排资金）</w:t>
            </w:r>
          </w:p>
        </w:tc>
        <w:tc>
          <w:tcPr>
            <w:tcW w:w="924" w:type="dxa"/>
            <w:vMerge w:val="restart"/>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2"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项目名称</w:t>
            </w:r>
          </w:p>
        </w:tc>
        <w:tc>
          <w:tcPr>
            <w:tcW w:w="756"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预算    资金</w:t>
            </w:r>
          </w:p>
        </w:tc>
        <w:tc>
          <w:tcPr>
            <w:tcW w:w="924" w:type="dxa"/>
            <w:vMerge w:val="continue"/>
          </w:tcPr>
          <w:p>
            <w:pPr>
              <w:rPr>
                <w:rFonts w:ascii="方正仿宋简体" w:hAnsi="方正仿宋简体" w:eastAsia="方正仿宋简体" w:cs="方正仿宋简体"/>
              </w:rPr>
            </w:pPr>
          </w:p>
        </w:tc>
        <w:tc>
          <w:tcPr>
            <w:tcW w:w="924" w:type="dxa"/>
            <w:vMerge w:val="continue"/>
          </w:tcPr>
          <w:p>
            <w:pPr>
              <w:rPr>
                <w:rFonts w:ascii="方正仿宋简体" w:hAnsi="方正仿宋简体" w:eastAsia="方正仿宋简体" w:cs="方正仿宋简体"/>
              </w:rPr>
            </w:pPr>
          </w:p>
        </w:tc>
        <w:tc>
          <w:tcPr>
            <w:tcW w:w="924" w:type="dxa"/>
            <w:vMerge w:val="continue"/>
          </w:tcPr>
          <w:p>
            <w:pPr>
              <w:rPr>
                <w:rFonts w:ascii="方正仿宋简体" w:hAnsi="方正仿宋简体" w:eastAsia="方正仿宋简体" w:cs="方正仿宋简体"/>
              </w:rPr>
            </w:pPr>
          </w:p>
        </w:tc>
        <w:tc>
          <w:tcPr>
            <w:tcW w:w="924" w:type="dxa"/>
            <w:vMerge w:val="continue"/>
          </w:tcPr>
          <w:p>
            <w:pPr>
              <w:rPr>
                <w:rFonts w:ascii="方正仿宋简体" w:hAnsi="方正仿宋简体" w:eastAsia="方正仿宋简体" w:cs="方正仿宋简体"/>
              </w:rPr>
            </w:pPr>
          </w:p>
        </w:tc>
        <w:tc>
          <w:tcPr>
            <w:tcW w:w="924" w:type="dxa"/>
            <w:vMerge w:val="continue"/>
          </w:tcPr>
          <w:p>
            <w:pPr>
              <w:rPr>
                <w:rFonts w:ascii="方正仿宋简体" w:hAnsi="方正仿宋简体" w:eastAsia="方正仿宋简体" w:cs="方正仿宋简体"/>
              </w:rPr>
            </w:pPr>
          </w:p>
        </w:tc>
        <w:tc>
          <w:tcPr>
            <w:tcW w:w="924"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合计</w:t>
            </w:r>
          </w:p>
        </w:tc>
        <w:tc>
          <w:tcPr>
            <w:tcW w:w="924"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一般公共预算拨款</w:t>
            </w:r>
          </w:p>
        </w:tc>
        <w:tc>
          <w:tcPr>
            <w:tcW w:w="924"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基金预算拨款</w:t>
            </w:r>
          </w:p>
        </w:tc>
        <w:tc>
          <w:tcPr>
            <w:tcW w:w="924"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国有资本经营预算拨款</w:t>
            </w:r>
          </w:p>
        </w:tc>
        <w:tc>
          <w:tcPr>
            <w:tcW w:w="924"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财政专户核拨</w:t>
            </w:r>
          </w:p>
        </w:tc>
        <w:tc>
          <w:tcPr>
            <w:tcW w:w="924"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单位    资金</w:t>
            </w:r>
          </w:p>
        </w:tc>
        <w:tc>
          <w:tcPr>
            <w:tcW w:w="924"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财政拨    款结转</w:t>
            </w:r>
          </w:p>
        </w:tc>
        <w:tc>
          <w:tcPr>
            <w:tcW w:w="924" w:type="dxa"/>
            <w:vAlign w:val="center"/>
          </w:tcPr>
          <w:p>
            <w:pPr>
              <w:pStyle w:val="17"/>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非财政    拨款结    转结余</w:t>
            </w:r>
          </w:p>
        </w:tc>
        <w:tc>
          <w:tcPr>
            <w:tcW w:w="924" w:type="dxa"/>
            <w:vMerge w:val="continue"/>
          </w:tcPr>
          <w:p>
            <w:pPr>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2" w:type="dxa"/>
            <w:vAlign w:val="center"/>
          </w:tcPr>
          <w:p>
            <w:pPr>
              <w:pStyle w:val="21"/>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合  计</w:t>
            </w:r>
          </w:p>
        </w:tc>
        <w:tc>
          <w:tcPr>
            <w:tcW w:w="756" w:type="dxa"/>
            <w:vAlign w:val="center"/>
          </w:tcPr>
          <w:p>
            <w:pPr>
              <w:pStyle w:val="22"/>
              <w:rPr>
                <w:rFonts w:hint="default" w:ascii="方正仿宋简体" w:hAnsi="方正仿宋简体" w:eastAsia="方正仿宋简体" w:cs="方正仿宋简体"/>
                <w:b w:val="0"/>
                <w:sz w:val="24"/>
                <w:lang w:val="en-US" w:eastAsia="zh-CN"/>
              </w:rPr>
            </w:pPr>
            <w:r>
              <w:rPr>
                <w:rFonts w:hint="eastAsia" w:ascii="方正仿宋简体" w:hAnsi="方正仿宋简体" w:eastAsia="方正仿宋简体" w:cs="方正仿宋简体"/>
                <w:b w:val="0"/>
                <w:sz w:val="24"/>
                <w:lang w:val="en-US" w:eastAsia="zh-CN"/>
              </w:rPr>
              <w:t>0.85</w:t>
            </w:r>
          </w:p>
        </w:tc>
        <w:tc>
          <w:tcPr>
            <w:tcW w:w="924" w:type="dxa"/>
            <w:vAlign w:val="center"/>
          </w:tcPr>
          <w:p>
            <w:pPr>
              <w:pStyle w:val="23"/>
              <w:rPr>
                <w:rFonts w:ascii="方正仿宋简体" w:hAnsi="方正仿宋简体" w:eastAsia="方正仿宋简体" w:cs="方正仿宋简体"/>
                <w:b w:val="0"/>
                <w:sz w:val="24"/>
              </w:rPr>
            </w:pPr>
          </w:p>
        </w:tc>
        <w:tc>
          <w:tcPr>
            <w:tcW w:w="924" w:type="dxa"/>
            <w:vAlign w:val="center"/>
          </w:tcPr>
          <w:p>
            <w:pPr>
              <w:pStyle w:val="23"/>
              <w:rPr>
                <w:rFonts w:ascii="方正仿宋简体" w:hAnsi="方正仿宋简体" w:eastAsia="方正仿宋简体" w:cs="方正仿宋简体"/>
                <w:b w:val="0"/>
                <w:sz w:val="24"/>
              </w:rPr>
            </w:pPr>
          </w:p>
        </w:tc>
        <w:tc>
          <w:tcPr>
            <w:tcW w:w="924" w:type="dxa"/>
            <w:vAlign w:val="center"/>
          </w:tcPr>
          <w:p>
            <w:pPr>
              <w:pStyle w:val="21"/>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0.85</w:t>
            </w:r>
          </w:p>
        </w:tc>
        <w:tc>
          <w:tcPr>
            <w:tcW w:w="924" w:type="dxa"/>
            <w:vAlign w:val="center"/>
          </w:tcPr>
          <w:p>
            <w:pPr>
              <w:pStyle w:val="22"/>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0.85</w:t>
            </w: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2" w:type="dxa"/>
            <w:vAlign w:val="center"/>
          </w:tcPr>
          <w:p>
            <w:pPr>
              <w:pStyle w:val="21"/>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遵化市环境卫生管理中心小计</w:t>
            </w:r>
          </w:p>
        </w:tc>
        <w:tc>
          <w:tcPr>
            <w:tcW w:w="756" w:type="dxa"/>
            <w:vAlign w:val="center"/>
          </w:tcPr>
          <w:p>
            <w:pPr>
              <w:pStyle w:val="22"/>
              <w:rPr>
                <w:rFonts w:hint="default" w:ascii="方正仿宋简体" w:hAnsi="方正仿宋简体" w:eastAsia="方正仿宋简体" w:cs="方正仿宋简体"/>
                <w:b w:val="0"/>
                <w:sz w:val="24"/>
                <w:lang w:val="en-US" w:eastAsia="zh-CN"/>
              </w:rPr>
            </w:pPr>
            <w:r>
              <w:rPr>
                <w:rFonts w:hint="eastAsia" w:ascii="方正仿宋简体" w:hAnsi="方正仿宋简体" w:eastAsia="方正仿宋简体" w:cs="方正仿宋简体"/>
                <w:b w:val="0"/>
                <w:sz w:val="24"/>
                <w:lang w:val="en-US" w:eastAsia="zh-CN"/>
              </w:rPr>
              <w:t>0.85</w:t>
            </w:r>
          </w:p>
        </w:tc>
        <w:tc>
          <w:tcPr>
            <w:tcW w:w="924" w:type="dxa"/>
            <w:vAlign w:val="center"/>
          </w:tcPr>
          <w:p>
            <w:pPr>
              <w:pStyle w:val="23"/>
              <w:rPr>
                <w:rFonts w:ascii="方正仿宋简体" w:hAnsi="方正仿宋简体" w:eastAsia="方正仿宋简体" w:cs="方正仿宋简体"/>
                <w:b w:val="0"/>
                <w:sz w:val="24"/>
              </w:rPr>
            </w:pPr>
          </w:p>
        </w:tc>
        <w:tc>
          <w:tcPr>
            <w:tcW w:w="924" w:type="dxa"/>
            <w:vAlign w:val="center"/>
          </w:tcPr>
          <w:p>
            <w:pPr>
              <w:pStyle w:val="23"/>
              <w:rPr>
                <w:rFonts w:ascii="方正仿宋简体" w:hAnsi="方正仿宋简体" w:eastAsia="方正仿宋简体" w:cs="方正仿宋简体"/>
                <w:b w:val="0"/>
                <w:sz w:val="24"/>
              </w:rPr>
            </w:pPr>
          </w:p>
        </w:tc>
        <w:tc>
          <w:tcPr>
            <w:tcW w:w="924" w:type="dxa"/>
            <w:vAlign w:val="center"/>
          </w:tcPr>
          <w:p>
            <w:pPr>
              <w:pStyle w:val="21"/>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0.85</w:t>
            </w:r>
          </w:p>
        </w:tc>
        <w:tc>
          <w:tcPr>
            <w:tcW w:w="924" w:type="dxa"/>
            <w:vAlign w:val="center"/>
          </w:tcPr>
          <w:p>
            <w:pPr>
              <w:pStyle w:val="22"/>
              <w:rPr>
                <w:rFonts w:ascii="方正仿宋简体" w:hAnsi="方正仿宋简体" w:eastAsia="方正仿宋简体" w:cs="方正仿宋简体"/>
                <w:b w:val="0"/>
                <w:sz w:val="24"/>
              </w:rPr>
            </w:pPr>
            <w:r>
              <w:rPr>
                <w:rFonts w:hint="eastAsia" w:ascii="方正仿宋简体" w:hAnsi="方正仿宋简体" w:eastAsia="方正仿宋简体" w:cs="方正仿宋简体"/>
                <w:b w:val="0"/>
                <w:sz w:val="24"/>
              </w:rPr>
              <w:t>0.85</w:t>
            </w: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c>
          <w:tcPr>
            <w:tcW w:w="924" w:type="dxa"/>
            <w:vAlign w:val="center"/>
          </w:tcPr>
          <w:p>
            <w:pPr>
              <w:pStyle w:val="22"/>
              <w:rPr>
                <w:rFonts w:ascii="方正仿宋简体" w:hAnsi="方正仿宋简体" w:eastAsia="方正仿宋简体" w:cs="方正仿宋简体"/>
                <w:b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2" w:type="dxa"/>
            <w:vAlign w:val="center"/>
          </w:tcPr>
          <w:p>
            <w:pPr>
              <w:pStyle w:val="19"/>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安可计算机购置 </w:t>
            </w:r>
          </w:p>
        </w:tc>
        <w:tc>
          <w:tcPr>
            <w:tcW w:w="756"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0.85</w:t>
            </w:r>
          </w:p>
        </w:tc>
        <w:tc>
          <w:tcPr>
            <w:tcW w:w="924" w:type="dxa"/>
            <w:vAlign w:val="center"/>
          </w:tcPr>
          <w:p>
            <w:pPr>
              <w:pStyle w:val="19"/>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台式计算机</w:t>
            </w:r>
          </w:p>
        </w:tc>
        <w:tc>
          <w:tcPr>
            <w:tcW w:w="924" w:type="dxa"/>
            <w:vAlign w:val="center"/>
          </w:tcPr>
          <w:p>
            <w:pPr>
              <w:pStyle w:val="19"/>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A02010105</w:t>
            </w:r>
          </w:p>
        </w:tc>
        <w:tc>
          <w:tcPr>
            <w:tcW w:w="924" w:type="dxa"/>
            <w:vAlign w:val="center"/>
          </w:tcPr>
          <w:p>
            <w:pPr>
              <w:pStyle w:val="2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台</w:t>
            </w:r>
          </w:p>
        </w:tc>
        <w:tc>
          <w:tcPr>
            <w:tcW w:w="92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w:t>
            </w:r>
          </w:p>
        </w:tc>
        <w:tc>
          <w:tcPr>
            <w:tcW w:w="92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0.85</w:t>
            </w:r>
          </w:p>
        </w:tc>
        <w:tc>
          <w:tcPr>
            <w:tcW w:w="92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0.85</w:t>
            </w:r>
          </w:p>
        </w:tc>
        <w:tc>
          <w:tcPr>
            <w:tcW w:w="92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0.85</w:t>
            </w:r>
          </w:p>
        </w:tc>
        <w:tc>
          <w:tcPr>
            <w:tcW w:w="924" w:type="dxa"/>
            <w:vAlign w:val="center"/>
          </w:tcPr>
          <w:p>
            <w:pPr>
              <w:pStyle w:val="18"/>
              <w:rPr>
                <w:rFonts w:ascii="方正仿宋简体" w:hAnsi="方正仿宋简体" w:eastAsia="方正仿宋简体" w:cs="方正仿宋简体"/>
                <w:sz w:val="24"/>
              </w:rPr>
            </w:pPr>
          </w:p>
        </w:tc>
        <w:tc>
          <w:tcPr>
            <w:tcW w:w="924" w:type="dxa"/>
            <w:vAlign w:val="center"/>
          </w:tcPr>
          <w:p>
            <w:pPr>
              <w:pStyle w:val="18"/>
              <w:rPr>
                <w:rFonts w:ascii="方正仿宋简体" w:hAnsi="方正仿宋简体" w:eastAsia="方正仿宋简体" w:cs="方正仿宋简体"/>
                <w:sz w:val="24"/>
              </w:rPr>
            </w:pPr>
          </w:p>
        </w:tc>
        <w:tc>
          <w:tcPr>
            <w:tcW w:w="924" w:type="dxa"/>
            <w:vAlign w:val="center"/>
          </w:tcPr>
          <w:p>
            <w:pPr>
              <w:pStyle w:val="18"/>
              <w:rPr>
                <w:rFonts w:ascii="方正仿宋简体" w:hAnsi="方正仿宋简体" w:eastAsia="方正仿宋简体" w:cs="方正仿宋简体"/>
                <w:sz w:val="24"/>
              </w:rPr>
            </w:pPr>
          </w:p>
        </w:tc>
        <w:tc>
          <w:tcPr>
            <w:tcW w:w="924" w:type="dxa"/>
            <w:vAlign w:val="center"/>
          </w:tcPr>
          <w:p>
            <w:pPr>
              <w:pStyle w:val="18"/>
              <w:rPr>
                <w:rFonts w:ascii="方正仿宋简体" w:hAnsi="方正仿宋简体" w:eastAsia="方正仿宋简体" w:cs="方正仿宋简体"/>
                <w:sz w:val="24"/>
              </w:rPr>
            </w:pPr>
          </w:p>
        </w:tc>
        <w:tc>
          <w:tcPr>
            <w:tcW w:w="924" w:type="dxa"/>
            <w:vAlign w:val="center"/>
          </w:tcPr>
          <w:p>
            <w:pPr>
              <w:pStyle w:val="18"/>
              <w:rPr>
                <w:rFonts w:ascii="方正仿宋简体" w:hAnsi="方正仿宋简体" w:eastAsia="方正仿宋简体" w:cs="方正仿宋简体"/>
                <w:sz w:val="24"/>
              </w:rPr>
            </w:pPr>
          </w:p>
        </w:tc>
        <w:tc>
          <w:tcPr>
            <w:tcW w:w="924" w:type="dxa"/>
            <w:vAlign w:val="center"/>
          </w:tcPr>
          <w:p>
            <w:pPr>
              <w:pStyle w:val="18"/>
              <w:rPr>
                <w:rFonts w:ascii="方正仿宋简体" w:hAnsi="方正仿宋简体" w:eastAsia="方正仿宋简体" w:cs="方正仿宋简体"/>
                <w:sz w:val="24"/>
              </w:rPr>
            </w:pPr>
          </w:p>
        </w:tc>
        <w:tc>
          <w:tcPr>
            <w:tcW w:w="924" w:type="dxa"/>
            <w:vAlign w:val="center"/>
          </w:tcPr>
          <w:p>
            <w:pPr>
              <w:pStyle w:val="18"/>
              <w:rPr>
                <w:rFonts w:ascii="方正仿宋简体" w:hAnsi="方正仿宋简体" w:eastAsia="方正仿宋简体" w:cs="方正仿宋简体"/>
                <w:sz w:val="24"/>
              </w:rPr>
            </w:pPr>
          </w:p>
        </w:tc>
      </w:tr>
    </w:tbl>
    <w:p>
      <w:pPr>
        <w:spacing w:line="500" w:lineRule="exact"/>
        <w:ind w:firstLine="420"/>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color w:val="000000"/>
        </w:rPr>
        <w:t>注：同一采购目录序号的物品，其单价会因配置规格不同而变动，均符合资产配置标准。涉密采购事项按照相关规定执行。</w:t>
      </w:r>
    </w:p>
    <w:p>
      <w:pPr>
        <w:widowControl w:val="0"/>
        <w:spacing w:line="560" w:lineRule="exact"/>
        <w:rPr>
          <w:rFonts w:ascii="方正黑体简体" w:hAnsi="方正黑体简体" w:eastAsia="方正黑体简体" w:cs="方正黑体简体"/>
          <w:kern w:val="2"/>
          <w:sz w:val="32"/>
          <w:szCs w:val="32"/>
          <w:lang w:eastAsia="zh-CN"/>
        </w:rPr>
      </w:pPr>
      <w:r>
        <w:rPr>
          <w:rFonts w:hint="eastAsia" w:ascii="方正黑体简体" w:hAnsi="宋体" w:eastAsia="方正黑体简体"/>
          <w:sz w:val="32"/>
          <w:szCs w:val="32"/>
          <w:lang w:eastAsia="zh-CN"/>
        </w:rPr>
        <w:t xml:space="preserve">      </w:t>
      </w:r>
      <w:r>
        <w:rPr>
          <w:rFonts w:hint="eastAsia" w:ascii="方正黑体简体" w:hAnsi="方正黑体简体" w:eastAsia="方正黑体简体" w:cs="方正黑体简体"/>
          <w:kern w:val="2"/>
          <w:sz w:val="32"/>
          <w:szCs w:val="32"/>
          <w:lang w:eastAsia="zh-CN"/>
        </w:rPr>
        <w:t>七、国有资产信息</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遵化市环境卫生管理中心上年末固定资产金额为2589.51万元（详见下表）。本年度拟购置固定资产总额为0</w:t>
      </w:r>
      <w:r>
        <w:rPr>
          <w:rFonts w:hint="eastAsia" w:ascii="方正仿宋简体" w:hAnsi="楷体" w:eastAsia="方正仿宋简体" w:cs="楷体"/>
          <w:sz w:val="32"/>
          <w:szCs w:val="32"/>
          <w:lang w:eastAsia="zh-CN"/>
        </w:rPr>
        <w:t>.85</w:t>
      </w:r>
      <w:r>
        <w:rPr>
          <w:rFonts w:hint="eastAsia" w:ascii="方正仿宋简体" w:hAnsi="楷体" w:eastAsia="方正仿宋简体" w:cs="楷体"/>
          <w:sz w:val="32"/>
          <w:szCs w:val="32"/>
        </w:rPr>
        <w:t>万元，已按要求列入政府采购预算，详见政府采购预算表。</w:t>
      </w:r>
    </w:p>
    <w:p>
      <w:pPr>
        <w:jc w:val="center"/>
        <w:rPr>
          <w:rFonts w:hint="eastAsia" w:ascii="方正仿宋简体" w:hAnsi="方正仿宋简体" w:eastAsia="方正仿宋简体" w:cs="方正仿宋简体"/>
          <w:color w:val="000000"/>
          <w:sz w:val="32"/>
          <w:szCs w:val="32"/>
        </w:rPr>
      </w:pPr>
    </w:p>
    <w:p>
      <w:pPr>
        <w:jc w:val="center"/>
        <w:rPr>
          <w:rFonts w:hint="eastAsia" w:ascii="方正仿宋简体" w:hAnsi="方正仿宋简体" w:eastAsia="方正仿宋简体" w:cs="方正仿宋简体"/>
          <w:color w:val="000000"/>
          <w:sz w:val="32"/>
          <w:szCs w:val="32"/>
        </w:rPr>
      </w:pPr>
    </w:p>
    <w:p>
      <w:pPr>
        <w:jc w:val="center"/>
        <w:rPr>
          <w:rFonts w:hint="eastAsia" w:ascii="方正仿宋简体" w:hAnsi="方正仿宋简体" w:eastAsia="方正仿宋简体" w:cs="方正仿宋简体"/>
          <w:color w:val="000000"/>
          <w:sz w:val="32"/>
          <w:szCs w:val="32"/>
        </w:rPr>
      </w:pPr>
    </w:p>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6"/>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656002遵化市环境卫生管理中心</w:t>
            </w:r>
          </w:p>
        </w:tc>
        <w:tc>
          <w:tcPr>
            <w:tcW w:w="9866" w:type="dxa"/>
            <w:gridSpan w:val="2"/>
            <w:tcBorders>
              <w:top w:val="single" w:color="FFFFFF" w:sz="6" w:space="0"/>
              <w:left w:val="single" w:color="FFFFFF" w:sz="6" w:space="0"/>
              <w:right w:val="single" w:color="FFFFFF" w:sz="6" w:space="0"/>
            </w:tcBorders>
            <w:vAlign w:val="center"/>
          </w:tcPr>
          <w:p>
            <w:pPr>
              <w:pStyle w:val="1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项   目</w:t>
            </w:r>
          </w:p>
        </w:tc>
        <w:tc>
          <w:tcPr>
            <w:tcW w:w="4933"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数量</w:t>
            </w:r>
          </w:p>
        </w:tc>
        <w:tc>
          <w:tcPr>
            <w:tcW w:w="4933" w:type="dxa"/>
            <w:vAlign w:val="center"/>
          </w:tcPr>
          <w:p>
            <w:pPr>
              <w:pStyle w:val="17"/>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资产总额</w:t>
            </w:r>
          </w:p>
        </w:tc>
        <w:tc>
          <w:tcPr>
            <w:tcW w:w="4933" w:type="dxa"/>
            <w:vAlign w:val="center"/>
          </w:tcPr>
          <w:p>
            <w:pPr>
              <w:pStyle w:val="20"/>
              <w:rPr>
                <w:rFonts w:ascii="方正仿宋简体" w:hAnsi="方正仿宋简体" w:eastAsia="方正仿宋简体" w:cs="方正仿宋简体"/>
                <w:sz w:val="32"/>
                <w:szCs w:val="32"/>
              </w:rPr>
            </w:pP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2589.51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1、房屋（平方米）</w:t>
            </w:r>
          </w:p>
        </w:tc>
        <w:tc>
          <w:tcPr>
            <w:tcW w:w="4933"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796</w:t>
            </w: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其中：办公用房（平方米）</w:t>
            </w:r>
          </w:p>
        </w:tc>
        <w:tc>
          <w:tcPr>
            <w:tcW w:w="4933"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796</w:t>
            </w: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2、车辆（台、辆）</w:t>
            </w:r>
          </w:p>
        </w:tc>
        <w:tc>
          <w:tcPr>
            <w:tcW w:w="4933" w:type="dxa"/>
            <w:vAlign w:val="center"/>
          </w:tcPr>
          <w:p>
            <w:pPr>
              <w:pStyle w:val="2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23</w:t>
            </w: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597.11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3、单价在20万元以上的设备</w:t>
            </w:r>
          </w:p>
        </w:tc>
        <w:tc>
          <w:tcPr>
            <w:tcW w:w="4933" w:type="dxa"/>
            <w:vAlign w:val="center"/>
          </w:tcPr>
          <w:p>
            <w:pPr>
              <w:pStyle w:val="20"/>
              <w:rPr>
                <w:rFonts w:ascii="方正仿宋简体" w:hAnsi="方正仿宋简体" w:eastAsia="方正仿宋简体" w:cs="方正仿宋简体"/>
                <w:sz w:val="32"/>
                <w:szCs w:val="32"/>
              </w:rPr>
            </w:pPr>
          </w:p>
        </w:tc>
        <w:tc>
          <w:tcPr>
            <w:tcW w:w="4933" w:type="dxa"/>
            <w:vAlign w:val="center"/>
          </w:tcPr>
          <w:p>
            <w:pPr>
              <w:pStyle w:val="18"/>
              <w:rPr>
                <w:rFonts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4、其他固定资产</w:t>
            </w:r>
          </w:p>
        </w:tc>
        <w:tc>
          <w:tcPr>
            <w:tcW w:w="4933" w:type="dxa"/>
            <w:vAlign w:val="center"/>
          </w:tcPr>
          <w:p>
            <w:pPr>
              <w:pStyle w:val="20"/>
              <w:rPr>
                <w:rFonts w:ascii="方正仿宋简体" w:hAnsi="方正仿宋简体" w:eastAsia="方正仿宋简体" w:cs="方正仿宋简体"/>
                <w:sz w:val="32"/>
                <w:szCs w:val="32"/>
              </w:rPr>
            </w:pPr>
          </w:p>
        </w:tc>
        <w:tc>
          <w:tcPr>
            <w:tcW w:w="4933" w:type="dxa"/>
            <w:vAlign w:val="center"/>
          </w:tcPr>
          <w:p>
            <w:pPr>
              <w:pStyle w:val="18"/>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1972.40</w:t>
            </w:r>
          </w:p>
        </w:tc>
      </w:tr>
    </w:tbl>
    <w:p>
      <w:pPr>
        <w:ind w:firstLine="640"/>
      </w:pPr>
    </w:p>
    <w:p>
      <w:pPr>
        <w:widowControl w:val="0"/>
        <w:spacing w:line="56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八、名词解释</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1、一般公共预算拨款收入：指</w:t>
      </w:r>
      <w:r>
        <w:rPr>
          <w:rFonts w:hint="eastAsia" w:ascii="方正仿宋简体" w:hAnsi="楷体" w:eastAsia="方正仿宋简体" w:cs="楷体"/>
          <w:sz w:val="32"/>
          <w:szCs w:val="32"/>
          <w:lang w:eastAsia="zh-CN"/>
        </w:rPr>
        <w:t>市</w:t>
      </w:r>
      <w:r>
        <w:rPr>
          <w:rFonts w:hint="eastAsia" w:ascii="方正仿宋简体" w:hAnsi="楷体" w:eastAsia="方正仿宋简体" w:cs="楷体"/>
          <w:sz w:val="32"/>
          <w:szCs w:val="32"/>
        </w:rPr>
        <w:t>级财政当年拨付的资金。</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2、事业收入：指事业单位开展专业业务活动及辅助活动所取得的收入。</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3、其他收入：指除“一般公共预算拨款收入”、“事业收入”等以外的收入。主要是按规定动用的租房收入、存款利息收入等。</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4、基本支出：指为保障机构正常运转、完成日常工作任务而发生的人员支出和公用支出。</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5、项目支出：指在基本支出之外为完成特定行政任务和事业发展目标所发生的支出。</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6、上缴上级支出：指下级单位上缴上级的支出。</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7、“三公”经费：纳入</w:t>
      </w:r>
      <w:r>
        <w:rPr>
          <w:rFonts w:hint="eastAsia" w:ascii="方正仿宋简体" w:hAnsi="楷体" w:eastAsia="方正仿宋简体" w:cs="楷体"/>
          <w:sz w:val="32"/>
          <w:szCs w:val="32"/>
          <w:lang w:eastAsia="zh-CN"/>
        </w:rPr>
        <w:t>市</w:t>
      </w:r>
      <w:r>
        <w:rPr>
          <w:rFonts w:hint="eastAsia" w:ascii="方正仿宋简体" w:hAnsi="楷体" w:eastAsia="方正仿宋简体" w:cs="楷体"/>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9、上年结转：指以前年度尚未完成、结转到本年仍按原规定用途继续使用的资金。</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10、事业单位经营支出：指事业单位在专业业务活动及其辅助活动之外开展非独立核算经营活动发生的支出。</w:t>
      </w:r>
    </w:p>
    <w:p>
      <w:pPr>
        <w:widowControl w:val="0"/>
        <w:spacing w:line="560" w:lineRule="exac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九、其他需要说明的事项</w:t>
      </w:r>
    </w:p>
    <w:p>
      <w:pPr>
        <w:spacing w:line="570" w:lineRule="exact"/>
        <w:ind w:firstLine="640"/>
        <w:rPr>
          <w:rFonts w:ascii="方正仿宋简体" w:hAnsi="楷体" w:eastAsia="方正仿宋简体" w:cs="楷体"/>
          <w:sz w:val="32"/>
          <w:szCs w:val="32"/>
        </w:rPr>
      </w:pPr>
      <w:r>
        <w:rPr>
          <w:rFonts w:hint="eastAsia" w:ascii="方正仿宋简体" w:hAnsi="楷体" w:eastAsia="方正仿宋简体" w:cs="楷体"/>
          <w:sz w:val="32"/>
          <w:szCs w:val="32"/>
        </w:rPr>
        <w:t>我单位无其他需要说明的事项。</w:t>
      </w:r>
    </w:p>
    <w:p>
      <w:pPr>
        <w:spacing w:line="500" w:lineRule="exact"/>
        <w:ind w:firstLine="560"/>
        <w:rPr>
          <w:rFonts w:eastAsia="方正仿宋_GBK" w:cs="Times New Roman"/>
          <w:color w:val="000000"/>
          <w:sz w:val="28"/>
          <w:lang w:eastAsia="zh-CN"/>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630EE9-C527-48A4-ADF8-A55A65F525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7753AE6-EC5E-49DA-AB75-BA8B37F90209}"/>
  </w:font>
  <w:font w:name="方正仿宋_GBK">
    <w:panose1 w:val="02000000000000000000"/>
    <w:charset w:val="86"/>
    <w:family w:val="auto"/>
    <w:pitch w:val="default"/>
    <w:sig w:usb0="A00002BF" w:usb1="38CF7CFA" w:usb2="00082016" w:usb3="00000000" w:csb0="00040001" w:csb1="00000000"/>
    <w:embedRegular r:id="rId3" w:fontKey="{BAAA1BA3-C9C6-4326-8CAF-4EF413F5830A}"/>
  </w:font>
  <w:font w:name="方正小标宋_GBK">
    <w:panose1 w:val="02000000000000000000"/>
    <w:charset w:val="86"/>
    <w:family w:val="auto"/>
    <w:pitch w:val="default"/>
    <w:sig w:usb0="A00002BF" w:usb1="38CF7CFA" w:usb2="00082016" w:usb3="00000000" w:csb0="00040001" w:csb1="00000000"/>
    <w:embedRegular r:id="rId4" w:fontKey="{882E84DB-5305-4FD0-ADA6-3B9CEE709A4C}"/>
  </w:font>
  <w:font w:name="方正书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00" w:usb3="00000000" w:csb0="00040000" w:csb1="00000000"/>
    <w:embedRegular r:id="rId5" w:fontKey="{71223857-9ECB-4F08-87E6-1467D68CD428}"/>
  </w:font>
  <w:font w:name="方正仿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6" w:fontKey="{17E012F0-EF54-4E4C-A14D-EB5B9C1451B8}"/>
  </w:font>
  <w:font w:name="方正黑体简体">
    <w:panose1 w:val="03000509000000000000"/>
    <w:charset w:val="86"/>
    <w:family w:val="script"/>
    <w:pitch w:val="default"/>
    <w:sig w:usb0="00000001" w:usb1="080E0000" w:usb2="00000000" w:usb3="00000000" w:csb0="00040000" w:csb1="00000000"/>
    <w:embedRegular r:id="rId7" w:fontKey="{2730B646-DA91-499F-A20C-65440F027488}"/>
  </w:font>
  <w:font w:name="方正楷体简体">
    <w:panose1 w:val="03000509000000000000"/>
    <w:charset w:val="86"/>
    <w:family w:val="auto"/>
    <w:pitch w:val="default"/>
    <w:sig w:usb0="00000001" w:usb1="080E0000" w:usb2="00000000" w:usb3="00000000" w:csb0="00040000" w:csb1="00000000"/>
    <w:embedRegular r:id="rId8" w:fontKey="{531549D1-043D-455E-B3E0-EFF01DB33CD8}"/>
  </w:font>
  <w:font w:name="楷体">
    <w:panose1 w:val="02010609060101010101"/>
    <w:charset w:val="86"/>
    <w:family w:val="modern"/>
    <w:pitch w:val="default"/>
    <w:sig w:usb0="800002BF" w:usb1="38CF7CFA" w:usb2="00000016" w:usb3="00000000" w:csb0="00040001" w:csb1="00000000"/>
    <w:embedRegular r:id="rId9" w:fontKey="{C4BA04A3-17E6-4E35-8A27-F2B5E18C544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3340"/>
        <w:tab w:val="right" w:pos="14920"/>
      </w:tabs>
    </w:pPr>
    <w:r>
      <w:rPr>
        <w:sz w:val="24"/>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3082" o:spid="_x0000_s3082"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3083" o:spid="_x0000_s3083"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101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r>
      <w:rPr>
        <w:sz w:val="24"/>
      </w:rPr>
      <w:pict>
        <v:shape id="_x0000_s3084" o:spid="_x0000_s3084"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3076" o:spid="_x0000_s307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3077" o:spid="_x0000_s3077"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57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3078" o:spid="_x0000_s307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58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3079" o:spid="_x0000_s307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61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3080" o:spid="_x0000_s308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62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3081" o:spid="_x0000_s3081"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54D66"/>
    <w:multiLevelType w:val="singleLevel"/>
    <w:tmpl w:val="3A254D66"/>
    <w:lvl w:ilvl="0" w:tentative="0">
      <w:start w:val="1"/>
      <w:numFmt w:val="chineseCounting"/>
      <w:suff w:val="nothing"/>
      <w:lvlText w:val="（%1）"/>
      <w:lvlJc w:val="left"/>
      <w:rPr>
        <w:rFonts w:hint="eastAsia"/>
      </w:rPr>
    </w:lvl>
  </w:abstractNum>
  <w:abstractNum w:abstractNumId="1">
    <w:nsid w:val="4E2BD667"/>
    <w:multiLevelType w:val="singleLevel"/>
    <w:tmpl w:val="4E2BD66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GrammaticalErrors/>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docVars>
    <w:docVar w:name="commondata" w:val="eyJoZGlkIjoiOTU1MjBlNWFkYzMzNTI4NzVkYTEwMGViOTdjMzg5MzEifQ=="/>
  </w:docVars>
  <w:rsids>
    <w:rsidRoot w:val="00AA39F8"/>
    <w:rsid w:val="000D4CEC"/>
    <w:rsid w:val="001725AF"/>
    <w:rsid w:val="001B729B"/>
    <w:rsid w:val="002D0049"/>
    <w:rsid w:val="003929E6"/>
    <w:rsid w:val="003B2E92"/>
    <w:rsid w:val="003D7D01"/>
    <w:rsid w:val="00606C16"/>
    <w:rsid w:val="00686BAF"/>
    <w:rsid w:val="006E2599"/>
    <w:rsid w:val="007A3D2A"/>
    <w:rsid w:val="007F0212"/>
    <w:rsid w:val="00870068"/>
    <w:rsid w:val="008C7DFA"/>
    <w:rsid w:val="00927D36"/>
    <w:rsid w:val="00974584"/>
    <w:rsid w:val="00AA159B"/>
    <w:rsid w:val="00AA39F8"/>
    <w:rsid w:val="00CC5E34"/>
    <w:rsid w:val="00D230FA"/>
    <w:rsid w:val="00DC6889"/>
    <w:rsid w:val="00EE1A86"/>
    <w:rsid w:val="00EF130F"/>
    <w:rsid w:val="00F30074"/>
    <w:rsid w:val="00F962B3"/>
    <w:rsid w:val="018F5263"/>
    <w:rsid w:val="038D76E4"/>
    <w:rsid w:val="05FD577C"/>
    <w:rsid w:val="073B5CFA"/>
    <w:rsid w:val="0BDE3F64"/>
    <w:rsid w:val="0D085B3C"/>
    <w:rsid w:val="0D8B4124"/>
    <w:rsid w:val="0E324516"/>
    <w:rsid w:val="0E3A49AA"/>
    <w:rsid w:val="0F8D1823"/>
    <w:rsid w:val="12E31EBE"/>
    <w:rsid w:val="13D05A06"/>
    <w:rsid w:val="1463113E"/>
    <w:rsid w:val="1485395A"/>
    <w:rsid w:val="184F09C9"/>
    <w:rsid w:val="1C744D56"/>
    <w:rsid w:val="1D4D28D2"/>
    <w:rsid w:val="1EAE614D"/>
    <w:rsid w:val="1F1E3A62"/>
    <w:rsid w:val="2182430A"/>
    <w:rsid w:val="21875FCD"/>
    <w:rsid w:val="23C54504"/>
    <w:rsid w:val="242048C7"/>
    <w:rsid w:val="24DF114F"/>
    <w:rsid w:val="286C3BC9"/>
    <w:rsid w:val="2A09220D"/>
    <w:rsid w:val="2C4B775A"/>
    <w:rsid w:val="2E244A66"/>
    <w:rsid w:val="31644AAF"/>
    <w:rsid w:val="316640EC"/>
    <w:rsid w:val="31FB693D"/>
    <w:rsid w:val="324427FA"/>
    <w:rsid w:val="331A7FAD"/>
    <w:rsid w:val="33740021"/>
    <w:rsid w:val="33B67AD7"/>
    <w:rsid w:val="370C2915"/>
    <w:rsid w:val="37586ADD"/>
    <w:rsid w:val="38C317E7"/>
    <w:rsid w:val="3994050F"/>
    <w:rsid w:val="39B76D0B"/>
    <w:rsid w:val="39D07618"/>
    <w:rsid w:val="39DF748F"/>
    <w:rsid w:val="3A6B6919"/>
    <w:rsid w:val="3C035D55"/>
    <w:rsid w:val="3C9A0688"/>
    <w:rsid w:val="3DB77264"/>
    <w:rsid w:val="3EF430AC"/>
    <w:rsid w:val="3FCC624E"/>
    <w:rsid w:val="40AF0120"/>
    <w:rsid w:val="428275C3"/>
    <w:rsid w:val="441972DA"/>
    <w:rsid w:val="46C27A81"/>
    <w:rsid w:val="49085245"/>
    <w:rsid w:val="4A79385F"/>
    <w:rsid w:val="4ADA0BE6"/>
    <w:rsid w:val="4D592E6A"/>
    <w:rsid w:val="4E5532C9"/>
    <w:rsid w:val="4F72032D"/>
    <w:rsid w:val="4FF717F8"/>
    <w:rsid w:val="51073422"/>
    <w:rsid w:val="513317D2"/>
    <w:rsid w:val="518D6B02"/>
    <w:rsid w:val="5233158F"/>
    <w:rsid w:val="536F4DC4"/>
    <w:rsid w:val="577F6F44"/>
    <w:rsid w:val="582D738C"/>
    <w:rsid w:val="59221A33"/>
    <w:rsid w:val="59390B27"/>
    <w:rsid w:val="597F1D7D"/>
    <w:rsid w:val="59C75A5B"/>
    <w:rsid w:val="5B1509A5"/>
    <w:rsid w:val="5BC3645C"/>
    <w:rsid w:val="5C5C75E7"/>
    <w:rsid w:val="5D2E2753"/>
    <w:rsid w:val="5E800017"/>
    <w:rsid w:val="5E983640"/>
    <w:rsid w:val="5EE42CEA"/>
    <w:rsid w:val="617B7650"/>
    <w:rsid w:val="62DD7D21"/>
    <w:rsid w:val="65002803"/>
    <w:rsid w:val="65CD66B9"/>
    <w:rsid w:val="65DC2E12"/>
    <w:rsid w:val="66681FF2"/>
    <w:rsid w:val="686D2056"/>
    <w:rsid w:val="69A474FA"/>
    <w:rsid w:val="6B1F5E90"/>
    <w:rsid w:val="6D601515"/>
    <w:rsid w:val="6E1F7AA9"/>
    <w:rsid w:val="6E502BF4"/>
    <w:rsid w:val="6F8C71E1"/>
    <w:rsid w:val="70F830E5"/>
    <w:rsid w:val="72802C82"/>
    <w:rsid w:val="72AA6017"/>
    <w:rsid w:val="745054F3"/>
    <w:rsid w:val="747F2A7F"/>
    <w:rsid w:val="74A11420"/>
    <w:rsid w:val="74E20866"/>
    <w:rsid w:val="75330480"/>
    <w:rsid w:val="75992EA8"/>
    <w:rsid w:val="75C06A3C"/>
    <w:rsid w:val="766A33A3"/>
    <w:rsid w:val="770333ED"/>
    <w:rsid w:val="77F63B43"/>
    <w:rsid w:val="78CD334F"/>
    <w:rsid w:val="7CB17BED"/>
    <w:rsid w:val="7DD75B29"/>
    <w:rsid w:val="7E712485"/>
    <w:rsid w:val="7E785BB8"/>
    <w:rsid w:val="7F9E0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autoRedefine/>
    <w:qFormat/>
    <w:uiPriority w:val="0"/>
    <w:pPr>
      <w:spacing w:before="120"/>
      <w:ind w:firstLine="560"/>
    </w:pPr>
    <w:rPr>
      <w:rFonts w:eastAsia="方正仿宋_GBK" w:cs="Times New Roman"/>
      <w:color w:val="000000"/>
      <w:sz w:val="28"/>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2.xml"/><Relationship Id="rId98" Type="http://schemas.openxmlformats.org/officeDocument/2006/relationships/customXml" Target="../customXml/item81.xml"/><Relationship Id="rId97" Type="http://schemas.openxmlformats.org/officeDocument/2006/relationships/customXml" Target="../customXml/item80.xml"/><Relationship Id="rId96" Type="http://schemas.openxmlformats.org/officeDocument/2006/relationships/customXml" Target="../customXml/item79.xml"/><Relationship Id="rId95" Type="http://schemas.openxmlformats.org/officeDocument/2006/relationships/customXml" Target="../customXml/item78.xml"/><Relationship Id="rId94" Type="http://schemas.openxmlformats.org/officeDocument/2006/relationships/customXml" Target="../customXml/item77.xml"/><Relationship Id="rId93" Type="http://schemas.openxmlformats.org/officeDocument/2006/relationships/customXml" Target="../customXml/item76.xml"/><Relationship Id="rId92" Type="http://schemas.openxmlformats.org/officeDocument/2006/relationships/customXml" Target="../customXml/item75.xml"/><Relationship Id="rId91" Type="http://schemas.openxmlformats.org/officeDocument/2006/relationships/customXml" Target="../customXml/item74.xml"/><Relationship Id="rId90" Type="http://schemas.openxmlformats.org/officeDocument/2006/relationships/customXml" Target="../customXml/item73.xml"/><Relationship Id="rId9" Type="http://schemas.openxmlformats.org/officeDocument/2006/relationships/header" Target="header1.xml"/><Relationship Id="rId89" Type="http://schemas.openxmlformats.org/officeDocument/2006/relationships/customXml" Target="../customXml/item72.xml"/><Relationship Id="rId88" Type="http://schemas.openxmlformats.org/officeDocument/2006/relationships/customXml" Target="../customXml/item71.xml"/><Relationship Id="rId87" Type="http://schemas.openxmlformats.org/officeDocument/2006/relationships/customXml" Target="../customXml/item70.xml"/><Relationship Id="rId86" Type="http://schemas.openxmlformats.org/officeDocument/2006/relationships/customXml" Target="../customXml/item69.xml"/><Relationship Id="rId85" Type="http://schemas.openxmlformats.org/officeDocument/2006/relationships/customXml" Target="../customXml/item68.xml"/><Relationship Id="rId84" Type="http://schemas.openxmlformats.org/officeDocument/2006/relationships/customXml" Target="../customXml/item67.xml"/><Relationship Id="rId83" Type="http://schemas.openxmlformats.org/officeDocument/2006/relationships/customXml" Target="../customXml/item66.xml"/><Relationship Id="rId82" Type="http://schemas.openxmlformats.org/officeDocument/2006/relationships/customXml" Target="../customXml/item65.xml"/><Relationship Id="rId81" Type="http://schemas.openxmlformats.org/officeDocument/2006/relationships/customXml" Target="../customXml/item64.xml"/><Relationship Id="rId80" Type="http://schemas.openxmlformats.org/officeDocument/2006/relationships/customXml" Target="../customXml/item63.xml"/><Relationship Id="rId8" Type="http://schemas.openxmlformats.org/officeDocument/2006/relationships/footer" Target="footer6.xml"/><Relationship Id="rId79" Type="http://schemas.openxmlformats.org/officeDocument/2006/relationships/customXml" Target="../customXml/item62.xml"/><Relationship Id="rId78" Type="http://schemas.openxmlformats.org/officeDocument/2006/relationships/customXml" Target="../customXml/item61.xml"/><Relationship Id="rId77" Type="http://schemas.openxmlformats.org/officeDocument/2006/relationships/customXml" Target="../customXml/item60.xml"/><Relationship Id="rId76" Type="http://schemas.openxmlformats.org/officeDocument/2006/relationships/customXml" Target="../customXml/item59.xml"/><Relationship Id="rId75" Type="http://schemas.openxmlformats.org/officeDocument/2006/relationships/customXml" Target="../customXml/item58.xml"/><Relationship Id="rId74" Type="http://schemas.openxmlformats.org/officeDocument/2006/relationships/customXml" Target="../customXml/item57.xml"/><Relationship Id="rId73" Type="http://schemas.openxmlformats.org/officeDocument/2006/relationships/customXml" Target="../customXml/item56.xml"/><Relationship Id="rId72" Type="http://schemas.openxmlformats.org/officeDocument/2006/relationships/customXml" Target="../customXml/item55.xml"/><Relationship Id="rId71" Type="http://schemas.openxmlformats.org/officeDocument/2006/relationships/customXml" Target="../customXml/item54.xml"/><Relationship Id="rId70" Type="http://schemas.openxmlformats.org/officeDocument/2006/relationships/customXml" Target="../customXml/item53.xml"/><Relationship Id="rId7" Type="http://schemas.openxmlformats.org/officeDocument/2006/relationships/footer" Target="footer5.xml"/><Relationship Id="rId69" Type="http://schemas.openxmlformats.org/officeDocument/2006/relationships/customXml" Target="../customXml/item52.xml"/><Relationship Id="rId68" Type="http://schemas.openxmlformats.org/officeDocument/2006/relationships/customXml" Target="../customXml/item51.xml"/><Relationship Id="rId67" Type="http://schemas.openxmlformats.org/officeDocument/2006/relationships/customXml" Target="../customXml/item50.xml"/><Relationship Id="rId66" Type="http://schemas.openxmlformats.org/officeDocument/2006/relationships/customXml" Target="../customXml/item49.xml"/><Relationship Id="rId65" Type="http://schemas.openxmlformats.org/officeDocument/2006/relationships/customXml" Target="../customXml/item48.xml"/><Relationship Id="rId64" Type="http://schemas.openxmlformats.org/officeDocument/2006/relationships/customXml" Target="../customXml/item47.xml"/><Relationship Id="rId63" Type="http://schemas.openxmlformats.org/officeDocument/2006/relationships/customXml" Target="../customXml/item46.xml"/><Relationship Id="rId62" Type="http://schemas.openxmlformats.org/officeDocument/2006/relationships/customXml" Target="../customXml/item45.xml"/><Relationship Id="rId61" Type="http://schemas.openxmlformats.org/officeDocument/2006/relationships/customXml" Target="../customXml/item44.xml"/><Relationship Id="rId60" Type="http://schemas.openxmlformats.org/officeDocument/2006/relationships/customXml" Target="../customXml/item43.xml"/><Relationship Id="rId6" Type="http://schemas.openxmlformats.org/officeDocument/2006/relationships/footer" Target="footer4.xml"/><Relationship Id="rId59" Type="http://schemas.openxmlformats.org/officeDocument/2006/relationships/customXml" Target="../customXml/item42.xml"/><Relationship Id="rId58" Type="http://schemas.openxmlformats.org/officeDocument/2006/relationships/customXml" Target="../customXml/item41.xml"/><Relationship Id="rId57" Type="http://schemas.openxmlformats.org/officeDocument/2006/relationships/customXml" Target="../customXml/item40.xml"/><Relationship Id="rId56" Type="http://schemas.openxmlformats.org/officeDocument/2006/relationships/customXml" Target="../customXml/item39.xml"/><Relationship Id="rId55" Type="http://schemas.openxmlformats.org/officeDocument/2006/relationships/customXml" Target="../customXml/item38.xml"/><Relationship Id="rId54" Type="http://schemas.openxmlformats.org/officeDocument/2006/relationships/customXml" Target="../customXml/item37.xml"/><Relationship Id="rId53" Type="http://schemas.openxmlformats.org/officeDocument/2006/relationships/customXml" Target="../customXml/item36.xml"/><Relationship Id="rId52" Type="http://schemas.openxmlformats.org/officeDocument/2006/relationships/customXml" Target="../customXml/item35.xml"/><Relationship Id="rId51" Type="http://schemas.openxmlformats.org/officeDocument/2006/relationships/customXml" Target="../customXml/item34.xml"/><Relationship Id="rId50" Type="http://schemas.openxmlformats.org/officeDocument/2006/relationships/customXml" Target="../customXml/item33.xml"/><Relationship Id="rId5" Type="http://schemas.openxmlformats.org/officeDocument/2006/relationships/footer" Target="footer3.xml"/><Relationship Id="rId49" Type="http://schemas.openxmlformats.org/officeDocument/2006/relationships/customXml" Target="../customXml/item32.xml"/><Relationship Id="rId48" Type="http://schemas.openxmlformats.org/officeDocument/2006/relationships/customXml" Target="../customXml/item31.xml"/><Relationship Id="rId47" Type="http://schemas.openxmlformats.org/officeDocument/2006/relationships/customXml" Target="../customXml/item30.xml"/><Relationship Id="rId46" Type="http://schemas.openxmlformats.org/officeDocument/2006/relationships/customXml" Target="../customXml/item29.xml"/><Relationship Id="rId45" Type="http://schemas.openxmlformats.org/officeDocument/2006/relationships/customXml" Target="../customXml/item28.xml"/><Relationship Id="rId44" Type="http://schemas.openxmlformats.org/officeDocument/2006/relationships/customXml" Target="../customXml/item27.xml"/><Relationship Id="rId43" Type="http://schemas.openxmlformats.org/officeDocument/2006/relationships/customXml" Target="../customXml/item26.xml"/><Relationship Id="rId42" Type="http://schemas.openxmlformats.org/officeDocument/2006/relationships/customXml" Target="../customXml/item25.xml"/><Relationship Id="rId41" Type="http://schemas.openxmlformats.org/officeDocument/2006/relationships/customXml" Target="../customXml/item24.xml"/><Relationship Id="rId40" Type="http://schemas.openxmlformats.org/officeDocument/2006/relationships/customXml" Target="../customXml/item23.xml"/><Relationship Id="rId4" Type="http://schemas.openxmlformats.org/officeDocument/2006/relationships/footer" Target="footer2.xml"/><Relationship Id="rId39" Type="http://schemas.openxmlformats.org/officeDocument/2006/relationships/customXml" Target="../customXml/item22.xml"/><Relationship Id="rId38" Type="http://schemas.openxmlformats.org/officeDocument/2006/relationships/customXml" Target="../customXml/item21.xml"/><Relationship Id="rId37" Type="http://schemas.openxmlformats.org/officeDocument/2006/relationships/customXml" Target="../customXml/item20.xml"/><Relationship Id="rId36" Type="http://schemas.openxmlformats.org/officeDocument/2006/relationships/customXml" Target="../customXml/item19.xml"/><Relationship Id="rId35" Type="http://schemas.openxmlformats.org/officeDocument/2006/relationships/customXml" Target="../customXml/item18.xml"/><Relationship Id="rId34" Type="http://schemas.openxmlformats.org/officeDocument/2006/relationships/customXml" Target="../customXml/item17.xml"/><Relationship Id="rId33" Type="http://schemas.openxmlformats.org/officeDocument/2006/relationships/customXml" Target="../customXml/item16.xml"/><Relationship Id="rId32" Type="http://schemas.openxmlformats.org/officeDocument/2006/relationships/customXml" Target="../customXml/item15.xml"/><Relationship Id="rId31" Type="http://schemas.openxmlformats.org/officeDocument/2006/relationships/customXml" Target="../customXml/item14.xml"/><Relationship Id="rId30" Type="http://schemas.openxmlformats.org/officeDocument/2006/relationships/customXml" Target="../customXml/item13.xml"/><Relationship Id="rId3" Type="http://schemas.openxmlformats.org/officeDocument/2006/relationships/footer" Target="footer1.xml"/><Relationship Id="rId29" Type="http://schemas.openxmlformats.org/officeDocument/2006/relationships/customXml" Target="../customXml/item12.xml"/><Relationship Id="rId28" Type="http://schemas.openxmlformats.org/officeDocument/2006/relationships/customXml" Target="../customXml/item11.xml"/><Relationship Id="rId27" Type="http://schemas.openxmlformats.org/officeDocument/2006/relationships/customXml" Target="../customXml/item10.xml"/><Relationship Id="rId26" Type="http://schemas.openxmlformats.org/officeDocument/2006/relationships/customXml" Target="../customXml/item9.xml"/><Relationship Id="rId25" Type="http://schemas.openxmlformats.org/officeDocument/2006/relationships/customXml" Target="../customXml/item8.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7" Type="http://schemas.openxmlformats.org/officeDocument/2006/relationships/fontTable" Target="fontTable.xml"/><Relationship Id="rId116" Type="http://schemas.openxmlformats.org/officeDocument/2006/relationships/customXml" Target="../customXml/item99.xml"/><Relationship Id="rId115" Type="http://schemas.openxmlformats.org/officeDocument/2006/relationships/customXml" Target="../customXml/item98.xml"/><Relationship Id="rId114" Type="http://schemas.openxmlformats.org/officeDocument/2006/relationships/customXml" Target="../customXml/item97.xml"/><Relationship Id="rId113" Type="http://schemas.openxmlformats.org/officeDocument/2006/relationships/customXml" Target="../customXml/item96.xml"/><Relationship Id="rId112" Type="http://schemas.openxmlformats.org/officeDocument/2006/relationships/customXml" Target="../customXml/item95.xml"/><Relationship Id="rId111" Type="http://schemas.openxmlformats.org/officeDocument/2006/relationships/customXml" Target="../customXml/item94.xml"/><Relationship Id="rId110" Type="http://schemas.openxmlformats.org/officeDocument/2006/relationships/customXml" Target="../customXml/item93.xml"/><Relationship Id="rId11" Type="http://schemas.openxmlformats.org/officeDocument/2006/relationships/footer" Target="footer8.xml"/><Relationship Id="rId109" Type="http://schemas.openxmlformats.org/officeDocument/2006/relationships/customXml" Target="../customXml/item92.xml"/><Relationship Id="rId108" Type="http://schemas.openxmlformats.org/officeDocument/2006/relationships/customXml" Target="../customXml/item91.xml"/><Relationship Id="rId107" Type="http://schemas.openxmlformats.org/officeDocument/2006/relationships/customXml" Target="../customXml/item90.xml"/><Relationship Id="rId106" Type="http://schemas.openxmlformats.org/officeDocument/2006/relationships/customXml" Target="../customXml/item89.xml"/><Relationship Id="rId105" Type="http://schemas.openxmlformats.org/officeDocument/2006/relationships/customXml" Target="../customXml/item88.xml"/><Relationship Id="rId104" Type="http://schemas.openxmlformats.org/officeDocument/2006/relationships/customXml" Target="../customXml/item87.xml"/><Relationship Id="rId103" Type="http://schemas.openxmlformats.org/officeDocument/2006/relationships/customXml" Target="../customXml/item86.xml"/><Relationship Id="rId102" Type="http://schemas.openxmlformats.org/officeDocument/2006/relationships/customXml" Target="../customXml/item85.xml"/><Relationship Id="rId101" Type="http://schemas.openxmlformats.org/officeDocument/2006/relationships/customXml" Target="../customXml/item84.xml"/><Relationship Id="rId100" Type="http://schemas.openxmlformats.org/officeDocument/2006/relationships/customXml" Target="../customXml/item83.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textRotate="1"/>
    <customShpInfo spid="_x0000_s3074" textRotate="1"/>
    <customShpInfo spid="_x0000_s3075" textRotate="1"/>
    <customShpInfo spid="_x0000_s3076" textRotate="1"/>
    <customShpInfo spid="_x0000_s3077" textRotate="1"/>
    <customShpInfo spid="_x0000_s3078" textRotate="1"/>
    <customShpInfo spid="_x0000_s3079" textRotate="1"/>
    <customShpInfo spid="_x0000_s3080" textRotate="1"/>
    <customShpInfo spid="_x0000_s3081" textRotate="1"/>
    <customShpInfo spid="_x0000_s3082" textRotate="1"/>
    <customShpInfo spid="_x0000_s3083" textRotate="1"/>
    <customShpInfo spid="_x0000_s3084"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2023-03-01T09:21:12Z</dcterms:created>
  <dcterms:modified xsi:type="dcterms:W3CDTF">2023-03-01T01:21:11Z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2023-03-01T09:21:22Z</dcterms:created>
  <dcterms:modified xsi:type="dcterms:W3CDTF">2023-03-01T01:21:21Z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2023-03-01T09:21:54Z</dcterms:created>
  <dcterms:modified xsi:type="dcterms:W3CDTF">2023-03-01T01:21:53Z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2023-03-01T09:22:23Z</dcterms:created>
  <dcterms:modified xsi:type="dcterms:W3CDTF">2023-03-01T01:22:23Z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5DB03D9-2A8B-4743-85D9-B249E53443B9}">
  <ds:schemaRefs/>
</ds:datastoreItem>
</file>

<file path=customXml/itemProps11.xml><?xml version="1.0" encoding="utf-8"?>
<ds:datastoreItem xmlns:ds="http://schemas.openxmlformats.org/officeDocument/2006/customXml" ds:itemID="{D8B7223D-4501-491B-93F7-81520ABBDB40}">
  <ds:schemaRefs/>
</ds:datastoreItem>
</file>

<file path=customXml/itemProps12.xml><?xml version="1.0" encoding="utf-8"?>
<ds:datastoreItem xmlns:ds="http://schemas.openxmlformats.org/officeDocument/2006/customXml" ds:itemID="{1583B842-628E-4668-AB4A-1264642789A4}">
  <ds:schemaRefs/>
</ds:datastoreItem>
</file>

<file path=customXml/itemProps13.xml><?xml version="1.0" encoding="utf-8"?>
<ds:datastoreItem xmlns:ds="http://schemas.openxmlformats.org/officeDocument/2006/customXml" ds:itemID="{5B122E0E-853A-45AC-BF68-6270083E416E}">
  <ds:schemaRefs/>
</ds:datastoreItem>
</file>

<file path=customXml/itemProps14.xml><?xml version="1.0" encoding="utf-8"?>
<ds:datastoreItem xmlns:ds="http://schemas.openxmlformats.org/officeDocument/2006/customXml" ds:itemID="{80119FF7-9B55-4AD1-ACD4-BE9B315D7617}">
  <ds:schemaRefs/>
</ds:datastoreItem>
</file>

<file path=customXml/itemProps15.xml><?xml version="1.0" encoding="utf-8"?>
<ds:datastoreItem xmlns:ds="http://schemas.openxmlformats.org/officeDocument/2006/customXml" ds:itemID="{E3FE117F-2C5A-47FB-B1AB-B778736D4721}">
  <ds:schemaRefs/>
</ds:datastoreItem>
</file>

<file path=customXml/itemProps16.xml><?xml version="1.0" encoding="utf-8"?>
<ds:datastoreItem xmlns:ds="http://schemas.openxmlformats.org/officeDocument/2006/customXml" ds:itemID="{F0BCCC31-5471-417A-A791-A90A690113CE}">
  <ds:schemaRefs/>
</ds:datastoreItem>
</file>

<file path=customXml/itemProps17.xml><?xml version="1.0" encoding="utf-8"?>
<ds:datastoreItem xmlns:ds="http://schemas.openxmlformats.org/officeDocument/2006/customXml" ds:itemID="{5D458CE2-7F97-4B1B-AD26-25CFED5AE3EC}">
  <ds:schemaRefs/>
</ds:datastoreItem>
</file>

<file path=customXml/itemProps18.xml><?xml version="1.0" encoding="utf-8"?>
<ds:datastoreItem xmlns:ds="http://schemas.openxmlformats.org/officeDocument/2006/customXml" ds:itemID="{E2EE81C1-5894-4A08-8704-D85544BE92E0}">
  <ds:schemaRefs/>
</ds:datastoreItem>
</file>

<file path=customXml/itemProps19.xml><?xml version="1.0" encoding="utf-8"?>
<ds:datastoreItem xmlns:ds="http://schemas.openxmlformats.org/officeDocument/2006/customXml" ds:itemID="{57CEE747-D6E9-4404-B6B5-219D487543C9}">
  <ds:schemaRefs/>
</ds:datastoreItem>
</file>

<file path=customXml/itemProps2.xml><?xml version="1.0" encoding="utf-8"?>
<ds:datastoreItem xmlns:ds="http://schemas.openxmlformats.org/officeDocument/2006/customXml" ds:itemID="{BDE41D22-D525-4B80-8936-2AEA694E4BB8}">
  <ds:schemaRefs/>
</ds:datastoreItem>
</file>

<file path=customXml/itemProps20.xml><?xml version="1.0" encoding="utf-8"?>
<ds:datastoreItem xmlns:ds="http://schemas.openxmlformats.org/officeDocument/2006/customXml" ds:itemID="{D94CCF0E-7D49-4EC9-8843-C8A42D0F75C0}">
  <ds:schemaRefs/>
</ds:datastoreItem>
</file>

<file path=customXml/itemProps21.xml><?xml version="1.0" encoding="utf-8"?>
<ds:datastoreItem xmlns:ds="http://schemas.openxmlformats.org/officeDocument/2006/customXml" ds:itemID="{11FE89E1-CCBC-490B-9856-6CC1AACE1E57}">
  <ds:schemaRefs/>
</ds:datastoreItem>
</file>

<file path=customXml/itemProps22.xml><?xml version="1.0" encoding="utf-8"?>
<ds:datastoreItem xmlns:ds="http://schemas.openxmlformats.org/officeDocument/2006/customXml" ds:itemID="{C52A464C-64CA-45FB-BDD2-5D284E8DADBD}">
  <ds:schemaRefs/>
</ds:datastoreItem>
</file>

<file path=customXml/itemProps23.xml><?xml version="1.0" encoding="utf-8"?>
<ds:datastoreItem xmlns:ds="http://schemas.openxmlformats.org/officeDocument/2006/customXml" ds:itemID="{61E0732E-5566-4980-AFDC-E0E7A46120BA}">
  <ds:schemaRefs/>
</ds:datastoreItem>
</file>

<file path=customXml/itemProps24.xml><?xml version="1.0" encoding="utf-8"?>
<ds:datastoreItem xmlns:ds="http://schemas.openxmlformats.org/officeDocument/2006/customXml" ds:itemID="{BB8C02DE-0A70-46CE-996E-6A72ECB8D72E}">
  <ds:schemaRefs/>
</ds:datastoreItem>
</file>

<file path=customXml/itemProps25.xml><?xml version="1.0" encoding="utf-8"?>
<ds:datastoreItem xmlns:ds="http://schemas.openxmlformats.org/officeDocument/2006/customXml" ds:itemID="{90F632C0-7BFA-4FEE-A3DF-7B639976836C}">
  <ds:schemaRefs/>
</ds:datastoreItem>
</file>

<file path=customXml/itemProps26.xml><?xml version="1.0" encoding="utf-8"?>
<ds:datastoreItem xmlns:ds="http://schemas.openxmlformats.org/officeDocument/2006/customXml" ds:itemID="{3E1A48BB-1BC9-4F82-A857-B6DFDC879E35}">
  <ds:schemaRefs/>
</ds:datastoreItem>
</file>

<file path=customXml/itemProps27.xml><?xml version="1.0" encoding="utf-8"?>
<ds:datastoreItem xmlns:ds="http://schemas.openxmlformats.org/officeDocument/2006/customXml" ds:itemID="{5BC50A0E-0238-44FC-900F-8142AAF87A2C}">
  <ds:schemaRefs/>
</ds:datastoreItem>
</file>

<file path=customXml/itemProps28.xml><?xml version="1.0" encoding="utf-8"?>
<ds:datastoreItem xmlns:ds="http://schemas.openxmlformats.org/officeDocument/2006/customXml" ds:itemID="{D4DFA2A7-B786-43F7-B917-617A3CA8FFF9}">
  <ds:schemaRefs/>
</ds:datastoreItem>
</file>

<file path=customXml/itemProps29.xml><?xml version="1.0" encoding="utf-8"?>
<ds:datastoreItem xmlns:ds="http://schemas.openxmlformats.org/officeDocument/2006/customXml" ds:itemID="{3ADEBAA2-5E2F-4B98-9550-51A113A39454}">
  <ds:schemaRefs/>
</ds:datastoreItem>
</file>

<file path=customXml/itemProps3.xml><?xml version="1.0" encoding="utf-8"?>
<ds:datastoreItem xmlns:ds="http://schemas.openxmlformats.org/officeDocument/2006/customXml" ds:itemID="{79A87C76-B44A-4B42-938C-A9CF44225345}">
  <ds:schemaRefs/>
</ds:datastoreItem>
</file>

<file path=customXml/itemProps30.xml><?xml version="1.0" encoding="utf-8"?>
<ds:datastoreItem xmlns:ds="http://schemas.openxmlformats.org/officeDocument/2006/customXml" ds:itemID="{3A724112-A299-41D5-B21C-F2A0792E2AA4}">
  <ds:schemaRefs/>
</ds:datastoreItem>
</file>

<file path=customXml/itemProps31.xml><?xml version="1.0" encoding="utf-8"?>
<ds:datastoreItem xmlns:ds="http://schemas.openxmlformats.org/officeDocument/2006/customXml" ds:itemID="{525A706F-7A26-4C1F-BBCE-C75B6EB6851C}">
  <ds:schemaRefs/>
</ds:datastoreItem>
</file>

<file path=customXml/itemProps32.xml><?xml version="1.0" encoding="utf-8"?>
<ds:datastoreItem xmlns:ds="http://schemas.openxmlformats.org/officeDocument/2006/customXml" ds:itemID="{58E16F4F-CF7F-4821-A801-B18CA8AF67C3}">
  <ds:schemaRefs/>
</ds:datastoreItem>
</file>

<file path=customXml/itemProps33.xml><?xml version="1.0" encoding="utf-8"?>
<ds:datastoreItem xmlns:ds="http://schemas.openxmlformats.org/officeDocument/2006/customXml" ds:itemID="{C2A8F575-2678-4FAB-AA84-EA328369935A}">
  <ds:schemaRefs/>
</ds:datastoreItem>
</file>

<file path=customXml/itemProps34.xml><?xml version="1.0" encoding="utf-8"?>
<ds:datastoreItem xmlns:ds="http://schemas.openxmlformats.org/officeDocument/2006/customXml" ds:itemID="{DDE16D93-3F6E-48B2-9F76-8C9A8771B6DE}">
  <ds:schemaRefs/>
</ds:datastoreItem>
</file>

<file path=customXml/itemProps35.xml><?xml version="1.0" encoding="utf-8"?>
<ds:datastoreItem xmlns:ds="http://schemas.openxmlformats.org/officeDocument/2006/customXml" ds:itemID="{EA1EC725-F746-4892-9F6D-73F948FE68F3}">
  <ds:schemaRefs/>
</ds:datastoreItem>
</file>

<file path=customXml/itemProps36.xml><?xml version="1.0" encoding="utf-8"?>
<ds:datastoreItem xmlns:ds="http://schemas.openxmlformats.org/officeDocument/2006/customXml" ds:itemID="{2C68DD5F-A902-4EFD-BCEA-D97D4B4A4C1F}">
  <ds:schemaRefs/>
</ds:datastoreItem>
</file>

<file path=customXml/itemProps37.xml><?xml version="1.0" encoding="utf-8"?>
<ds:datastoreItem xmlns:ds="http://schemas.openxmlformats.org/officeDocument/2006/customXml" ds:itemID="{35AA5CBB-CD79-44AF-92F2-2A951B0618F5}">
  <ds:schemaRefs/>
</ds:datastoreItem>
</file>

<file path=customXml/itemProps38.xml><?xml version="1.0" encoding="utf-8"?>
<ds:datastoreItem xmlns:ds="http://schemas.openxmlformats.org/officeDocument/2006/customXml" ds:itemID="{13E23181-8B7E-4820-862E-9F2208952564}">
  <ds:schemaRefs/>
</ds:datastoreItem>
</file>

<file path=customXml/itemProps39.xml><?xml version="1.0" encoding="utf-8"?>
<ds:datastoreItem xmlns:ds="http://schemas.openxmlformats.org/officeDocument/2006/customXml" ds:itemID="{93C69969-24A5-4A4B-93C2-AEE37A56B407}">
  <ds:schemaRefs/>
</ds:datastoreItem>
</file>

<file path=customXml/itemProps4.xml><?xml version="1.0" encoding="utf-8"?>
<ds:datastoreItem xmlns:ds="http://schemas.openxmlformats.org/officeDocument/2006/customXml" ds:itemID="{061CD866-0EF9-4582-A5DD-F8DC0439524B}">
  <ds:schemaRefs/>
</ds:datastoreItem>
</file>

<file path=customXml/itemProps40.xml><?xml version="1.0" encoding="utf-8"?>
<ds:datastoreItem xmlns:ds="http://schemas.openxmlformats.org/officeDocument/2006/customXml" ds:itemID="{BC4C6CE1-3F12-4CE8-ADE7-D86B955F1C3A}">
  <ds:schemaRefs/>
</ds:datastoreItem>
</file>

<file path=customXml/itemProps41.xml><?xml version="1.0" encoding="utf-8"?>
<ds:datastoreItem xmlns:ds="http://schemas.openxmlformats.org/officeDocument/2006/customXml" ds:itemID="{319EABA6-4FB3-42D0-9504-D28B20ABD7E5}">
  <ds:schemaRefs/>
</ds:datastoreItem>
</file>

<file path=customXml/itemProps42.xml><?xml version="1.0" encoding="utf-8"?>
<ds:datastoreItem xmlns:ds="http://schemas.openxmlformats.org/officeDocument/2006/customXml" ds:itemID="{B428A9E9-CEDE-4363-AEBC-21D208D077C3}">
  <ds:schemaRefs/>
</ds:datastoreItem>
</file>

<file path=customXml/itemProps43.xml><?xml version="1.0" encoding="utf-8"?>
<ds:datastoreItem xmlns:ds="http://schemas.openxmlformats.org/officeDocument/2006/customXml" ds:itemID="{5E53884A-C3C9-4000-A6C9-23D82B28D384}">
  <ds:schemaRefs/>
</ds:datastoreItem>
</file>

<file path=customXml/itemProps44.xml><?xml version="1.0" encoding="utf-8"?>
<ds:datastoreItem xmlns:ds="http://schemas.openxmlformats.org/officeDocument/2006/customXml" ds:itemID="{EFFDC8D4-7B8E-4376-86B0-28FE5379D97B}">
  <ds:schemaRefs/>
</ds:datastoreItem>
</file>

<file path=customXml/itemProps45.xml><?xml version="1.0" encoding="utf-8"?>
<ds:datastoreItem xmlns:ds="http://schemas.openxmlformats.org/officeDocument/2006/customXml" ds:itemID="{68E4C28F-5887-4FC1-AF82-0143C3885801}">
  <ds:schemaRefs/>
</ds:datastoreItem>
</file>

<file path=customXml/itemProps46.xml><?xml version="1.0" encoding="utf-8"?>
<ds:datastoreItem xmlns:ds="http://schemas.openxmlformats.org/officeDocument/2006/customXml" ds:itemID="{7FD9DCE8-5618-4525-8536-022DA23BC3FC}">
  <ds:schemaRefs/>
</ds:datastoreItem>
</file>

<file path=customXml/itemProps47.xml><?xml version="1.0" encoding="utf-8"?>
<ds:datastoreItem xmlns:ds="http://schemas.openxmlformats.org/officeDocument/2006/customXml" ds:itemID="{707CECE8-44DF-4E31-B3DB-01DE99953FA4}">
  <ds:schemaRefs/>
</ds:datastoreItem>
</file>

<file path=customXml/itemProps48.xml><?xml version="1.0" encoding="utf-8"?>
<ds:datastoreItem xmlns:ds="http://schemas.openxmlformats.org/officeDocument/2006/customXml" ds:itemID="{ED201CA8-9266-4410-877D-E1CAD29EEA6E}">
  <ds:schemaRefs/>
</ds:datastoreItem>
</file>

<file path=customXml/itemProps49.xml><?xml version="1.0" encoding="utf-8"?>
<ds:datastoreItem xmlns:ds="http://schemas.openxmlformats.org/officeDocument/2006/customXml" ds:itemID="{37886A51-7E8B-4BC7-B9FB-6C694ECC7E84}">
  <ds:schemaRefs/>
</ds:datastoreItem>
</file>

<file path=customXml/itemProps5.xml><?xml version="1.0" encoding="utf-8"?>
<ds:datastoreItem xmlns:ds="http://schemas.openxmlformats.org/officeDocument/2006/customXml" ds:itemID="{A1A368CA-0F09-4186-82AC-E0C5E9EE0747}">
  <ds:schemaRefs/>
</ds:datastoreItem>
</file>

<file path=customXml/itemProps50.xml><?xml version="1.0" encoding="utf-8"?>
<ds:datastoreItem xmlns:ds="http://schemas.openxmlformats.org/officeDocument/2006/customXml" ds:itemID="{3F0140CE-7379-4D1E-972F-B733B809F1AF}">
  <ds:schemaRefs/>
</ds:datastoreItem>
</file>

<file path=customXml/itemProps51.xml><?xml version="1.0" encoding="utf-8"?>
<ds:datastoreItem xmlns:ds="http://schemas.openxmlformats.org/officeDocument/2006/customXml" ds:itemID="{4C95904F-15BC-43F3-8F48-8620EF0324D8}">
  <ds:schemaRefs/>
</ds:datastoreItem>
</file>

<file path=customXml/itemProps52.xml><?xml version="1.0" encoding="utf-8"?>
<ds:datastoreItem xmlns:ds="http://schemas.openxmlformats.org/officeDocument/2006/customXml" ds:itemID="{F3C255B7-BE04-4ED8-8CC2-60004696E0D1}">
  <ds:schemaRefs/>
</ds:datastoreItem>
</file>

<file path=customXml/itemProps53.xml><?xml version="1.0" encoding="utf-8"?>
<ds:datastoreItem xmlns:ds="http://schemas.openxmlformats.org/officeDocument/2006/customXml" ds:itemID="{33B15016-135A-4E92-A85B-55FA7BE80712}">
  <ds:schemaRefs/>
</ds:datastoreItem>
</file>

<file path=customXml/itemProps54.xml><?xml version="1.0" encoding="utf-8"?>
<ds:datastoreItem xmlns:ds="http://schemas.openxmlformats.org/officeDocument/2006/customXml" ds:itemID="{31F63CC8-0879-477A-988C-DFE0920CA5E1}">
  <ds:schemaRefs/>
</ds:datastoreItem>
</file>

<file path=customXml/itemProps55.xml><?xml version="1.0" encoding="utf-8"?>
<ds:datastoreItem xmlns:ds="http://schemas.openxmlformats.org/officeDocument/2006/customXml" ds:itemID="{7B416BA3-EFC7-4B3F-B8FE-068D342B4876}">
  <ds:schemaRefs/>
</ds:datastoreItem>
</file>

<file path=customXml/itemProps56.xml><?xml version="1.0" encoding="utf-8"?>
<ds:datastoreItem xmlns:ds="http://schemas.openxmlformats.org/officeDocument/2006/customXml" ds:itemID="{7723FE89-0B37-4714-A745-EF8AED945992}">
  <ds:schemaRefs/>
</ds:datastoreItem>
</file>

<file path=customXml/itemProps57.xml><?xml version="1.0" encoding="utf-8"?>
<ds:datastoreItem xmlns:ds="http://schemas.openxmlformats.org/officeDocument/2006/customXml" ds:itemID="{3F200CDA-7EEF-4C72-A782-77F71AFE26D0}">
  <ds:schemaRefs/>
</ds:datastoreItem>
</file>

<file path=customXml/itemProps58.xml><?xml version="1.0" encoding="utf-8"?>
<ds:datastoreItem xmlns:ds="http://schemas.openxmlformats.org/officeDocument/2006/customXml" ds:itemID="{864479DD-2CFB-4142-80B7-E4A261EC4305}">
  <ds:schemaRefs/>
</ds:datastoreItem>
</file>

<file path=customXml/itemProps59.xml><?xml version="1.0" encoding="utf-8"?>
<ds:datastoreItem xmlns:ds="http://schemas.openxmlformats.org/officeDocument/2006/customXml" ds:itemID="{F66C76D8-FC92-46B5-9695-00FE87C450D0}">
  <ds:schemaRefs/>
</ds:datastoreItem>
</file>

<file path=customXml/itemProps6.xml><?xml version="1.0" encoding="utf-8"?>
<ds:datastoreItem xmlns:ds="http://schemas.openxmlformats.org/officeDocument/2006/customXml" ds:itemID="{EB602265-8A17-412A-AF13-E72BFD6DAF51}">
  <ds:schemaRefs/>
</ds:datastoreItem>
</file>

<file path=customXml/itemProps60.xml><?xml version="1.0" encoding="utf-8"?>
<ds:datastoreItem xmlns:ds="http://schemas.openxmlformats.org/officeDocument/2006/customXml" ds:itemID="{1B957F9B-C7D0-48E4-BA5B-72A0A305D98F}">
  <ds:schemaRefs/>
</ds:datastoreItem>
</file>

<file path=customXml/itemProps61.xml><?xml version="1.0" encoding="utf-8"?>
<ds:datastoreItem xmlns:ds="http://schemas.openxmlformats.org/officeDocument/2006/customXml" ds:itemID="{AA307B7C-9FA4-40FD-B234-2B4CE118D6B0}">
  <ds:schemaRefs/>
</ds:datastoreItem>
</file>

<file path=customXml/itemProps62.xml><?xml version="1.0" encoding="utf-8"?>
<ds:datastoreItem xmlns:ds="http://schemas.openxmlformats.org/officeDocument/2006/customXml" ds:itemID="{01858673-9958-415F-802E-FB4EFE22A815}">
  <ds:schemaRefs/>
</ds:datastoreItem>
</file>

<file path=customXml/itemProps63.xml><?xml version="1.0" encoding="utf-8"?>
<ds:datastoreItem xmlns:ds="http://schemas.openxmlformats.org/officeDocument/2006/customXml" ds:itemID="{D11A11B3-2750-4C8C-829F-9DF281320F91}">
  <ds:schemaRefs/>
</ds:datastoreItem>
</file>

<file path=customXml/itemProps64.xml><?xml version="1.0" encoding="utf-8"?>
<ds:datastoreItem xmlns:ds="http://schemas.openxmlformats.org/officeDocument/2006/customXml" ds:itemID="{C5E7174A-2950-4DA3-B206-7C4D5BA14854}">
  <ds:schemaRefs/>
</ds:datastoreItem>
</file>

<file path=customXml/itemProps65.xml><?xml version="1.0" encoding="utf-8"?>
<ds:datastoreItem xmlns:ds="http://schemas.openxmlformats.org/officeDocument/2006/customXml" ds:itemID="{BA0D23C5-6C54-42EC-8A39-4848B5174A15}">
  <ds:schemaRefs/>
</ds:datastoreItem>
</file>

<file path=customXml/itemProps66.xml><?xml version="1.0" encoding="utf-8"?>
<ds:datastoreItem xmlns:ds="http://schemas.openxmlformats.org/officeDocument/2006/customXml" ds:itemID="{E8ED122B-C7C4-4591-BEF3-98EF4F15A32C}">
  <ds:schemaRefs/>
</ds:datastoreItem>
</file>

<file path=customXml/itemProps67.xml><?xml version="1.0" encoding="utf-8"?>
<ds:datastoreItem xmlns:ds="http://schemas.openxmlformats.org/officeDocument/2006/customXml" ds:itemID="{22219B15-FE3D-4636-B76B-AD499FB2CEAB}">
  <ds:schemaRefs/>
</ds:datastoreItem>
</file>

<file path=customXml/itemProps68.xml><?xml version="1.0" encoding="utf-8"?>
<ds:datastoreItem xmlns:ds="http://schemas.openxmlformats.org/officeDocument/2006/customXml" ds:itemID="{E9228B7B-F222-4651-80FE-F83DA071A8F2}">
  <ds:schemaRefs/>
</ds:datastoreItem>
</file>

<file path=customXml/itemProps69.xml><?xml version="1.0" encoding="utf-8"?>
<ds:datastoreItem xmlns:ds="http://schemas.openxmlformats.org/officeDocument/2006/customXml" ds:itemID="{0DEBD675-C284-46C2-A372-9A81A6AB6735}">
  <ds:schemaRefs/>
</ds:datastoreItem>
</file>

<file path=customXml/itemProps7.xml><?xml version="1.0" encoding="utf-8"?>
<ds:datastoreItem xmlns:ds="http://schemas.openxmlformats.org/officeDocument/2006/customXml" ds:itemID="{BC16783E-FA16-4507-9793-E4153EA9824F}">
  <ds:schemaRefs/>
</ds:datastoreItem>
</file>

<file path=customXml/itemProps70.xml><?xml version="1.0" encoding="utf-8"?>
<ds:datastoreItem xmlns:ds="http://schemas.openxmlformats.org/officeDocument/2006/customXml" ds:itemID="{F7719733-7D50-4E7D-B1B9-26550C14EBB9}">
  <ds:schemaRefs/>
</ds:datastoreItem>
</file>

<file path=customXml/itemProps71.xml><?xml version="1.0" encoding="utf-8"?>
<ds:datastoreItem xmlns:ds="http://schemas.openxmlformats.org/officeDocument/2006/customXml" ds:itemID="{7280C85F-84BF-4DC2-B212-B3233D2180AE}">
  <ds:schemaRefs/>
</ds:datastoreItem>
</file>

<file path=customXml/itemProps72.xml><?xml version="1.0" encoding="utf-8"?>
<ds:datastoreItem xmlns:ds="http://schemas.openxmlformats.org/officeDocument/2006/customXml" ds:itemID="{FF7122D2-1120-4465-8BE6-66DB20A303A3}">
  <ds:schemaRefs/>
</ds:datastoreItem>
</file>

<file path=customXml/itemProps73.xml><?xml version="1.0" encoding="utf-8"?>
<ds:datastoreItem xmlns:ds="http://schemas.openxmlformats.org/officeDocument/2006/customXml" ds:itemID="{DE1C68D2-14F3-46DF-B081-6E96BCB87223}">
  <ds:schemaRefs/>
</ds:datastoreItem>
</file>

<file path=customXml/itemProps74.xml><?xml version="1.0" encoding="utf-8"?>
<ds:datastoreItem xmlns:ds="http://schemas.openxmlformats.org/officeDocument/2006/customXml" ds:itemID="{17B6D8F7-8935-4FBB-B5C6-CAC0833C6814}">
  <ds:schemaRefs/>
</ds:datastoreItem>
</file>

<file path=customXml/itemProps75.xml><?xml version="1.0" encoding="utf-8"?>
<ds:datastoreItem xmlns:ds="http://schemas.openxmlformats.org/officeDocument/2006/customXml" ds:itemID="{1856496E-8411-4071-9B87-3A8BF29802C9}">
  <ds:schemaRefs/>
</ds:datastoreItem>
</file>

<file path=customXml/itemProps76.xml><?xml version="1.0" encoding="utf-8"?>
<ds:datastoreItem xmlns:ds="http://schemas.openxmlformats.org/officeDocument/2006/customXml" ds:itemID="{703537EC-7602-47D5-ABC8-A24089175A0E}">
  <ds:schemaRefs/>
</ds:datastoreItem>
</file>

<file path=customXml/itemProps77.xml><?xml version="1.0" encoding="utf-8"?>
<ds:datastoreItem xmlns:ds="http://schemas.openxmlformats.org/officeDocument/2006/customXml" ds:itemID="{CEE89FB4-D495-4530-9EBC-FF50509188A6}">
  <ds:schemaRefs/>
</ds:datastoreItem>
</file>

<file path=customXml/itemProps78.xml><?xml version="1.0" encoding="utf-8"?>
<ds:datastoreItem xmlns:ds="http://schemas.openxmlformats.org/officeDocument/2006/customXml" ds:itemID="{EA0B1CA0-3C9A-4AC9-83A5-2B01793819B9}">
  <ds:schemaRefs/>
</ds:datastoreItem>
</file>

<file path=customXml/itemProps79.xml><?xml version="1.0" encoding="utf-8"?>
<ds:datastoreItem xmlns:ds="http://schemas.openxmlformats.org/officeDocument/2006/customXml" ds:itemID="{3396F320-3D51-4CAC-9D36-97ED5A4DF301}">
  <ds:schemaRefs/>
</ds:datastoreItem>
</file>

<file path=customXml/itemProps8.xml><?xml version="1.0" encoding="utf-8"?>
<ds:datastoreItem xmlns:ds="http://schemas.openxmlformats.org/officeDocument/2006/customXml" ds:itemID="{FCB23559-3E5A-4B48-A144-E03DF846FC42}">
  <ds:schemaRefs/>
</ds:datastoreItem>
</file>

<file path=customXml/itemProps80.xml><?xml version="1.0" encoding="utf-8"?>
<ds:datastoreItem xmlns:ds="http://schemas.openxmlformats.org/officeDocument/2006/customXml" ds:itemID="{F47AED86-EC80-45AE-ACC1-8DE353C2BBB4}">
  <ds:schemaRefs/>
</ds:datastoreItem>
</file>

<file path=customXml/itemProps81.xml><?xml version="1.0" encoding="utf-8"?>
<ds:datastoreItem xmlns:ds="http://schemas.openxmlformats.org/officeDocument/2006/customXml" ds:itemID="{3E0460DE-8138-4D3B-B93B-1466E763440E}">
  <ds:schemaRefs/>
</ds:datastoreItem>
</file>

<file path=customXml/itemProps82.xml><?xml version="1.0" encoding="utf-8"?>
<ds:datastoreItem xmlns:ds="http://schemas.openxmlformats.org/officeDocument/2006/customXml" ds:itemID="{6E5F0CCE-F109-4867-97F2-19ED9A0EE466}">
  <ds:schemaRefs/>
</ds:datastoreItem>
</file>

<file path=customXml/itemProps83.xml><?xml version="1.0" encoding="utf-8"?>
<ds:datastoreItem xmlns:ds="http://schemas.openxmlformats.org/officeDocument/2006/customXml" ds:itemID="{8FA6149C-FE8B-415C-8B40-1543AAB1DB0E}">
  <ds:schemaRefs/>
</ds:datastoreItem>
</file>

<file path=customXml/itemProps84.xml><?xml version="1.0" encoding="utf-8"?>
<ds:datastoreItem xmlns:ds="http://schemas.openxmlformats.org/officeDocument/2006/customXml" ds:itemID="{75D37D2E-8C37-45FA-BC75-9FAB258A3749}">
  <ds:schemaRefs/>
</ds:datastoreItem>
</file>

<file path=customXml/itemProps85.xml><?xml version="1.0" encoding="utf-8"?>
<ds:datastoreItem xmlns:ds="http://schemas.openxmlformats.org/officeDocument/2006/customXml" ds:itemID="{876CF457-64C7-4DE2-AA9C-7F0335F94A8C}">
  <ds:schemaRefs/>
</ds:datastoreItem>
</file>

<file path=customXml/itemProps86.xml><?xml version="1.0" encoding="utf-8"?>
<ds:datastoreItem xmlns:ds="http://schemas.openxmlformats.org/officeDocument/2006/customXml" ds:itemID="{0E65D2E8-02E4-48B6-B45B-CB741B92FFFA}">
  <ds:schemaRefs/>
</ds:datastoreItem>
</file>

<file path=customXml/itemProps87.xml><?xml version="1.0" encoding="utf-8"?>
<ds:datastoreItem xmlns:ds="http://schemas.openxmlformats.org/officeDocument/2006/customXml" ds:itemID="{84DD3470-F478-4E77-A6A9-42E41318C910}">
  <ds:schemaRefs/>
</ds:datastoreItem>
</file>

<file path=customXml/itemProps88.xml><?xml version="1.0" encoding="utf-8"?>
<ds:datastoreItem xmlns:ds="http://schemas.openxmlformats.org/officeDocument/2006/customXml" ds:itemID="{18FD038E-D0E0-4209-84E6-5869951B52DC}">
  <ds:schemaRefs/>
</ds:datastoreItem>
</file>

<file path=customXml/itemProps89.xml><?xml version="1.0" encoding="utf-8"?>
<ds:datastoreItem xmlns:ds="http://schemas.openxmlformats.org/officeDocument/2006/customXml" ds:itemID="{C5ACD092-81C4-4096-B449-F725B5118045}">
  <ds:schemaRefs/>
</ds:datastoreItem>
</file>

<file path=customXml/itemProps9.xml><?xml version="1.0" encoding="utf-8"?>
<ds:datastoreItem xmlns:ds="http://schemas.openxmlformats.org/officeDocument/2006/customXml" ds:itemID="{4B338086-0051-4944-B20F-41397821E59C}">
  <ds:schemaRefs/>
</ds:datastoreItem>
</file>

<file path=customXml/itemProps90.xml><?xml version="1.0" encoding="utf-8"?>
<ds:datastoreItem xmlns:ds="http://schemas.openxmlformats.org/officeDocument/2006/customXml" ds:itemID="{B24B8AE4-3B0B-4C71-BC21-FE334AB1F840}">
  <ds:schemaRefs/>
</ds:datastoreItem>
</file>

<file path=customXml/itemProps91.xml><?xml version="1.0" encoding="utf-8"?>
<ds:datastoreItem xmlns:ds="http://schemas.openxmlformats.org/officeDocument/2006/customXml" ds:itemID="{3D867CB4-33FF-4160-9016-FE870ACB51A5}">
  <ds:schemaRefs/>
</ds:datastoreItem>
</file>

<file path=customXml/itemProps92.xml><?xml version="1.0" encoding="utf-8"?>
<ds:datastoreItem xmlns:ds="http://schemas.openxmlformats.org/officeDocument/2006/customXml" ds:itemID="{F990C814-648E-467F-88BC-C7576D9A5AAF}">
  <ds:schemaRefs/>
</ds:datastoreItem>
</file>

<file path=customXml/itemProps93.xml><?xml version="1.0" encoding="utf-8"?>
<ds:datastoreItem xmlns:ds="http://schemas.openxmlformats.org/officeDocument/2006/customXml" ds:itemID="{98684171-7469-482D-8030-DC63FA39E587}">
  <ds:schemaRefs/>
</ds:datastoreItem>
</file>

<file path=customXml/itemProps94.xml><?xml version="1.0" encoding="utf-8"?>
<ds:datastoreItem xmlns:ds="http://schemas.openxmlformats.org/officeDocument/2006/customXml" ds:itemID="{69EEE456-50B1-4769-A652-FC34558F7850}">
  <ds:schemaRefs/>
</ds:datastoreItem>
</file>

<file path=customXml/itemProps95.xml><?xml version="1.0" encoding="utf-8"?>
<ds:datastoreItem xmlns:ds="http://schemas.openxmlformats.org/officeDocument/2006/customXml" ds:itemID="{1E9B85C1-CF57-45AB-B11C-555429BDF242}">
  <ds:schemaRefs/>
</ds:datastoreItem>
</file>

<file path=customXml/itemProps96.xml><?xml version="1.0" encoding="utf-8"?>
<ds:datastoreItem xmlns:ds="http://schemas.openxmlformats.org/officeDocument/2006/customXml" ds:itemID="{E658CB9D-9D21-4F57-84B0-948B389FD662}">
  <ds:schemaRefs/>
</ds:datastoreItem>
</file>

<file path=customXml/itemProps97.xml><?xml version="1.0" encoding="utf-8"?>
<ds:datastoreItem xmlns:ds="http://schemas.openxmlformats.org/officeDocument/2006/customXml" ds:itemID="{CB8E89EC-0759-4EF4-B4EA-79F09200E331}">
  <ds:schemaRefs/>
</ds:datastoreItem>
</file>

<file path=customXml/itemProps98.xml><?xml version="1.0" encoding="utf-8"?>
<ds:datastoreItem xmlns:ds="http://schemas.openxmlformats.org/officeDocument/2006/customXml" ds:itemID="{2F3C2B1E-BE92-4B42-AA13-DF7F29929557}">
  <ds:schemaRefs/>
</ds:datastoreItem>
</file>

<file path=customXml/itemProps99.xml><?xml version="1.0" encoding="utf-8"?>
<ds:datastoreItem xmlns:ds="http://schemas.openxmlformats.org/officeDocument/2006/customXml" ds:itemID="{ABA00247-D474-492B-A218-BBF8796EEE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107</Pages>
  <Words>42705</Words>
  <Characters>49219</Characters>
  <Lines>406</Lines>
  <Paragraphs>114</Paragraphs>
  <TotalTime>10</TotalTime>
  <ScaleCrop>false</ScaleCrop>
  <LinksUpToDate>false</LinksUpToDate>
  <CharactersWithSpaces>49771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2023-03-01T09:22:00Z</dcterms:created>
  <dc:creator>lenovo</dc:creator>
  <cp:lastModifiedBy>月兒</cp:lastModifiedBy>
  <dcterms:modified xsi:type="dcterms:W3CDTF">2024-03-19T06:08:44Z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AD1535CCD0CD421B995F8AC515196F2A</vt:lpwstr>
  </property>
</Properties>
</file>