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mc:AlternateContent>
          <mc:Choice Requires="wpg">
            <w:drawing>
              <wp:anchor distT="0" distB="0" distL="114300" distR="114300" simplePos="0" relativeHeight="251667456" behindDoc="1" locked="0" layoutInCell="1" allowOverlap="1">
                <wp:simplePos x="0" y="0"/>
                <wp:positionH relativeFrom="column">
                  <wp:posOffset>-33655</wp:posOffset>
                </wp:positionH>
                <wp:positionV relativeFrom="paragraph">
                  <wp:posOffset>-455295</wp:posOffset>
                </wp:positionV>
                <wp:extent cx="7623175" cy="4525010"/>
                <wp:effectExtent l="0" t="0" r="15875" b="8890"/>
                <wp:wrapNone/>
                <wp:docPr id="5" name="组合 4"/>
                <wp:cNvGraphicFramePr/>
                <a:graphic xmlns:a="http://schemas.openxmlformats.org/drawingml/2006/main">
                  <a:graphicData uri="http://schemas.microsoft.com/office/word/2010/wordprocessingGroup">
                    <wpg:wgp>
                      <wpg:cNvGrpSpPr/>
                      <wpg:grpSpPr>
                        <a:xfrm>
                          <a:off x="0" y="0"/>
                          <a:ext cx="7623175" cy="4524922"/>
                          <a:chOff x="13671" y="-204"/>
                          <a:chExt cx="12005" cy="7440"/>
                        </a:xfrm>
                        <a:effectLst/>
                      </wpg:grpSpPr>
                      <wps:wsp>
                        <wps:cNvPr id="6" name="矩形 5"/>
                        <wps:cNvSpPr/>
                        <wps:spPr>
                          <a:xfrm>
                            <a:off x="13671" y="-204"/>
                            <a:ext cx="12005" cy="7440"/>
                          </a:xfrm>
                          <a:prstGeom prst="rect">
                            <a:avLst/>
                          </a:prstGeom>
                          <a:solidFill>
                            <a:srgbClr val="FDBC11"/>
                          </a:solidFill>
                          <a:ln w="12700" cap="flat" cmpd="sng" algn="ctr">
                            <a:noFill/>
                            <a:prstDash val="solid"/>
                            <a:miter lim="800000"/>
                          </a:ln>
                          <a:effectLst/>
                        </wps:spPr>
                        <wps:bodyPr rtlCol="0" anchor="ctr" anchorCtr="0"/>
                      </wps:wsp>
                      <wps:wsp>
                        <wps:cNvPr id="11" name="文本框 10"/>
                        <wps:cNvSpPr txBox="1"/>
                        <wps:spPr>
                          <a:xfrm>
                            <a:off x="17279" y="5682"/>
                            <a:ext cx="8083" cy="1453"/>
                          </a:xfrm>
                          <a:prstGeom prst="rect">
                            <a:avLst/>
                          </a:prstGeom>
                          <a:noFill/>
                          <a:ln>
                            <a:noFill/>
                          </a:ln>
                          <a:effectLst/>
                        </wps:spPr>
                        <wps:txbx>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wps:txbx>
                        <wps:bodyPr wrap="square" rtlCol="0">
                          <a:spAutoFit/>
                        </wps:bodyPr>
                      </wps:wsp>
                    </wpg:wgp>
                  </a:graphicData>
                </a:graphic>
              </wp:anchor>
            </w:drawing>
          </mc:Choice>
          <mc:Fallback>
            <w:pict>
              <v:group id="组合 4" o:spid="_x0000_s1026" o:spt="203" style="position:absolute;left:0pt;margin-left:-2.65pt;margin-top:-35.85pt;height:356.3pt;width:600.25pt;z-index:-251649024;mso-width-relative:page;mso-height-relative:page;" coordorigin="13671,-204" coordsize="12005,7440" o:gfxdata="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AI+woI3AAAAAsBAAAPAAAAAAAAAAEAIAAAACIAAABkcnMvZG93bnJl&#10;di54bWxQSwECFAAUAAAACACHTuJAJ5C2Gd0CAADPBgAADgAAAAAAAAABACAAAAArAQAAZHJzL2Uy&#10;b0RvYy54bWxQSwUGAAAAAAYABgBZAQAAegYAAAAA&#10;">
                <o:lock v:ext="edit" aspectratio="f"/>
                <v:rect id="矩形 5" o:spid="_x0000_s1026" o:spt="1" style="position:absolute;left:13671;top:-204;height:744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79;top:5682;height:1453;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txbx>
                        <w:txbxContent>
                          <w:p/>
                        </w:txbxContent>
                      </wps:txbx>
                      <wps:bodyPr rtlCol="0" anchor="ctr" anchorCtr="0"/>
                    </wps:wsp>
                  </a:graphicData>
                </a:graphic>
              </wp:anchor>
            </w:drawing>
          </mc:Choice>
          <mc:Fallback>
            <w:pict>
              <v:shape id="椭圆 8" o:spid="_x0000_s1026" o:spt="3" type="#_x0000_t3" style="position:absolute;left:0pt;margin-left:53.5pt;margin-top:232.45pt;height:121.95pt;width:121.95pt;z-index:251659264;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yXOe2QAAAAsBAAAPAAAAAAAAAAEAIAAAACIAAABkcnMvZG93bnJl&#10;di54bWxQSwECFAAUAAAACACHTuJAw/ztCvwBAADxAwAADgAAAAAAAAABACAAAAAoAQAAZHJzL2Uy&#10;b0RvYy54bWxQSwUGAAAAAAYABgBZAQAAlgUAAAAA&#10;">
                <v:fill on="t" focussize="0,0"/>
                <v:stroke on="f" weight="1pt" miterlimit="8"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a:noFill/>
                        <a:ln>
                          <a:noFill/>
                        </a:ln>
                        <a:effectLst/>
                      </wps:spPr>
                      <wps:txbx>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0288;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pVqbnZAAAACgEAAA8AAAAAAAAAAQAgAAAAIgAAAGRycy9kb3du&#10;cmV2LnhtbFBLAQIUABQAAAAIAIdO4kBOsRLzxQEAAHgDAAAOAAAAAAAAAAEAIAAAACgBAABkcnMv&#10;ZTJvRG9jLnhtbFBLBQYAAAAABgAGAFkBAABfBQAAAAA=&#10;">
                <v:fill on="f" focussize="0,0"/>
                <v:stroke on="f"/>
                <v:imagedata o:title=""/>
                <o:lock v:ext="edit" aspectratio="f"/>
                <v:textbox style="mso-fit-shape-to-text:t;">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a:effectLst/>
                      </wpg:grpSpPr>
                      <wps:wsp>
                        <wps:cNvPr id="7" name="矩形 6"/>
                        <wps:cNvSpPr/>
                        <wps:spPr>
                          <a:xfrm>
                            <a:off x="1483" y="16692"/>
                            <a:ext cx="1125" cy="428"/>
                          </a:xfrm>
                          <a:prstGeom prst="rect">
                            <a:avLst/>
                          </a:prstGeom>
                          <a:solidFill>
                            <a:srgbClr val="FDBC11"/>
                          </a:solidFill>
                          <a:ln w="12700" cap="flat" cmpd="sng" algn="ctr">
                            <a:noFill/>
                            <a:prstDash val="solid"/>
                            <a:miter lim="800000"/>
                          </a:ln>
                          <a:effectLst/>
                        </wps:spPr>
                        <wps:bodyPr rtlCol="0" anchor="ctr" anchorCtr="0"/>
                      </wps:wsp>
                      <wps:wsp>
                        <wps:cNvPr id="8" name="矩形 7"/>
                        <wps:cNvSpPr/>
                        <wps:spPr>
                          <a:xfrm>
                            <a:off x="2608" y="16693"/>
                            <a:ext cx="10780" cy="428"/>
                          </a:xfrm>
                          <a:prstGeom prst="rect">
                            <a:avLst/>
                          </a:prstGeom>
                          <a:solidFill>
                            <a:srgbClr val="1F2959"/>
                          </a:solidFill>
                          <a:ln w="12700" cap="flat" cmpd="sng" algn="ctr">
                            <a:noFill/>
                            <a:prstDash val="solid"/>
                            <a:miter lim="800000"/>
                          </a:ln>
                          <a:effectLst/>
                        </wps:spPr>
                        <wps:bodyPr rtlCol="0" anchor="ctr" anchorCtr="0"/>
                      </wps:wsp>
                    </wpg:wgp>
                  </a:graphicData>
                </a:graphic>
              </wp:anchor>
            </w:drawing>
          </mc:Choice>
          <mc:Fallback>
            <w:pict>
              <v:group id="_x0000_s1026" o:spid="_x0000_s1026" o:spt="203" style="position:absolute;left:0pt;margin-left:1.25pt;margin-top:821.7pt;height:21.45pt;width:595.25pt;z-index:251661312;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NNcnyXaAAAADAEAAA8AAAAAAAAAAQAgAAAAIgAAAGRycy9kb3ducmV2LnhtbFBL&#10;AQIUABQAAAAIAIdO4kCrzNDKnwIAACoHAAAOAAAAAAAAAAEAIAAAACkBAABkcnMvZTJvRG9jLnht&#10;bFBLBQYAAAAABgAGAFkBAAA6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a:effectLst/>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2336;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kF9HbAAAADAEAAA8AAAAAAAAAAQAgAAAAIgAAAGRycy9kb3ducmV2LnhtbFBLAQIU&#10;ABQAAAAIAIdO4kBICsdgtwEAAGsDAAAOAAAAAAAAAAEAIAAAACoBAABkcnMvZTJvRG9jLnhtbFBL&#10;BQYAAAAABgAGAFkBAABT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pPr>
      <w:r>
        <mc:AlternateContent>
          <mc:Choice Requires="wps">
            <w:drawing>
              <wp:anchor distT="0" distB="0" distL="114300" distR="114300" simplePos="0" relativeHeight="251664384" behindDoc="0" locked="0" layoutInCell="1" allowOverlap="1">
                <wp:simplePos x="0" y="0"/>
                <wp:positionH relativeFrom="column">
                  <wp:posOffset>-196850</wp:posOffset>
                </wp:positionH>
                <wp:positionV relativeFrom="paragraph">
                  <wp:posOffset>1058545</wp:posOffset>
                </wp:positionV>
                <wp:extent cx="1374775" cy="1640840"/>
                <wp:effectExtent l="0" t="0" r="15875" b="16510"/>
                <wp:wrapNone/>
                <wp:docPr id="2" name="椭圆 9"/>
                <wp:cNvGraphicFramePr/>
                <a:graphic xmlns:a="http://schemas.openxmlformats.org/drawingml/2006/main">
                  <a:graphicData uri="http://schemas.microsoft.com/office/word/2010/wordprocessingShape">
                    <wps:wsp>
                      <wps:cNvSpPr/>
                      <wps:spPr>
                        <a:xfrm>
                          <a:off x="0" y="0"/>
                          <a:ext cx="1374775" cy="1640840"/>
                        </a:xfrm>
                        <a:prstGeom prst="ellipse">
                          <a:avLst/>
                        </a:prstGeom>
                        <a:solidFill>
                          <a:srgbClr val="1F2959"/>
                        </a:solidFill>
                        <a:ln w="12700">
                          <a:noFill/>
                        </a:ln>
                      </wps:spPr>
                      <wps:txbx>
                        <w:txbxContent>
                          <w:p>
                            <w:pPr>
                              <w:jc w:val="center"/>
                              <w:rPr>
                                <w:rFonts w:ascii="黑体" w:hAnsi="黑体" w:eastAsia="黑体" w:cs="黑体"/>
                                <w:sz w:val="52"/>
                                <w:szCs w:val="52"/>
                              </w:rPr>
                            </w:pPr>
                            <w:r>
                              <w:rPr>
                                <w:rFonts w:hint="eastAsia" w:ascii="黑体" w:hAnsi="黑体" w:eastAsia="黑体" w:cs="黑体"/>
                                <w:sz w:val="52"/>
                                <w:szCs w:val="52"/>
                              </w:rPr>
                              <w:t>2019</w:t>
                            </w:r>
                          </w:p>
                        </w:txbxContent>
                      </wps:txbx>
                      <wps:bodyPr vert="horz" anchor="ctr" anchorCtr="0" upright="1"/>
                    </wps:wsp>
                  </a:graphicData>
                </a:graphic>
              </wp:anchor>
            </w:drawing>
          </mc:Choice>
          <mc:Fallback>
            <w:pict>
              <v:shape id="椭圆 9" o:spid="_x0000_s1026" o:spt="3" type="#_x0000_t3" style="position:absolute;left:0pt;margin-left:-15.5pt;margin-top:83.35pt;height:129.2pt;width:108.25pt;z-index:251664384;v-text-anchor:middle;mso-width-relative:page;mso-height-relative:page;" fillcolor="#1F2959" filled="t" stroked="f" coordsize="21600,21600" o:gfxdata="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rs6y2gAAAAsBAAAPAAAA&#10;AAAAAAEAIAAAACIAAABkcnMvZG93bnJldi54bWxQSwECFAAUAAAACACHTuJALIFUd9oBAACfAwAA&#10;DgAAAAAAAAABACAAAAApAQAAZHJzL2Uyb0RvYy54bWxQSwUGAAAAAAYABgBZAQAAdQUAAAAA&#10;">
                <v:fill on="t" focussize="0,0"/>
                <v:stroke on="f" weight="1pt"/>
                <v:imagedata o:title=""/>
                <o:lock v:ext="edit" aspectratio="f"/>
                <v:textbox>
                  <w:txbxContent>
                    <w:p>
                      <w:pPr>
                        <w:jc w:val="center"/>
                        <w:rPr>
                          <w:rFonts w:ascii="黑体" w:hAnsi="黑体" w:eastAsia="黑体" w:cs="黑体"/>
                          <w:sz w:val="52"/>
                          <w:szCs w:val="52"/>
                        </w:rPr>
                      </w:pPr>
                      <w:r>
                        <w:rPr>
                          <w:rFonts w:hint="eastAsia" w:ascii="黑体" w:hAnsi="黑体" w:eastAsia="黑体" w:cs="黑体"/>
                          <w:sz w:val="52"/>
                          <w:szCs w:val="52"/>
                        </w:rPr>
                        <w:t>2019</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438150</wp:posOffset>
                </wp:positionH>
                <wp:positionV relativeFrom="paragraph">
                  <wp:posOffset>6644005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a:effectLst/>
                      </wps:spPr>
                      <wps:txbx>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txbxContent>
                      </wps:txbx>
                      <wps:bodyPr wrap="square" rtlCol="0">
                        <a:spAutoFit/>
                      </wps:bodyPr>
                    </wps:wsp>
                  </a:graphicData>
                </a:graphic>
              </wp:anchor>
            </w:drawing>
          </mc:Choice>
          <mc:Fallback>
            <w:pict>
              <v:shape id="文本框 10" o:spid="_x0000_s1026" o:spt="202" type="#_x0000_t202" style="position:absolute;left:0pt;margin-left:34.5pt;margin-top:523.15pt;height:79.95pt;width:404.15pt;z-index:251663360;mso-width-relative:page;mso-height-relative:page;" filled="f" stroked="f" coordsize="21600,21600" o:gfxdata="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JIna/YAAAADAEAAA8AAAAAAAAAAQAgAAAAIgAAAGRycy9kb3du&#10;cmV2LnhtbFBLAQIUABQAAAAIAIdO4kA3nSYVxgEAAIUDAAAOAAAAAAAAAAEAIAAAACcBAABkcnMv&#10;ZTJvRG9jLnhtbFBLBQYAAAAABgAGAFkBAABfBQAAAAA=&#10;">
                <v:fill on="f" focussize="0,0"/>
                <v:stroke on="f"/>
                <v:imagedata o:title=""/>
                <o:lock v:ext="edit" aspectratio="f"/>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txbxContent>
                </v:textbox>
              </v:shape>
            </w:pict>
          </mc:Fallback>
        </mc:AlternateContent>
      </w:r>
      <w:r>
        <w:rPr>
          <w:rFonts w:ascii="黑体" w:hAnsi="Times New Roman" w:eastAsia="黑体"/>
          <w:sz w:val="48"/>
          <w:szCs w:val="48"/>
        </w:rPr>
        <w:br w:type="page"/>
      </w:r>
    </w:p>
    <w:p>
      <w:pPr>
        <w:tabs>
          <w:tab w:val="left" w:pos="2728"/>
        </w:tabs>
        <w:rPr>
          <w:rFonts w:ascii="黑体" w:hAnsi="Times New Roman" w:eastAsia="黑体"/>
          <w:sz w:val="48"/>
          <w:szCs w:val="48"/>
        </w:rPr>
      </w:pPr>
      <w:r>
        <w:rPr>
          <w:rFonts w:hint="eastAsia" w:ascii="黑体" w:hAnsi="黑体" w:eastAsia="黑体" w:cs="黑体"/>
          <w:sz w:val="56"/>
          <w:szCs w:val="72"/>
          <w:lang w:eastAsia="zh-CN"/>
        </w:rPr>
        <w:drawing>
          <wp:inline distT="0" distB="0" distL="114300" distR="114300">
            <wp:extent cx="5568315" cy="7400290"/>
            <wp:effectExtent l="0" t="0" r="13335" b="10160"/>
            <wp:docPr id="10" name="图片 1" descr="19年决算公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19年决算公开"/>
                    <pic:cNvPicPr>
                      <a:picLocks noChangeAspect="1"/>
                    </pic:cNvPicPr>
                  </pic:nvPicPr>
                  <pic:blipFill>
                    <a:blip r:embed="rId19"/>
                    <a:stretch>
                      <a:fillRect/>
                    </a:stretch>
                  </pic:blipFill>
                  <pic:spPr>
                    <a:xfrm>
                      <a:off x="0" y="0"/>
                      <a:ext cx="5568315" cy="7400290"/>
                    </a:xfrm>
                    <a:prstGeom prst="rect">
                      <a:avLst/>
                    </a:prstGeom>
                    <a:noFill/>
                    <a:ln>
                      <a:noFill/>
                    </a:ln>
                  </pic:spPr>
                </pic:pic>
              </a:graphicData>
            </a:graphic>
          </wp:inline>
        </w:drawing>
      </w:r>
    </w:p>
    <w:p>
      <w:pPr>
        <w:spacing w:line="360" w:lineRule="auto"/>
        <w:jc w:val="center"/>
        <w:rPr>
          <w:rFonts w:hint="eastAsia" w:ascii="黑体" w:hAnsi="黑体" w:eastAsia="黑体" w:cs="黑体"/>
          <w:sz w:val="56"/>
          <w:szCs w:val="72"/>
          <w:lang w:eastAsia="zh-CN"/>
        </w:rPr>
      </w:pPr>
    </w:p>
    <w:p>
      <w:pPr>
        <w:snapToGrid w:val="0"/>
        <w:rPr>
          <w:rFonts w:ascii="楷体_GB2312" w:hAnsi="楷体_GB2312" w:eastAsia="楷体_GB2312" w:cs="楷体_GB2312"/>
          <w:color w:val="000000"/>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p>
    <w:p>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黑体" w:hAnsi="黑体" w:eastAsia="黑体" w:cs="黑体"/>
          <w:sz w:val="32"/>
          <w:szCs w:val="32"/>
        </w:rPr>
      </w:pPr>
      <w:r>
        <w:rPr>
          <w:rFonts w:hint="eastAsia" w:ascii="黑体" w:hAnsi="黑体" w:eastAsia="黑体" w:cs="黑体"/>
          <w:sz w:val="32"/>
          <w:szCs w:val="32"/>
        </w:rPr>
        <w:t>第一部分   部门概况</w:t>
      </w:r>
    </w:p>
    <w:p>
      <w:pPr>
        <w:widowControl/>
        <w:spacing w:after="160" w:line="580" w:lineRule="exact"/>
        <w:ind w:firstLine="1273" w:firstLineChars="398"/>
        <w:rPr>
          <w:rFonts w:ascii="仿宋" w:hAnsi="仿宋" w:eastAsia="仿宋" w:cs="仿宋"/>
          <w:sz w:val="32"/>
          <w:szCs w:val="32"/>
        </w:rPr>
      </w:pPr>
      <w:r>
        <w:rPr>
          <w:rFonts w:hint="eastAsia" w:ascii="仿宋" w:hAnsi="仿宋" w:eastAsia="仿宋" w:cs="仿宋"/>
          <w:sz w:val="32"/>
          <w:szCs w:val="32"/>
        </w:rPr>
        <w:t>一、部门职责</w:t>
      </w:r>
    </w:p>
    <w:p>
      <w:pPr>
        <w:widowControl/>
        <w:spacing w:after="160" w:line="580" w:lineRule="exact"/>
        <w:ind w:firstLine="1273" w:firstLineChars="398"/>
        <w:rPr>
          <w:rFonts w:ascii="仿宋" w:hAnsi="仿宋" w:eastAsia="仿宋" w:cs="仿宋"/>
          <w:sz w:val="32"/>
          <w:szCs w:val="32"/>
        </w:rPr>
      </w:pPr>
      <w:r>
        <w:rPr>
          <w:rFonts w:hint="eastAsia" w:ascii="仿宋" w:hAnsi="仿宋" w:eastAsia="仿宋" w:cs="仿宋"/>
          <w:sz w:val="32"/>
          <w:szCs w:val="32"/>
        </w:rPr>
        <w:t>二、机构设置</w:t>
      </w:r>
    </w:p>
    <w:p>
      <w:pPr>
        <w:widowControl/>
        <w:spacing w:after="160" w:line="580" w:lineRule="exact"/>
        <w:ind w:firstLine="640" w:firstLineChars="200"/>
        <w:rPr>
          <w:rFonts w:ascii="黑体" w:hAnsi="黑体" w:eastAsia="黑体" w:cs="黑体"/>
          <w:sz w:val="32"/>
          <w:szCs w:val="32"/>
        </w:rPr>
      </w:pPr>
      <w:r>
        <w:rPr>
          <w:rFonts w:hint="eastAsia" w:ascii="黑体" w:hAnsi="黑体" w:eastAsia="黑体" w:cs="黑体"/>
          <w:sz w:val="32"/>
          <w:szCs w:val="32"/>
        </w:rPr>
        <w:t>第二部分   2019年部门决算情况说明</w:t>
      </w:r>
    </w:p>
    <w:p>
      <w:pPr>
        <w:widowControl/>
        <w:spacing w:after="160"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一、收入支出决算总体情况说明</w:t>
      </w:r>
    </w:p>
    <w:p>
      <w:pPr>
        <w:widowControl/>
        <w:spacing w:after="160"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二、收入决算情况说明</w:t>
      </w:r>
    </w:p>
    <w:p>
      <w:pPr>
        <w:widowControl/>
        <w:spacing w:after="160"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三、支出决算情况说明</w:t>
      </w:r>
    </w:p>
    <w:p>
      <w:pPr>
        <w:widowControl/>
        <w:spacing w:after="160"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四、财政拨款收入支出决算总体情况说明</w:t>
      </w:r>
    </w:p>
    <w:p>
      <w:pPr>
        <w:widowControl/>
        <w:spacing w:after="160"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五、一般公共预算“三公”经费支出决算情况说明</w:t>
      </w:r>
    </w:p>
    <w:p>
      <w:pPr>
        <w:widowControl/>
        <w:spacing w:after="160"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六、预算绩效情况说明</w:t>
      </w:r>
    </w:p>
    <w:p>
      <w:pPr>
        <w:widowControl/>
        <w:spacing w:after="160" w:line="580" w:lineRule="exact"/>
        <w:ind w:left="640" w:firstLine="640" w:firstLineChars="200"/>
        <w:rPr>
          <w:rFonts w:ascii="仿宋" w:hAnsi="仿宋" w:eastAsia="仿宋" w:cs="仿宋"/>
          <w:sz w:val="32"/>
          <w:szCs w:val="32"/>
        </w:rPr>
      </w:pPr>
      <w:r>
        <w:rPr>
          <w:rFonts w:hint="eastAsia" w:ascii="仿宋" w:hAnsi="仿宋" w:eastAsia="仿宋" w:cs="仿宋"/>
          <w:sz w:val="32"/>
          <w:szCs w:val="32"/>
        </w:rPr>
        <w:t>七、其他重要事项的说明</w:t>
      </w:r>
    </w:p>
    <w:p>
      <w:pPr>
        <w:widowControl/>
        <w:spacing w:after="160" w:line="580" w:lineRule="exact"/>
        <w:ind w:firstLine="640" w:firstLineChars="200"/>
        <w:rPr>
          <w:rFonts w:ascii="黑体" w:hAnsi="黑体" w:eastAsia="黑体" w:cs="黑体"/>
          <w:sz w:val="32"/>
          <w:szCs w:val="32"/>
        </w:rPr>
      </w:pPr>
      <w:r>
        <w:rPr>
          <w:rFonts w:hint="eastAsia" w:ascii="黑体" w:hAnsi="黑体" w:eastAsia="黑体" w:cs="黑体"/>
          <w:sz w:val="32"/>
          <w:szCs w:val="32"/>
        </w:rPr>
        <w:t>第三部分  名词解释</w:t>
      </w:r>
    </w:p>
    <w:p>
      <w:pPr>
        <w:widowControl/>
        <w:spacing w:after="160" w:line="580" w:lineRule="exact"/>
        <w:ind w:firstLine="640" w:firstLineChars="200"/>
        <w:rPr>
          <w:rFonts w:ascii="黑体" w:hAnsi="黑体" w:eastAsia="黑体" w:cs="黑体"/>
          <w:sz w:val="32"/>
          <w:szCs w:val="32"/>
        </w:rPr>
      </w:pPr>
      <w:r>
        <w:rPr>
          <w:rFonts w:hint="eastAsia" w:ascii="黑体" w:hAnsi="黑体" w:eastAsia="黑体" w:cs="黑体"/>
          <w:sz w:val="32"/>
          <w:szCs w:val="32"/>
        </w:rPr>
        <w:t>第四部分  2019年度部门决算报表</w:t>
      </w:r>
    </w:p>
    <w:p>
      <w:pPr>
        <w:widowControl/>
        <w:spacing w:after="160" w:line="580" w:lineRule="exact"/>
        <w:ind w:firstLine="640" w:firstLineChars="200"/>
        <w:rPr>
          <w:rFonts w:ascii="黑体" w:hAnsi="黑体" w:eastAsia="黑体" w:cs="黑体"/>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
    <w:p/>
    <w:p/>
    <w:p/>
    <w:p/>
    <w:p/>
    <w:p/>
    <w:p/>
    <w:p/>
    <w:p/>
    <w:p/>
    <w:p/>
    <w:p/>
    <w:p/>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p>
      <w:r>
        <w:br w:type="page"/>
      </w:r>
    </w:p>
    <w:p>
      <w:pPr>
        <w:pStyle w:val="2"/>
        <w:spacing w:before="0" w:after="0" w:line="580" w:lineRule="exact"/>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616" w:lineRule="atLeast"/>
        <w:rPr>
          <w:rFonts w:ascii="仿宋" w:hAnsi="仿宋" w:eastAsia="仿宋" w:cs="仿宋"/>
          <w:color w:val="000000"/>
          <w:kern w:val="0"/>
          <w:sz w:val="32"/>
          <w:szCs w:val="32"/>
        </w:rPr>
      </w:pPr>
      <w:r>
        <w:rPr>
          <w:rFonts w:hint="eastAsia" w:ascii="仿宋" w:hAnsi="仿宋" w:eastAsia="仿宋" w:cs="仿宋"/>
          <w:b/>
          <w:color w:val="000000"/>
          <w:kern w:val="0"/>
          <w:sz w:val="32"/>
          <w:szCs w:val="32"/>
        </w:rPr>
        <w:t>（一）促进经济发展，增加农民收入。</w:t>
      </w:r>
      <w:r>
        <w:rPr>
          <w:rFonts w:hint="eastAsia" w:ascii="仿宋" w:hAnsi="仿宋" w:eastAsia="仿宋" w:cs="仿宋"/>
          <w:color w:val="000000"/>
          <w:kern w:val="0"/>
          <w:sz w:val="32"/>
          <w:szCs w:val="32"/>
        </w:rPr>
        <w:t>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spacing w:line="616" w:lineRule="atLeas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（二）提供公共服务，着力改善民生。</w:t>
      </w:r>
      <w:r>
        <w:rPr>
          <w:rFonts w:hint="eastAsia" w:ascii="仿宋" w:hAnsi="仿宋" w:eastAsia="仿宋" w:cs="仿宋"/>
          <w:sz w:val="32"/>
          <w:szCs w:val="32"/>
        </w:rPr>
        <w:t>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spacing w:line="616" w:lineRule="atLeast"/>
        <w:ind w:firstLine="249" w:firstLineChars="78"/>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（三）加强社会管理，维护农村稳定。</w:t>
      </w:r>
      <w:r>
        <w:rPr>
          <w:rFonts w:hint="eastAsia" w:ascii="仿宋" w:hAnsi="仿宋" w:eastAsia="仿宋" w:cs="仿宋"/>
          <w:sz w:val="32"/>
          <w:szCs w:val="32"/>
        </w:rPr>
        <w:t>组织、监督国家法律法规和基本公共政策在农村的实施，制定社会主义新农村和文明生态村建设的规划和措施；加强镇村财政资金监管和镇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widowControl/>
        <w:spacing w:line="580" w:lineRule="exact"/>
        <w:ind w:firstLine="643" w:firstLineChars="200"/>
        <w:rPr>
          <w:rFonts w:ascii="仿宋" w:hAnsi="仿宋" w:eastAsia="仿宋" w:cs="仿宋"/>
          <w:kern w:val="0"/>
          <w:sz w:val="32"/>
          <w:szCs w:val="32"/>
        </w:rPr>
      </w:pPr>
      <w:r>
        <w:rPr>
          <w:rFonts w:hint="eastAsia" w:ascii="仿宋" w:hAnsi="仿宋" w:eastAsia="仿宋" w:cs="仿宋"/>
          <w:b/>
          <w:sz w:val="32"/>
          <w:szCs w:val="32"/>
        </w:rPr>
        <w:t>（四）推进基层民主，促进农村和谐。</w:t>
      </w:r>
      <w:r>
        <w:rPr>
          <w:rFonts w:hint="eastAsia" w:ascii="仿宋" w:hAnsi="仿宋" w:eastAsia="仿宋" w:cs="仿宋"/>
          <w:sz w:val="32"/>
          <w:szCs w:val="32"/>
        </w:rPr>
        <w:t>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w:t>
      </w:r>
      <w:r>
        <w:rPr>
          <w:rFonts w:ascii="仿宋_GB2312" w:hAnsi="Calibri" w:eastAsia="仿宋_GB2312" w:cs="ArialUnicodeMS"/>
          <w:kern w:val="0"/>
          <w:sz w:val="32"/>
          <w:szCs w:val="32"/>
        </w:rPr>
        <w:t xml:space="preserve">2019 </w:t>
      </w:r>
      <w:r>
        <w:rPr>
          <w:rFonts w:hint="eastAsia" w:ascii="仿宋_GB2312" w:hAnsi="Calibri" w:eastAsia="仿宋_GB2312" w:cs="ArialUnicodeMS"/>
          <w:kern w:val="0"/>
          <w:sz w:val="32"/>
          <w:szCs w:val="32"/>
        </w:rPr>
        <w:t>年度本部门决算汇编范围的独立核算单位（以下简称“单位”）共1个，具体情况如下：</w:t>
      </w:r>
    </w:p>
    <w:p>
      <w:pPr>
        <w:jc w:val="center"/>
        <w:rPr>
          <w:rFonts w:ascii="仿宋" w:hAnsi="仿宋" w:eastAsia="仿宋" w:cs="仿宋"/>
          <w:b/>
          <w:sz w:val="32"/>
          <w:szCs w:val="32"/>
        </w:rPr>
      </w:pPr>
      <w:r>
        <w:rPr>
          <w:rFonts w:hint="eastAsia" w:ascii="仿宋" w:hAnsi="仿宋" w:eastAsia="仿宋" w:cs="仿宋"/>
          <w:b/>
          <w:sz w:val="32"/>
          <w:szCs w:val="32"/>
        </w:rPr>
        <w:t>部门机构设置情况</w:t>
      </w:r>
    </w:p>
    <w:tbl>
      <w:tblPr>
        <w:tblStyle w:val="6"/>
        <w:tblW w:w="10518" w:type="dxa"/>
        <w:jc w:val="center"/>
        <w:tblLayout w:type="fixed"/>
        <w:tblCellMar>
          <w:top w:w="0" w:type="dxa"/>
          <w:left w:w="108" w:type="dxa"/>
          <w:bottom w:w="0" w:type="dxa"/>
          <w:right w:w="108" w:type="dxa"/>
        </w:tblCellMar>
      </w:tblPr>
      <w:tblGrid>
        <w:gridCol w:w="4787"/>
        <w:gridCol w:w="1412"/>
        <w:gridCol w:w="1214"/>
        <w:gridCol w:w="3105"/>
      </w:tblGrid>
      <w:tr>
        <w:tblPrEx>
          <w:tblCellMar>
            <w:top w:w="0" w:type="dxa"/>
            <w:left w:w="108" w:type="dxa"/>
            <w:bottom w:w="0" w:type="dxa"/>
            <w:right w:w="108" w:type="dxa"/>
          </w:tblCellMar>
        </w:tblPrEx>
        <w:trPr>
          <w:trHeight w:val="775" w:hRule="atLeast"/>
          <w:tblHeader/>
          <w:jc w:val="center"/>
        </w:trPr>
        <w:tc>
          <w:tcPr>
            <w:tcW w:w="47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单位名称</w:t>
            </w:r>
          </w:p>
        </w:tc>
        <w:tc>
          <w:tcPr>
            <w:tcW w:w="14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单位性质</w:t>
            </w:r>
          </w:p>
        </w:tc>
        <w:tc>
          <w:tcPr>
            <w:tcW w:w="121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单位规格</w:t>
            </w:r>
          </w:p>
        </w:tc>
        <w:tc>
          <w:tcPr>
            <w:tcW w:w="31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经费保障形式</w:t>
            </w:r>
          </w:p>
        </w:tc>
      </w:tr>
      <w:tr>
        <w:tblPrEx>
          <w:tblCellMar>
            <w:top w:w="0" w:type="dxa"/>
            <w:left w:w="108" w:type="dxa"/>
            <w:bottom w:w="0" w:type="dxa"/>
            <w:right w:w="108" w:type="dxa"/>
          </w:tblCellMar>
        </w:tblPrEx>
        <w:trPr>
          <w:trHeight w:val="775" w:hRule="atLeast"/>
          <w:jc w:val="center"/>
        </w:trPr>
        <w:tc>
          <w:tcPr>
            <w:tcW w:w="47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合    计</w:t>
            </w:r>
          </w:p>
        </w:tc>
        <w:tc>
          <w:tcPr>
            <w:tcW w:w="14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b/>
                <w:sz w:val="32"/>
                <w:szCs w:val="32"/>
              </w:rPr>
            </w:pPr>
          </w:p>
        </w:tc>
        <w:tc>
          <w:tcPr>
            <w:tcW w:w="121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b/>
                <w:sz w:val="32"/>
                <w:szCs w:val="32"/>
              </w:rPr>
            </w:pPr>
          </w:p>
        </w:tc>
        <w:tc>
          <w:tcPr>
            <w:tcW w:w="31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b/>
                <w:sz w:val="32"/>
                <w:szCs w:val="32"/>
              </w:rPr>
            </w:pPr>
          </w:p>
        </w:tc>
      </w:tr>
      <w:tr>
        <w:tblPrEx>
          <w:tblCellMar>
            <w:top w:w="0" w:type="dxa"/>
            <w:left w:w="108" w:type="dxa"/>
            <w:bottom w:w="0" w:type="dxa"/>
            <w:right w:w="108" w:type="dxa"/>
          </w:tblCellMar>
        </w:tblPrEx>
        <w:trPr>
          <w:trHeight w:val="1067" w:hRule="atLeast"/>
          <w:jc w:val="center"/>
        </w:trPr>
        <w:tc>
          <w:tcPr>
            <w:tcW w:w="47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遵化市遵化镇人民政府</w:t>
            </w:r>
          </w:p>
        </w:tc>
        <w:tc>
          <w:tcPr>
            <w:tcW w:w="14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行政</w:t>
            </w:r>
          </w:p>
        </w:tc>
        <w:tc>
          <w:tcPr>
            <w:tcW w:w="121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31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财政拨款</w:t>
            </w:r>
          </w:p>
        </w:tc>
      </w:tr>
      <w:tr>
        <w:tblPrEx>
          <w:tblCellMar>
            <w:top w:w="0" w:type="dxa"/>
            <w:left w:w="108" w:type="dxa"/>
            <w:bottom w:w="0" w:type="dxa"/>
            <w:right w:w="108" w:type="dxa"/>
          </w:tblCellMar>
        </w:tblPrEx>
        <w:trPr>
          <w:trHeight w:val="775" w:hRule="atLeast"/>
          <w:jc w:val="center"/>
        </w:trPr>
        <w:tc>
          <w:tcPr>
            <w:tcW w:w="47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遵化市遵化镇党政综合办公室</w:t>
            </w:r>
          </w:p>
        </w:tc>
        <w:tc>
          <w:tcPr>
            <w:tcW w:w="14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行政</w:t>
            </w:r>
          </w:p>
        </w:tc>
        <w:tc>
          <w:tcPr>
            <w:tcW w:w="121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31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财政拨款</w:t>
            </w:r>
          </w:p>
        </w:tc>
      </w:tr>
      <w:tr>
        <w:tblPrEx>
          <w:tblCellMar>
            <w:top w:w="0" w:type="dxa"/>
            <w:left w:w="108" w:type="dxa"/>
            <w:bottom w:w="0" w:type="dxa"/>
            <w:right w:w="108" w:type="dxa"/>
          </w:tblCellMar>
        </w:tblPrEx>
        <w:trPr>
          <w:trHeight w:val="775" w:hRule="atLeast"/>
          <w:jc w:val="center"/>
        </w:trPr>
        <w:tc>
          <w:tcPr>
            <w:tcW w:w="47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遵化市遵化镇社会事务办公室</w:t>
            </w:r>
          </w:p>
        </w:tc>
        <w:tc>
          <w:tcPr>
            <w:tcW w:w="14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行政</w:t>
            </w:r>
          </w:p>
        </w:tc>
        <w:tc>
          <w:tcPr>
            <w:tcW w:w="121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31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财政拨款</w:t>
            </w:r>
          </w:p>
        </w:tc>
      </w:tr>
      <w:tr>
        <w:tblPrEx>
          <w:tblCellMar>
            <w:top w:w="0" w:type="dxa"/>
            <w:left w:w="108" w:type="dxa"/>
            <w:bottom w:w="0" w:type="dxa"/>
            <w:right w:w="108" w:type="dxa"/>
          </w:tblCellMar>
        </w:tblPrEx>
        <w:trPr>
          <w:trHeight w:val="775" w:hRule="atLeast"/>
          <w:jc w:val="center"/>
        </w:trPr>
        <w:tc>
          <w:tcPr>
            <w:tcW w:w="47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遵化市遵化镇经济发展办公室</w:t>
            </w:r>
          </w:p>
        </w:tc>
        <w:tc>
          <w:tcPr>
            <w:tcW w:w="14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行政</w:t>
            </w:r>
          </w:p>
        </w:tc>
        <w:tc>
          <w:tcPr>
            <w:tcW w:w="121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31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财政拨款</w:t>
            </w:r>
          </w:p>
        </w:tc>
      </w:tr>
      <w:tr>
        <w:tblPrEx>
          <w:tblCellMar>
            <w:top w:w="0" w:type="dxa"/>
            <w:left w:w="108" w:type="dxa"/>
            <w:bottom w:w="0" w:type="dxa"/>
            <w:right w:w="108" w:type="dxa"/>
          </w:tblCellMar>
        </w:tblPrEx>
        <w:trPr>
          <w:trHeight w:val="775" w:hRule="atLeast"/>
          <w:jc w:val="center"/>
        </w:trPr>
        <w:tc>
          <w:tcPr>
            <w:tcW w:w="47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遵化市遵化镇城镇建设办公室</w:t>
            </w:r>
          </w:p>
        </w:tc>
        <w:tc>
          <w:tcPr>
            <w:tcW w:w="14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行政</w:t>
            </w:r>
          </w:p>
        </w:tc>
        <w:tc>
          <w:tcPr>
            <w:tcW w:w="121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31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财政拨款</w:t>
            </w:r>
          </w:p>
        </w:tc>
      </w:tr>
      <w:tr>
        <w:tblPrEx>
          <w:tblCellMar>
            <w:top w:w="0" w:type="dxa"/>
            <w:left w:w="108" w:type="dxa"/>
            <w:bottom w:w="0" w:type="dxa"/>
            <w:right w:w="108" w:type="dxa"/>
          </w:tblCellMar>
        </w:tblPrEx>
        <w:trPr>
          <w:trHeight w:val="775" w:hRule="atLeast"/>
          <w:jc w:val="center"/>
        </w:trPr>
        <w:tc>
          <w:tcPr>
            <w:tcW w:w="47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遵化市遵化镇社会治安综合治理办公室</w:t>
            </w:r>
          </w:p>
        </w:tc>
        <w:tc>
          <w:tcPr>
            <w:tcW w:w="14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行政</w:t>
            </w:r>
          </w:p>
        </w:tc>
        <w:tc>
          <w:tcPr>
            <w:tcW w:w="121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31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财政拨款</w:t>
            </w:r>
          </w:p>
        </w:tc>
      </w:tr>
      <w:tr>
        <w:tblPrEx>
          <w:tblCellMar>
            <w:top w:w="0" w:type="dxa"/>
            <w:left w:w="108" w:type="dxa"/>
            <w:bottom w:w="0" w:type="dxa"/>
            <w:right w:w="108" w:type="dxa"/>
          </w:tblCellMar>
        </w:tblPrEx>
        <w:trPr>
          <w:trHeight w:val="775" w:hRule="atLeast"/>
          <w:jc w:val="center"/>
        </w:trPr>
        <w:tc>
          <w:tcPr>
            <w:tcW w:w="47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遵化市遵化镇财政所农村经营管理服务站</w:t>
            </w:r>
          </w:p>
        </w:tc>
        <w:tc>
          <w:tcPr>
            <w:tcW w:w="14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事业</w:t>
            </w:r>
          </w:p>
        </w:tc>
        <w:tc>
          <w:tcPr>
            <w:tcW w:w="121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31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财政性资金基本保证</w:t>
            </w:r>
          </w:p>
        </w:tc>
      </w:tr>
      <w:tr>
        <w:tblPrEx>
          <w:tblCellMar>
            <w:top w:w="0" w:type="dxa"/>
            <w:left w:w="108" w:type="dxa"/>
            <w:bottom w:w="0" w:type="dxa"/>
            <w:right w:w="108" w:type="dxa"/>
          </w:tblCellMar>
        </w:tblPrEx>
        <w:trPr>
          <w:trHeight w:val="775" w:hRule="atLeast"/>
          <w:jc w:val="center"/>
        </w:trPr>
        <w:tc>
          <w:tcPr>
            <w:tcW w:w="47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遵化市遵化镇人口和计划生育服务中心</w:t>
            </w:r>
          </w:p>
        </w:tc>
        <w:tc>
          <w:tcPr>
            <w:tcW w:w="14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事业</w:t>
            </w:r>
          </w:p>
        </w:tc>
        <w:tc>
          <w:tcPr>
            <w:tcW w:w="121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31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财政性资金基本保证</w:t>
            </w:r>
          </w:p>
        </w:tc>
      </w:tr>
      <w:tr>
        <w:tblPrEx>
          <w:tblCellMar>
            <w:top w:w="0" w:type="dxa"/>
            <w:left w:w="108" w:type="dxa"/>
            <w:bottom w:w="0" w:type="dxa"/>
            <w:right w:w="108" w:type="dxa"/>
          </w:tblCellMar>
        </w:tblPrEx>
        <w:trPr>
          <w:trHeight w:val="775" w:hRule="atLeast"/>
          <w:jc w:val="center"/>
        </w:trPr>
        <w:tc>
          <w:tcPr>
            <w:tcW w:w="47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遵化市遵化镇文化综合服务中心</w:t>
            </w:r>
          </w:p>
        </w:tc>
        <w:tc>
          <w:tcPr>
            <w:tcW w:w="14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事业</w:t>
            </w:r>
          </w:p>
        </w:tc>
        <w:tc>
          <w:tcPr>
            <w:tcW w:w="121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31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财政性资金基本保证</w:t>
            </w:r>
          </w:p>
        </w:tc>
      </w:tr>
      <w:tr>
        <w:tblPrEx>
          <w:tblCellMar>
            <w:top w:w="0" w:type="dxa"/>
            <w:left w:w="108" w:type="dxa"/>
            <w:bottom w:w="0" w:type="dxa"/>
            <w:right w:w="108" w:type="dxa"/>
          </w:tblCellMar>
        </w:tblPrEx>
        <w:trPr>
          <w:trHeight w:val="1095" w:hRule="atLeast"/>
          <w:jc w:val="center"/>
        </w:trPr>
        <w:tc>
          <w:tcPr>
            <w:tcW w:w="478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遵化市遵化镇劳动保障事务站</w:t>
            </w:r>
          </w:p>
        </w:tc>
        <w:tc>
          <w:tcPr>
            <w:tcW w:w="14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事业</w:t>
            </w:r>
          </w:p>
        </w:tc>
        <w:tc>
          <w:tcPr>
            <w:tcW w:w="121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31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财政性资金基本保证</w:t>
            </w:r>
          </w:p>
        </w:tc>
      </w:tr>
    </w:tbl>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rPr>
          <w:rFonts w:ascii="Times New Roman" w:hAnsi="Times New Roman" w:eastAsia="黑体"/>
          <w:sz w:val="32"/>
          <w:szCs w:val="32"/>
        </w:rPr>
        <w:sectPr>
          <w:pgSz w:w="11906" w:h="16838"/>
          <w:pgMar w:top="2041" w:right="1531" w:bottom="2041" w:left="1531" w:header="851" w:footer="992" w:gutter="0"/>
          <w:pgNumType w:fmt="numberInDash"/>
          <w:cols w:space="0" w:num="1"/>
          <w:titlePg/>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-1088390</wp:posOffset>
                </wp:positionH>
                <wp:positionV relativeFrom="paragraph">
                  <wp:posOffset>3024505</wp:posOffset>
                </wp:positionV>
                <wp:extent cx="7793355" cy="291655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p>
                            <w:pPr>
                              <w:widowControl/>
                              <w:jc w:val="center"/>
                              <w:rPr>
                                <w:rFonts w:ascii="黑体" w:hAnsi="黑体" w:eastAsia="黑体" w:cs="黑体"/>
                                <w:color w:val="000000"/>
                                <w:sz w:val="96"/>
                                <w:szCs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229.65pt;width:613.65pt;z-index:251665408;mso-width-relative:page;mso-height-relative:page;" filled="f" stroked="f" coordsize="21600,21600" o:gfxdata="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w+URu3wAAAA0BAAAPAAAAAAAA&#10;AAEAIAAAACIAAABkcnMvZG93bnJldi54bWxQSwECFAAUAAAACACHTuJAke9USEQCAAB5BAAADgAA&#10;AAAAAAABACAAAAAuAQAAZHJzL2Uyb0RvYy54bWxQSwUGAAAAAAYABgBZAQAA5AUAAAAA&#10;">
                <v:fill on="f" focussize="0,0"/>
                <v:stroke on="f" weight="0.5pt"/>
                <v:imagedata o:title=""/>
                <o:lock v:ext="edit" aspectratio="f"/>
                <v:textbo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p>
                      <w:pPr>
                        <w:widowControl/>
                        <w:jc w:val="center"/>
                        <w:rPr>
                          <w:rFonts w:ascii="黑体" w:hAnsi="黑体" w:eastAsia="黑体" w:cs="黑体"/>
                          <w:color w:val="000000"/>
                          <w:sz w:val="96"/>
                          <w:szCs w:val="96"/>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321" w:firstLineChars="100"/>
        <w:outlineLvl w:val="1"/>
        <w:rPr>
          <w:rFonts w:ascii="仿宋" w:hAnsi="仿宋" w:eastAsia="仿宋" w:cs="仿宋"/>
          <w:b/>
          <w:bCs/>
          <w:sz w:val="32"/>
          <w:szCs w:val="32"/>
        </w:rPr>
      </w:pPr>
      <w:r>
        <w:rPr>
          <w:rFonts w:hint="eastAsia" w:ascii="仿宋" w:hAnsi="仿宋" w:eastAsia="仿宋" w:cs="仿宋"/>
          <w:b/>
          <w:bCs/>
          <w:sz w:val="32"/>
          <w:szCs w:val="32"/>
        </w:rPr>
        <w:t>一、收入</w:t>
      </w:r>
      <w:r>
        <w:rPr>
          <w:rFonts w:hint="eastAsia" w:ascii="仿宋" w:hAnsi="仿宋" w:eastAsia="仿宋" w:cs="仿宋"/>
          <w:b/>
          <w:bCs/>
          <w:kern w:val="0"/>
          <w:sz w:val="32"/>
          <w:szCs w:val="32"/>
        </w:rPr>
        <w:t>支出</w:t>
      </w:r>
      <w:r>
        <w:rPr>
          <w:rFonts w:hint="eastAsia" w:ascii="仿宋" w:hAnsi="仿宋" w:eastAsia="仿宋" w:cs="仿宋"/>
          <w:b/>
          <w:bCs/>
          <w:sz w:val="32"/>
          <w:szCs w:val="32"/>
        </w:rPr>
        <w:t>决算总体情况说明</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本部门2019年度收支总计3441.38万元。与2018年度决算相比，收支各减少33.81万元，下降0.97%，主要原因是比2018年人员调动工资保险等减少。</w:t>
      </w:r>
    </w:p>
    <w:p>
      <w:pPr>
        <w:adjustRightInd w:val="0"/>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二、收入决算情况说明</w:t>
      </w:r>
    </w:p>
    <w:p>
      <w:pPr>
        <w:adjustRightInd w:val="0"/>
        <w:snapToGrid w:val="0"/>
        <w:spacing w:line="580" w:lineRule="exact"/>
        <w:ind w:firstLine="640" w:firstLineChars="200"/>
        <w:rPr>
          <w:rFonts w:ascii="仿宋" w:hAnsi="仿宋" w:eastAsia="仿宋" w:cs="仿宋"/>
          <w:sz w:val="32"/>
          <w:szCs w:val="32"/>
          <w:highlight w:val="yellow"/>
        </w:rPr>
      </w:pPr>
      <w:r>
        <w:rPr>
          <w:rFonts w:hint="eastAsia" w:ascii="仿宋" w:hAnsi="仿宋" w:eastAsia="仿宋" w:cs="仿宋"/>
          <w:sz w:val="32"/>
          <w:szCs w:val="32"/>
        </w:rPr>
        <w:t>本部门2019年度本年收入合计3441.38万元，其中：财政拨款收入3441.38万元，占100%；事业收入0万元，占0%；经营收入0万元，占0%；其他收入0万元，占0%。</w:t>
      </w:r>
    </w:p>
    <w:p>
      <w:pPr>
        <w:keepNext/>
        <w:keepLines/>
        <w:snapToGrid w:val="0"/>
        <w:spacing w:line="580" w:lineRule="exact"/>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三、支出决算情况说明</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本部门2019年度本年支出合计3441.38万元，其中：基本支出1235.01万元，占35.89%；项目支出2206.37万元，占64.11%；经营支出0万元，占0%。</w:t>
      </w:r>
    </w:p>
    <w:p>
      <w:pPr>
        <w:keepNext/>
        <w:keepLines/>
        <w:snapToGrid w:val="0"/>
        <w:spacing w:line="580" w:lineRule="exact"/>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四、</w:t>
      </w:r>
      <w:r>
        <w:rPr>
          <w:rFonts w:hint="eastAsia" w:ascii="仿宋" w:hAnsi="仿宋" w:eastAsia="仿宋" w:cs="仿宋"/>
          <w:b/>
          <w:bCs/>
          <w:kern w:val="0"/>
          <w:sz w:val="32"/>
          <w:szCs w:val="32"/>
        </w:rPr>
        <w:t>财政</w:t>
      </w:r>
      <w:r>
        <w:rPr>
          <w:rFonts w:hint="eastAsia" w:ascii="仿宋" w:hAnsi="仿宋" w:eastAsia="仿宋" w:cs="仿宋"/>
          <w:b/>
          <w:bCs/>
          <w:sz w:val="32"/>
          <w:szCs w:val="32"/>
        </w:rPr>
        <w:t>拨款收入支出决算总体情况说明</w:t>
      </w:r>
    </w:p>
    <w:p>
      <w:pPr>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（一）财政拨款收支与2018 年度决算对比情况</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本部门2019年度形成的财政拨款收支均为一般公共预算财政拨款，其中本年收入3441.38万元,比2018年度减少33.81万元，降低0.97%，主要原因是比2018年人员调动工资保险等减少。</w:t>
      </w:r>
    </w:p>
    <w:p>
      <w:pPr>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本年支出3441.38万元，比2018年减少33.81万元，降低0.97%，主要原因是比2018年人员调动工资保险等减少。</w:t>
      </w:r>
    </w:p>
    <w:p>
      <w:pPr>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（二）财政拨款收支与年初预算数对比情况</w:t>
      </w:r>
    </w:p>
    <w:p>
      <w:pPr>
        <w:adjustRightInd w:val="0"/>
        <w:snapToGrid w:val="0"/>
        <w:spacing w:line="580" w:lineRule="exact"/>
        <w:ind w:firstLine="640" w:firstLineChars="200"/>
        <w:rPr>
          <w:rFonts w:ascii="仿宋" w:hAnsi="仿宋" w:eastAsia="仿宋" w:cs="仿宋"/>
          <w:sz w:val="32"/>
          <w:szCs w:val="32"/>
          <w:highlight w:val="yellow"/>
        </w:rPr>
      </w:pPr>
      <w:r>
        <w:rPr>
          <w:rFonts w:hint="eastAsia" w:ascii="仿宋" w:hAnsi="仿宋" w:eastAsia="仿宋" w:cs="仿宋"/>
          <w:sz w:val="32"/>
          <w:szCs w:val="32"/>
        </w:rPr>
        <w:t>本部门2019年度一般公共预算财政拨款收入3441.38万元，完成年初预算的275.83%,比年初预算增加2193.74万元，决算数大于预算数主要原因是</w:t>
      </w:r>
      <w:r>
        <w:rPr>
          <w:rFonts w:hint="eastAsia" w:ascii="仿宋" w:hAnsi="仿宋" w:eastAsia="仿宋" w:cs="仿宋"/>
          <w:sz w:val="32"/>
          <w:szCs w:val="32"/>
          <w:lang w:eastAsia="zh-CN"/>
        </w:rPr>
        <w:t>：</w:t>
      </w:r>
      <w:r>
        <w:rPr>
          <w:rFonts w:hint="eastAsia" w:ascii="仿宋" w:hAnsi="仿宋" w:eastAsia="仿宋" w:cs="仿宋"/>
          <w:sz w:val="32"/>
          <w:szCs w:val="32"/>
        </w:rPr>
        <w:t>本年支出3441.38万元，完成年初预算的275.83%,比年初预算增加2193.74万元，决算数大于预算数主要</w:t>
      </w:r>
      <w:bookmarkStart w:id="0" w:name="_GoBack"/>
      <w:bookmarkEnd w:id="0"/>
      <w:r>
        <w:rPr>
          <w:rFonts w:hint="eastAsia" w:ascii="仿宋" w:hAnsi="仿宋" w:eastAsia="仿宋" w:cs="仿宋"/>
          <w:sz w:val="32"/>
          <w:szCs w:val="32"/>
        </w:rPr>
        <w:t>原因是人员调动工资、保险、乡镇补贴和车补等各项指标的减少，以及40个村环境卫生治理支出,以及40个村道路修补、和美化绿化等项目资金增加。</w:t>
      </w:r>
    </w:p>
    <w:p>
      <w:pPr>
        <w:adjustRightInd w:val="0"/>
        <w:snapToGrid w:val="0"/>
        <w:spacing w:line="58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（三）财政拨款支出决算结构情况。</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2019 年度财政拨款支出3441.38万元，主要用于以下方面一般公共服务支出1033.75万元，占30.03%，；卫生健康支出39.72万元，占1.15%；城乡社区支出1029.32万元，占29.91%；农林水支出1185.22万元，占 34.44%，文化支出24.04万元占0.72%，企业营改增支出129.33万元占3.75%。</w:t>
      </w:r>
    </w:p>
    <w:p>
      <w:pPr>
        <w:adjustRightInd w:val="0"/>
        <w:snapToGrid w:val="0"/>
        <w:spacing w:line="580" w:lineRule="exact"/>
        <w:ind w:left="420" w:leftChars="200"/>
        <w:rPr>
          <w:rFonts w:ascii="仿宋" w:hAnsi="仿宋" w:eastAsia="仿宋" w:cs="仿宋"/>
          <w:b/>
          <w:bCs/>
          <w:sz w:val="32"/>
          <w:szCs w:val="32"/>
        </w:rPr>
      </w:pPr>
      <w:r>
        <w:rPr>
          <w:rFonts w:hint="eastAsia" w:ascii="仿宋" w:hAnsi="仿宋" w:eastAsia="仿宋" w:cs="仿宋"/>
          <w:b/>
          <w:bCs/>
          <w:sz w:val="32"/>
          <w:szCs w:val="32"/>
        </w:rPr>
        <w:t>（四）一般公共预算基本支出决算情况说明</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2019 年度财政拨款基本支出3441.38万元，其中：人员经费 962.99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272.01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五、一般公共预算“三公” 经费支出决算情况说明</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2019年度“三公”经费支出共计12.10万元，完成预算的75.63%,较预算减少3.9万元，降低24.38%，主要是我单位公务接待严格执行市委､市政府要求,厉行节约､艰苦奋斗,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较2018年度减少1.39万元，降低10.3%，主要是我单位公务接待严格执行市委､市政府要求,厉行节约､艰苦奋斗,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具体情况如下：</w:t>
      </w:r>
    </w:p>
    <w:p>
      <w:pPr>
        <w:adjustRightInd w:val="0"/>
        <w:snapToGrid w:val="0"/>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（一）因公出国（境）费支出0万元。</w:t>
      </w:r>
      <w:r>
        <w:rPr>
          <w:rFonts w:hint="eastAsia" w:ascii="仿宋" w:hAnsi="仿宋" w:eastAsia="仿宋" w:cs="仿宋"/>
          <w:sz w:val="32"/>
          <w:szCs w:val="32"/>
        </w:rPr>
        <w:t>本部门2019年度因公出国（境）团组0个、共0人/参加其他单位组织的因公出国（境）团组0个、共0人/无本单位组织的出国（境）团组。因公出国(境)费支出较年初预算无增减变化,较上年无增减变化。主要是严格执行中央八项规定，严格控制支出厉行节约原则。</w:t>
      </w:r>
    </w:p>
    <w:p>
      <w:pPr>
        <w:adjustRightInd w:val="0"/>
        <w:snapToGrid w:val="0"/>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（二）公务用车购置及运行维护费支出12.01万元。</w:t>
      </w:r>
      <w:r>
        <w:rPr>
          <w:rFonts w:hint="eastAsia" w:ascii="仿宋" w:hAnsi="仿宋" w:eastAsia="仿宋" w:cs="仿宋"/>
          <w:sz w:val="32"/>
          <w:szCs w:val="32"/>
        </w:rPr>
        <w:t>本部门2019年度公务用车购置及运行维护费较预算减少3.9万元，降低24.38%,主要是我单位对公车运行实行定点维修､定点加油､统一保险和统一保养,节假日严格执行公务车辆封存制度,不存在超标准配备公车或装饰公车行为；较上年减少1.39万元，降低10.3%,主要是我单位对公车运行实行定点维修､定点加油､统一保险和统一保养,节假日严格执行公务车辆封存制度,不存在超标准配备公车或装饰公车行为。</w:t>
      </w:r>
    </w:p>
    <w:p>
      <w:pPr>
        <w:adjustRightInd w:val="0"/>
        <w:snapToGrid w:val="0"/>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其中：</w:t>
      </w:r>
    </w:p>
    <w:p>
      <w:pPr>
        <w:adjustRightInd w:val="0"/>
        <w:snapToGrid w:val="0"/>
        <w:spacing w:line="580" w:lineRule="exact"/>
        <w:ind w:firstLine="643" w:firstLineChars="200"/>
        <w:rPr>
          <w:rFonts w:ascii="仿宋" w:hAnsi="仿宋" w:eastAsia="仿宋" w:cs="宋体"/>
          <w:sz w:val="32"/>
          <w:szCs w:val="32"/>
        </w:rPr>
      </w:pPr>
      <w:r>
        <w:rPr>
          <w:rFonts w:hint="eastAsia" w:ascii="仿宋" w:hAnsi="仿宋" w:eastAsia="仿宋" w:cs="仿宋"/>
          <w:b/>
          <w:sz w:val="32"/>
          <w:szCs w:val="32"/>
        </w:rPr>
        <w:t>公务用车购置费：</w:t>
      </w:r>
      <w:r>
        <w:rPr>
          <w:rFonts w:hint="eastAsia" w:ascii="仿宋" w:hAnsi="仿宋" w:eastAsia="仿宋" w:cs="DengXian-Regular"/>
          <w:sz w:val="32"/>
          <w:szCs w:val="32"/>
        </w:rPr>
        <w:t>本部门</w:t>
      </w:r>
      <w:r>
        <w:rPr>
          <w:rFonts w:ascii="仿宋" w:hAnsi="仿宋" w:eastAsia="仿宋" w:cs="DengXian-Regular"/>
          <w:sz w:val="32"/>
          <w:szCs w:val="32"/>
        </w:rPr>
        <w:t>2019</w:t>
      </w:r>
      <w:r>
        <w:rPr>
          <w:rFonts w:hint="eastAsia" w:ascii="仿宋" w:hAnsi="仿宋" w:eastAsia="仿宋" w:cs="DengXian-Regular"/>
          <w:sz w:val="32"/>
          <w:szCs w:val="32"/>
        </w:rPr>
        <w:t>年度公务用车购置量0辆，发生“公务用车购置”经费支出0万元。公务用车购置费支出与年初预算持平，与2018年度决算支出持平。主要是严格</w:t>
      </w:r>
      <w:r>
        <w:rPr>
          <w:rFonts w:hint="eastAsia" w:ascii="仿宋" w:hAnsi="仿宋" w:eastAsia="仿宋" w:cs="宋体"/>
          <w:sz w:val="32"/>
          <w:szCs w:val="32"/>
        </w:rPr>
        <w:t>执行中央八项规定，严格控制支出厉行节约原则。</w:t>
      </w:r>
    </w:p>
    <w:p>
      <w:pPr>
        <w:adjustRightInd w:val="0"/>
        <w:snapToGrid w:val="0"/>
        <w:spacing w:line="580" w:lineRule="exact"/>
        <w:ind w:firstLine="643" w:firstLineChars="200"/>
        <w:rPr>
          <w:rFonts w:ascii="仿宋" w:hAnsi="仿宋" w:eastAsia="仿宋" w:cs="仿宋"/>
          <w:sz w:val="32"/>
          <w:szCs w:val="32"/>
        </w:rPr>
      </w:pPr>
      <w:r>
        <w:rPr>
          <w:rFonts w:hint="eastAsia" w:ascii="仿宋" w:hAnsi="仿宋" w:eastAsia="仿宋" w:cs="仿宋"/>
          <w:b/>
          <w:sz w:val="32"/>
          <w:szCs w:val="32"/>
        </w:rPr>
        <w:t>公务用车运行维护费：</w:t>
      </w:r>
      <w:r>
        <w:rPr>
          <w:rFonts w:hint="eastAsia" w:ascii="仿宋" w:hAnsi="仿宋" w:eastAsia="仿宋" w:cs="仿宋"/>
          <w:sz w:val="32"/>
          <w:szCs w:val="32"/>
        </w:rPr>
        <w:t>本部门2019年度单位公务用车保有量4辆。公车运行维护费支出较预算减少3.9万元，减少24.38%,主要是我单位对公车运行实行定点维修､定点加油､统一保险和统一保养,节假日严格执行公务车辆封存制度,不存在超标准配备公车或装饰公车行为；较上年减少1.39万元，降低10.3%，主要是我单位对公车运行实行定点维修､定点加油､统一保险和统一保养,节假日严格执行公务车辆封存制度,不存在超标准配备公车或装饰公车行为。</w:t>
      </w:r>
    </w:p>
    <w:p>
      <w:pPr>
        <w:adjustRightInd w:val="0"/>
        <w:snapToGrid w:val="0"/>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（三）公务接待费支出0万元。</w:t>
      </w:r>
      <w:r>
        <w:rPr>
          <w:rFonts w:hint="eastAsia" w:ascii="仿宋" w:hAnsi="仿宋" w:eastAsia="仿宋" w:cs="仿宋"/>
          <w:sz w:val="32"/>
          <w:szCs w:val="32"/>
        </w:rPr>
        <w:t>本部门2019年度公务接待共0批次、0人次。公务接待费支出较预算减少0万元，降低0%,主要是我单位公务接待严格执行市委､市政府要求,厉行节约､艰苦奋斗,严格执行招待报批程序,实行对口接待,控制陪餐人员,从严掌握招待标准,不存在利用公款互相宴请及请客送礼等问题；较上年度增加0万元，增加0%,。与上年持平，并没有超年初预算。主要是我单位公务接待严格执行市委､市政府要求,厉行节约､艰苦奋斗,严格执行招待报批程序,实行对口接待,控制陪餐人员,从严掌握招待标准,不存在利用公款互相宴请及请客送礼等问题。</w:t>
      </w:r>
    </w:p>
    <w:p>
      <w:pPr>
        <w:adjustRightInd w:val="0"/>
        <w:snapToGrid w:val="0"/>
        <w:spacing w:line="58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六、预算绩效情况说明</w:t>
      </w:r>
    </w:p>
    <w:p>
      <w:pPr>
        <w:adjustRightInd w:val="0"/>
        <w:snapToGrid w:val="0"/>
        <w:spacing w:line="580" w:lineRule="exact"/>
        <w:ind w:firstLine="643" w:firstLineChars="200"/>
        <w:rPr>
          <w:rFonts w:ascii="仿宋" w:hAnsi="仿宋" w:eastAsia="仿宋" w:cs="仿宋_GB2312"/>
          <w:b/>
          <w:bCs/>
          <w:sz w:val="32"/>
          <w:szCs w:val="32"/>
        </w:rPr>
      </w:pPr>
      <w:r>
        <w:rPr>
          <w:rFonts w:ascii="仿宋" w:hAnsi="仿宋" w:eastAsia="仿宋" w:cs="仿宋_GB2312"/>
          <w:b/>
          <w:bCs/>
          <w:sz w:val="32"/>
          <w:szCs w:val="32"/>
        </w:rPr>
        <w:t xml:space="preserve">1. </w:t>
      </w:r>
      <w:r>
        <w:rPr>
          <w:rFonts w:hint="eastAsia" w:ascii="仿宋" w:hAnsi="仿宋" w:eastAsia="仿宋" w:cs="仿宋_GB2312"/>
          <w:b/>
          <w:bCs/>
          <w:sz w:val="32"/>
          <w:szCs w:val="32"/>
        </w:rPr>
        <w:t>预算绩效管理工作开展情况。</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为确保绩效工作取得实效，我单位按照通知要求，根据预算绩效管理要求，认真梳理了2019 年度项目预算安排、资金支出以及年初绩效目标和绩效指标的设定情况，成立了预算项目绩效自评工作小组，组织单位对3个预算项目进行自评，共涉及预算资金2206.37万元。</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组织对2019年度一般公共预算项目支出全面开展绩效自评，项目3个，共涉及资金2206.37万元，占一般公共预算项目支出总额的100%。通过绩效管理大大提高了财政资金使用效益，推动了我镇经济和社会各项事业持续健康发展。力促我镇村容村貌大幅改观，使人民生活质量、幸福指数得以明显提高。</w:t>
      </w:r>
    </w:p>
    <w:p>
      <w:pPr>
        <w:numPr>
          <w:ilvl w:val="0"/>
          <w:numId w:val="1"/>
        </w:numPr>
        <w:ind w:firstLine="482" w:firstLineChars="150"/>
        <w:rPr>
          <w:rFonts w:ascii="仿宋" w:hAnsi="仿宋" w:eastAsia="仿宋" w:cs="仿宋_GB2312"/>
          <w:b/>
          <w:bCs/>
          <w:sz w:val="32"/>
          <w:szCs w:val="32"/>
        </w:rPr>
      </w:pPr>
      <w:r>
        <w:rPr>
          <w:rFonts w:hint="eastAsia" w:ascii="仿宋" w:hAnsi="仿宋" w:eastAsia="仿宋" w:cs="仿宋_GB2312"/>
          <w:b/>
          <w:bCs/>
          <w:sz w:val="32"/>
          <w:szCs w:val="32"/>
        </w:rPr>
        <w:t>部门决算中项目绩效自评结果。</w:t>
      </w:r>
    </w:p>
    <w:p>
      <w:pPr>
        <w:adjustRightInd w:val="0"/>
        <w:snapToGrid w:val="0"/>
        <w:spacing w:line="58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 xml:space="preserve">   </w:t>
      </w:r>
      <w:r>
        <w:rPr>
          <w:rFonts w:hint="eastAsia" w:ascii="仿宋" w:hAnsi="仿宋" w:eastAsia="仿宋" w:cs="仿宋_GB2312"/>
          <w:sz w:val="32"/>
          <w:szCs w:val="32"/>
        </w:rPr>
        <w:t>组织有关人员，讨论确定指标标准值，通过对基础资料进行核实、分析、整理，采取查阅政府相关统计数据、抽查各项目执行记录、对服务对象的跟踪调查、测验数据等途径，获得各项绩效指标实际值。此次绩效评价坚持科学、客观、公正和实事求是的原则，以定量评价方法为主，结合定性分析，从政策实施、项目管理、项目实施、综合效益等方面，对各个项目开展情况进行考评计分。全部项目中最高分98分，最低分94分，平均得分96分。</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本部门在今年部门决算公开中反映 城乡社区环境卫生等3个项目绩效自评结果。</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城乡社区环境卫生及大气污染治理项目自评得分94分。自评综述：该项目投资987.42万元，用于治理我镇街道、河道、公路周边、公共厕所等卫生死角，对村委会集中安置点，主干道等区域配齐环卫设施，推进户分类、组收集、村运转、乡处理模式，足额落实环保经费，运用激励手段开展卫生检查评比等，力促村容村貌大幅改观；建设小型空气站，实时监测空气质量，有效控制或消减大气污染排放量，实现科学治霾，让百姓看到了蓝天白云。通过农村环境治理和大气污染治理，较好地改善了百姓的生活环境，提高了百姓的幸福指数。群众满意度大于90%，公众满意度大于90%，验收通过率大于90%，绩效评价为优。</w:t>
      </w:r>
    </w:p>
    <w:p>
      <w:pPr>
        <w:numPr>
          <w:ilvl w:val="0"/>
          <w:numId w:val="2"/>
        </w:num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绿化美化亮化项目绩效自评得分96分。自评综述：该项目投资1089.63万元，用于街道绿化，美化了村容村貌等项目。群众满意度大于90%，公众满意度大于90%，验收通过率大于90%，绩效评价为优。</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节能环保项目绩效自评得分98分。自评综述：该项目投资129.33万</w:t>
      </w:r>
      <w:r>
        <w:rPr>
          <w:rFonts w:hint="eastAsia" w:ascii="仿宋_GB2312" w:hAnsi="仿宋_GB2312" w:eastAsia="仿宋_GB2312" w:cs="仿宋_GB2312"/>
          <w:sz w:val="32"/>
          <w:szCs w:val="32"/>
        </w:rPr>
        <w:t>元，用于相关企业补助，调动了企业的积极性，促进了我镇经济和社会的持续健康发展。群众满意度大于90%，公众满意度大于90%，验收通过率大于90%，绩效评价为优。</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（一）机关运行经费情况</w:t>
      </w:r>
    </w:p>
    <w:p>
      <w:pPr>
        <w:adjustRightInd w:val="0"/>
        <w:snapToGrid w:val="0"/>
        <w:spacing w:after="0" w:line="580" w:lineRule="exact"/>
        <w:ind w:firstLine="640" w:firstLineChars="200"/>
        <w:rPr>
          <w:rFonts w:ascii="仿宋" w:hAnsi="仿宋" w:eastAsia="仿宋" w:cs="仿宋"/>
          <w:sz w:val="32"/>
          <w:szCs w:val="32"/>
        </w:rPr>
      </w:pPr>
      <w:r>
        <w:rPr>
          <w:rFonts w:hint="eastAsia" w:ascii="仿宋" w:hAnsi="仿宋" w:eastAsia="仿宋" w:cs="仿宋"/>
          <w:sz w:val="32"/>
          <w:szCs w:val="32"/>
        </w:rPr>
        <w:t>我单位性质是其他单位，机关运行经费支出0万元，与上年持平，较年初预算无增减变化。</w:t>
      </w:r>
    </w:p>
    <w:p>
      <w:pPr>
        <w:keepNext/>
        <w:keepLines/>
        <w:snapToGrid w:val="0"/>
        <w:spacing w:line="580" w:lineRule="exact"/>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（二）政府采购情况</w:t>
      </w:r>
    </w:p>
    <w:p>
      <w:pPr>
        <w:snapToGrid w:val="0"/>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本部门2019年度政府采购支出总额0万元，从采购类型来看，</w:t>
      </w:r>
      <w:r>
        <w:rPr>
          <w:rFonts w:hint="eastAsia" w:ascii="仿宋" w:hAnsi="仿宋" w:eastAsia="仿宋" w:cs="仿宋"/>
          <w:color w:val="000000"/>
          <w:kern w:val="0"/>
          <w:sz w:val="32"/>
          <w:szCs w:val="32"/>
        </w:rPr>
        <w:t>政府采购货物支出0 万元、政府采购工程支出0万元、政府采购服务支出 0万元。授予中小企业合同金0万元，占政府采购支出总额的0%，其中授予小微企业合同金额0万元，占政府采购支出总额的0%。</w:t>
      </w:r>
    </w:p>
    <w:p>
      <w:pPr>
        <w:keepNext/>
        <w:keepLines/>
        <w:snapToGrid w:val="0"/>
        <w:spacing w:line="580" w:lineRule="exact"/>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（三）国有资产占用情况</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截至2019年12月31日，本部门共有车辆4辆，其中，副部（省）级及以上领导用车0辆，主要领导干部用车2辆，机要通信用车0辆，应急保障用车0辆，执法执勤用车2辆，特种专业技术用车0辆，离退休干部用车0辆，其他用车0辆。</w:t>
      </w:r>
    </w:p>
    <w:p>
      <w:pPr>
        <w:adjustRightInd w:val="0"/>
        <w:snapToGrid w:val="0"/>
        <w:spacing w:line="580" w:lineRule="exact"/>
        <w:ind w:firstLine="640" w:firstLineChars="200"/>
        <w:rPr>
          <w:rFonts w:ascii="仿宋" w:hAnsi="仿宋" w:eastAsia="仿宋" w:cs="仿宋"/>
          <w:b/>
          <w:bCs/>
          <w:sz w:val="32"/>
          <w:szCs w:val="32"/>
        </w:rPr>
      </w:pPr>
      <w:r>
        <w:rPr>
          <w:rFonts w:hint="eastAsia" w:ascii="仿宋" w:hAnsi="仿宋" w:eastAsia="仿宋" w:cs="仿宋"/>
          <w:sz w:val="32"/>
          <w:szCs w:val="32"/>
        </w:rPr>
        <w:t>单位价值50万元以上通用设备0台，与上年持平，主要是厉行节约的原则 ，单位价值100万元以上专用设备0台，与上年持平，主要是厉行节约的原则，与201</w:t>
      </w:r>
      <w:r>
        <w:rPr>
          <w:rFonts w:hint="eastAsia" w:ascii="仿宋" w:hAnsi="仿宋" w:eastAsia="仿宋" w:cs="仿宋"/>
          <w:sz w:val="32"/>
          <w:szCs w:val="32"/>
          <w:lang w:val="en-US" w:eastAsia="zh-CN"/>
        </w:rPr>
        <w:t>8</w:t>
      </w:r>
      <w:r>
        <w:rPr>
          <w:rFonts w:hint="eastAsia" w:ascii="仿宋" w:hAnsi="仿宋" w:eastAsia="仿宋" w:cs="仿宋"/>
          <w:sz w:val="32"/>
          <w:szCs w:val="32"/>
        </w:rPr>
        <w:t>年度决算支出持平。</w:t>
      </w:r>
    </w:p>
    <w:p>
      <w:pPr>
        <w:keepNext/>
        <w:keepLines/>
        <w:snapToGrid w:val="0"/>
        <w:spacing w:line="580" w:lineRule="exact"/>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（四）其他需要说明的情况</w:t>
      </w:r>
    </w:p>
    <w:p>
      <w:pPr>
        <w:adjustRightInd w:val="0"/>
        <w:snapToGrid w:val="0"/>
        <w:spacing w:line="580" w:lineRule="exact"/>
        <w:ind w:firstLine="800" w:firstLineChars="250"/>
        <w:rPr>
          <w:rFonts w:ascii="仿宋" w:hAnsi="仿宋" w:eastAsia="仿宋" w:cs="仿宋"/>
          <w:sz w:val="32"/>
          <w:szCs w:val="32"/>
        </w:rPr>
      </w:pPr>
      <w:r>
        <w:rPr>
          <w:rFonts w:hint="eastAsia" w:ascii="仿宋" w:hAnsi="仿宋" w:eastAsia="仿宋" w:cs="仿宋"/>
          <w:sz w:val="32"/>
          <w:szCs w:val="32"/>
        </w:rPr>
        <w:t>1. 本部门2019年度“政府性基金预算财政拨款收入、支出决算表”，无收支及结转结余情况，故以空表列示；本部门2019年度“国有资本经营预算财政拨款支出决算表”，无收支及结转结余情况，故以空表列示。</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643" w:firstLineChars="200"/>
        <w:jc w:val="left"/>
        <w:rPr>
          <w:rFonts w:ascii="仿宋" w:hAnsi="仿宋" w:eastAsia="仿宋" w:cs="仿宋"/>
          <w:b/>
          <w:bCs/>
          <w:kern w:val="0"/>
          <w:sz w:val="32"/>
          <w:szCs w:val="32"/>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仿宋" w:hAnsi="仿宋" w:eastAsia="仿宋" w:cs="仿宋"/>
          <w:sz w:val="32"/>
          <w:szCs w:val="32"/>
        </w:rPr>
      </w:pPr>
    </w:p>
    <w:p>
      <w:pPr>
        <w:jc w:val="center"/>
        <w:rPr>
          <w:rFonts w:ascii="仿宋" w:hAnsi="仿宋" w:eastAsia="仿宋" w:cs="仿宋"/>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仿宋" w:hAnsi="仿宋" w:eastAsia="仿宋" w:cs="仿宋"/>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仿宋" w:hAnsi="仿宋" w:eastAsia="仿宋" w:cs="仿宋"/>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mc:AlternateContent>
          <mc:Choice Requires="wps">
            <w:drawing>
              <wp:anchor distT="0" distB="0" distL="114300" distR="114300" simplePos="0" relativeHeight="251666432" behindDoc="0" locked="0" layoutInCell="1" allowOverlap="1">
                <wp:simplePos x="0" y="0"/>
                <wp:positionH relativeFrom="column">
                  <wp:posOffset>-1021715</wp:posOffset>
                </wp:positionH>
                <wp:positionV relativeFrom="paragraph">
                  <wp:posOffset>441960</wp:posOffset>
                </wp:positionV>
                <wp:extent cx="7793355" cy="3341370"/>
                <wp:effectExtent l="0" t="0" r="0" b="0"/>
                <wp:wrapNone/>
                <wp:docPr id="3" name="文本框 64"/>
                <wp:cNvGraphicFramePr/>
                <a:graphic xmlns:a="http://schemas.openxmlformats.org/drawingml/2006/main">
                  <a:graphicData uri="http://schemas.microsoft.com/office/word/2010/wordprocessingShape">
                    <wps:wsp>
                      <wps:cNvSpPr txBox="1"/>
                      <wps:spPr>
                        <a:xfrm>
                          <a:off x="0" y="0"/>
                          <a:ext cx="7793355" cy="3341370"/>
                        </a:xfrm>
                        <a:prstGeom prst="rect">
                          <a:avLst/>
                        </a:prstGeom>
                        <a:noFill/>
                        <a:ln w="6350">
                          <a:noFill/>
                        </a:ln>
                      </wps:spPr>
                      <wps:txb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wps:txbx>
                      <wps:bodyPr anchor="ctr" anchorCtr="0" upright="1"/>
                    </wps:wsp>
                  </a:graphicData>
                </a:graphic>
              </wp:anchor>
            </w:drawing>
          </mc:Choice>
          <mc:Fallback>
            <w:pict>
              <v:shape id="文本框 64" o:spid="_x0000_s1026" o:spt="202" type="#_x0000_t202" style="position:absolute;left:0pt;margin-left:-80.45pt;margin-top:34.8pt;height:263.1pt;width:613.65pt;z-index:251666432;v-text-anchor:middle;mso-width-relative:page;mso-height-relative:page;" filled="f" stroked="f" coordsize="21600,21600" o:gfxdata="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jnii9wAAAAMAQAADwAAAAAAAAABACAAAAAiAAAAZHJz&#10;L2Rvd25yZXYueG1sUEsBAhQAFAAAAAgAh07iQDKTXhPHAQAAdAMAAA4AAAAAAAAAAQAgAAAAKwEA&#10;AGRycy9lMm9Eb2MueG1sUEsFBgAAAAAGAAYAWQEAAGQFAAAAAA==&#10;">
                <v:fill on="f" focussize="0,0"/>
                <v:stroke on="f" weight="0.5pt"/>
                <v:imagedata o:title=""/>
                <o:lock v:ext="edit" aspectratio="f"/>
                <v:textbo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mc:Fallback>
        </mc:AlternateContent>
      </w:r>
    </w:p>
    <w:p/>
    <w:p/>
    <w:p/>
    <w:p/>
    <w:p/>
    <w:p/>
    <w:p/>
    <w:p/>
    <w:p/>
    <w:p/>
    <w:p/>
    <w:p/>
    <w:p/>
    <w:p>
      <w:pPr>
        <w:tabs>
          <w:tab w:val="left" w:pos="886"/>
        </w:tabs>
        <w:jc w:val="left"/>
        <w:sectPr>
          <w:headerReference r:id="rId16" w:type="first"/>
          <w:pgSz w:w="11906" w:h="16838"/>
          <w:pgMar w:top="2041" w:right="1531" w:bottom="2041" w:left="1531" w:header="851" w:footer="992" w:gutter="0"/>
          <w:pgNumType w:fmt="numberInDash"/>
          <w:cols w:space="0" w:num="1"/>
          <w:titlePg/>
          <w:docGrid w:type="lines" w:linePitch="312" w:charSpace="0"/>
        </w:sectPr>
      </w:pPr>
    </w:p>
    <w:p>
      <w:pPr>
        <w:rPr>
          <w:rFonts w:ascii="仿宋" w:hAnsi="仿宋" w:eastAsia="仿宋" w:cs="仿宋"/>
          <w:sz w:val="32"/>
          <w:szCs w:val="32"/>
          <w:highlight w:val="yellow"/>
        </w:rPr>
      </w:pPr>
      <w:r>
        <w:rPr>
          <w:rFonts w:ascii="仿宋_GB2312" w:hAnsi="宋体" w:eastAsia="仿宋_GB2312" w:cs="ArialUnicodeMS"/>
          <w:sz w:val="32"/>
          <w:szCs w:val="32"/>
          <w:highlight w:val="yellow"/>
        </w:rPr>
        <w:br w:type="page"/>
      </w:r>
    </w:p>
    <w:p>
      <w:pPr>
        <w:widowControl/>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hint="eastAsia" w:ascii="仿宋" w:hAnsi="仿宋" w:eastAsia="仿宋" w:cs="仿宋"/>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widowControl/>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（三）其他收入：</w:t>
      </w:r>
      <w:r>
        <w:rPr>
          <w:rFonts w:hint="eastAsia" w:ascii="仿宋" w:hAnsi="仿宋" w:eastAsia="仿宋" w:cs="仿宋"/>
          <w:color w:val="000000"/>
          <w:kern w:val="0"/>
          <w:sz w:val="32"/>
          <w:szCs w:val="32"/>
        </w:rPr>
        <w:t>指除上述“财政拨款收入”“事业收入”“经营收入”等以外的收入。</w:t>
      </w:r>
    </w:p>
    <w:p>
      <w:pPr>
        <w:widowControl/>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（四）用事业基金弥补收支差额：</w:t>
      </w:r>
      <w:r>
        <w:rPr>
          <w:rFonts w:hint="eastAsia" w:ascii="仿宋" w:hAnsi="仿宋" w:eastAsia="仿宋" w:cs="仿宋"/>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（五）年初结转和结余：</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（六）结余分配：</w:t>
      </w:r>
      <w:r>
        <w:rPr>
          <w:rFonts w:hint="eastAsia" w:ascii="仿宋" w:hAnsi="仿宋" w:eastAsia="仿宋" w:cs="仿宋"/>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（七）年末结转和结余：</w:t>
      </w:r>
      <w:r>
        <w:rPr>
          <w:rFonts w:hint="eastAsia" w:ascii="仿宋" w:hAnsi="仿宋" w:eastAsia="仿宋" w:cs="仿宋"/>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（八）基本支出：</w:t>
      </w:r>
      <w:r>
        <w:rPr>
          <w:rFonts w:hint="eastAsia" w:ascii="仿宋" w:hAnsi="仿宋" w:eastAsia="仿宋" w:cs="仿宋"/>
          <w:color w:val="000000"/>
          <w:kern w:val="0"/>
          <w:sz w:val="32"/>
          <w:szCs w:val="32"/>
        </w:rPr>
        <w:t>填列单位为保障机构正常运转、完成日常工作任务而发生的各项支出。</w:t>
      </w:r>
    </w:p>
    <w:p>
      <w:pPr>
        <w:widowControl/>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（九）项目支出：</w:t>
      </w:r>
      <w:r>
        <w:rPr>
          <w:rFonts w:hint="eastAsia" w:ascii="仿宋" w:hAnsi="仿宋" w:eastAsia="仿宋" w:cs="仿宋"/>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（十）基本建设支出：</w:t>
      </w:r>
      <w:r>
        <w:rPr>
          <w:rFonts w:hint="eastAsia" w:ascii="仿宋" w:hAnsi="仿宋" w:eastAsia="仿宋" w:cs="仿宋"/>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（十一）其他资本性支出：</w:t>
      </w:r>
      <w:r>
        <w:rPr>
          <w:rFonts w:hint="eastAsia" w:ascii="仿宋" w:hAnsi="仿宋" w:eastAsia="仿宋" w:cs="仿宋"/>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（十二）“三公”经费：</w:t>
      </w:r>
      <w:r>
        <w:rPr>
          <w:rFonts w:hint="eastAsia" w:ascii="仿宋" w:hAnsi="仿宋" w:eastAsia="仿宋" w:cs="仿宋"/>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（十三）其他交通费用：</w:t>
      </w:r>
      <w:r>
        <w:rPr>
          <w:rFonts w:hint="eastAsia" w:ascii="仿宋" w:hAnsi="仿宋" w:eastAsia="仿宋" w:cs="仿宋"/>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（十四）公务用车购置：</w:t>
      </w:r>
      <w:r>
        <w:rPr>
          <w:rFonts w:hint="eastAsia" w:ascii="仿宋" w:hAnsi="仿宋" w:eastAsia="仿宋" w:cs="仿宋"/>
          <w:color w:val="000000"/>
          <w:kern w:val="0"/>
          <w:sz w:val="32"/>
          <w:szCs w:val="32"/>
        </w:rPr>
        <w:t>填列单位公务用车车辆购置支出（含车辆购置税、牌照费）。</w:t>
      </w:r>
    </w:p>
    <w:p>
      <w:pPr>
        <w:widowControl/>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（十五）其他交通工具购置：</w:t>
      </w:r>
      <w:r>
        <w:rPr>
          <w:rFonts w:hint="eastAsia" w:ascii="仿宋" w:hAnsi="仿宋" w:eastAsia="仿宋" w:cs="仿宋"/>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（十六）机关运行经费：</w:t>
      </w:r>
      <w:r>
        <w:rPr>
          <w:rFonts w:hint="eastAsia" w:ascii="仿宋" w:hAnsi="仿宋" w:eastAsia="仿宋" w:cs="仿宋"/>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 w:hAnsi="仿宋" w:eastAsia="仿宋" w:cs="仿宋"/>
          <w:kern w:val="0"/>
          <w:sz w:val="32"/>
          <w:szCs w:val="32"/>
        </w:rPr>
      </w:pPr>
      <w:r>
        <w:rPr>
          <w:rFonts w:hint="eastAsia" w:ascii="仿宋" w:hAnsi="仿宋" w:eastAsia="仿宋" w:cs="仿宋"/>
          <w:b/>
          <w:bCs/>
          <w:color w:val="000000"/>
          <w:kern w:val="0"/>
          <w:sz w:val="32"/>
          <w:szCs w:val="32"/>
        </w:rPr>
        <w:t>（十七）经费形式:</w:t>
      </w:r>
      <w:r>
        <w:rPr>
          <w:rFonts w:hint="eastAsia" w:ascii="仿宋" w:hAnsi="仿宋" w:eastAsia="仿宋" w:cs="仿宋"/>
          <w:color w:val="000000"/>
          <w:kern w:val="0"/>
          <w:sz w:val="32"/>
          <w:szCs w:val="32"/>
        </w:rPr>
        <w:t>按照经费来源，</w:t>
      </w:r>
      <w:r>
        <w:rPr>
          <w:rFonts w:hint="eastAsia" w:ascii="仿宋" w:hAnsi="仿宋" w:eastAsia="仿宋" w:cs="仿宋"/>
          <w:kern w:val="0"/>
          <w:sz w:val="32"/>
          <w:szCs w:val="32"/>
        </w:rPr>
        <w:t>可分为财政拨款、财政性资金基本保证、财政性资金定额或定项补助、财政性资金零补助四类。</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jc w:val="left"/>
        <w:rPr>
          <w:rFonts w:ascii="仿宋" w:hAnsi="仿宋" w:eastAsia="仿宋" w:cs="仿宋"/>
          <w:sz w:val="32"/>
          <w:szCs w:val="32"/>
        </w:rPr>
        <w:sectPr>
          <w:headerReference r:id="rId17" w:type="default"/>
          <w:type w:val="continuous"/>
          <w:pgSz w:w="11906" w:h="16838"/>
          <w:pgMar w:top="2098" w:right="1474" w:bottom="1985" w:left="1588" w:header="851" w:footer="992" w:gutter="0"/>
          <w:pgNumType w:fmt="numberInDash"/>
          <w:cols w:space="425" w:num="1"/>
          <w:docGrid w:type="lines" w:linePitch="312" w:charSpace="0"/>
        </w:sectPr>
      </w:pPr>
    </w:p>
    <w:p>
      <w:pPr>
        <w:widowControl/>
        <w:jc w:val="center"/>
        <w:rPr>
          <w:rFonts w:ascii="黑体" w:hAnsi="黑体" w:eastAsia="黑体" w:cs="黑体"/>
          <w:color w:val="000000"/>
          <w:sz w:val="84"/>
          <w:szCs w:val="84"/>
        </w:rPr>
      </w:pPr>
    </w:p>
    <w:p>
      <w:pPr>
        <w:widowControl/>
        <w:jc w:val="center"/>
        <w:rPr>
          <w:rFonts w:ascii="黑体" w:hAnsi="黑体" w:eastAsia="黑体" w:cs="黑体"/>
          <w:color w:val="000000"/>
          <w:sz w:val="84"/>
          <w:szCs w:val="84"/>
        </w:rPr>
      </w:pPr>
    </w:p>
    <w:p>
      <w:pPr>
        <w:widowControl/>
        <w:jc w:val="center"/>
        <w:rPr>
          <w:rFonts w:ascii="黑体" w:hAnsi="黑体" w:eastAsia="黑体" w:cs="黑体"/>
          <w:color w:val="000000"/>
          <w:sz w:val="84"/>
          <w:szCs w:val="84"/>
        </w:rPr>
      </w:pPr>
    </w:p>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p>
    <w:p>
      <w:pPr>
        <w:widowControl/>
        <w:jc w:val="center"/>
        <w:rPr>
          <w:rFonts w:ascii="黑体" w:hAnsi="黑体" w:eastAsia="黑体" w:cs="黑体"/>
          <w:color w:val="000000"/>
          <w:sz w:val="84"/>
          <w:szCs w:val="84"/>
        </w:rPr>
      </w:pPr>
      <w:r>
        <w:rPr>
          <w:rFonts w:ascii="黑体" w:hAnsi="黑体" w:eastAsia="黑体" w:cs="黑体"/>
          <w:color w:val="000000"/>
          <w:sz w:val="84"/>
          <w:szCs w:val="84"/>
        </w:rPr>
        <w:t>2019</w:t>
      </w:r>
      <w:r>
        <w:rPr>
          <w:rFonts w:hint="eastAsia" w:ascii="黑体" w:hAnsi="黑体" w:eastAsia="黑体" w:cs="黑体"/>
          <w:color w:val="000000"/>
          <w:sz w:val="84"/>
          <w:szCs w:val="84"/>
        </w:rPr>
        <w:t>年度部门决算报表</w:t>
      </w:r>
    </w:p>
    <w:p>
      <w:pPr>
        <w:widowControl/>
        <w:jc w:val="center"/>
        <w:rPr>
          <w:rFonts w:ascii="黑体" w:hAnsi="黑体" w:eastAsia="黑体" w:cs="黑体"/>
          <w:color w:val="000000"/>
          <w:sz w:val="84"/>
          <w:szCs w:val="84"/>
        </w:rPr>
      </w:pPr>
    </w:p>
    <w:p>
      <w:pPr>
        <w:widowControl/>
        <w:jc w:val="center"/>
        <w:rPr>
          <w:rFonts w:ascii="黑体" w:hAnsi="黑体" w:eastAsia="黑体" w:cs="黑体"/>
          <w:color w:val="000000"/>
          <w:sz w:val="84"/>
          <w:szCs w:val="84"/>
        </w:rPr>
      </w:pPr>
    </w:p>
    <w:p>
      <w:pPr>
        <w:widowControl/>
        <w:jc w:val="center"/>
        <w:rPr>
          <w:rFonts w:ascii="黑体" w:hAnsi="黑体" w:eastAsia="黑体" w:cs="黑体"/>
          <w:color w:val="000000"/>
          <w:sz w:val="84"/>
          <w:szCs w:val="84"/>
        </w:rPr>
      </w:pPr>
    </w:p>
    <w:p>
      <w:pPr>
        <w:widowControl/>
        <w:jc w:val="center"/>
        <w:rPr>
          <w:rFonts w:ascii="黑体" w:hAnsi="黑体" w:eastAsia="黑体" w:cs="黑体"/>
          <w:color w:val="000000"/>
          <w:sz w:val="84"/>
          <w:szCs w:val="84"/>
        </w:rPr>
      </w:pPr>
    </w:p>
    <w:p>
      <w:pPr>
        <w:widowControl/>
        <w:jc w:val="center"/>
        <w:rPr>
          <w:rFonts w:ascii="黑体" w:hAnsi="黑体" w:eastAsia="黑体" w:cs="黑体"/>
          <w:color w:val="000000"/>
          <w:sz w:val="84"/>
          <w:szCs w:val="84"/>
        </w:rPr>
      </w:pPr>
    </w:p>
    <w:p>
      <w:pPr>
        <w:widowControl/>
      </w:pPr>
    </w:p>
    <w:p>
      <w:pPr>
        <w:widowControl/>
      </w:pPr>
    </w:p>
    <w:p>
      <w:pPr>
        <w:jc w:val="left"/>
      </w:pPr>
    </w:p>
    <w:tbl>
      <w:tblPr>
        <w:tblStyle w:val="6"/>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846"/>
        <w:gridCol w:w="3319"/>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4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704"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01</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2"/>
              </w:rPr>
              <w:t>遵化市遵化镇人民政府</w:t>
            </w:r>
          </w:p>
        </w:tc>
        <w:tc>
          <w:tcPr>
            <w:tcW w:w="73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4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704"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81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704"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3441.38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1033.74</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24.04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39.73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129.33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1029.32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1185.22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3441.38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3441.38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8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3441.38　</w:t>
            </w:r>
          </w:p>
        </w:tc>
        <w:tc>
          <w:tcPr>
            <w:tcW w:w="331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3441.38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6"/>
        <w:tblW w:w="10514" w:type="dxa"/>
        <w:jc w:val="center"/>
        <w:tblLayout w:type="autofit"/>
        <w:tblCellMar>
          <w:top w:w="0" w:type="dxa"/>
          <w:left w:w="0" w:type="dxa"/>
          <w:bottom w:w="0" w:type="dxa"/>
          <w:right w:w="0" w:type="dxa"/>
        </w:tblCellMar>
      </w:tblPr>
      <w:tblGrid>
        <w:gridCol w:w="657"/>
        <w:gridCol w:w="38"/>
        <w:gridCol w:w="38"/>
        <w:gridCol w:w="5088"/>
        <w:gridCol w:w="1510"/>
        <w:gridCol w:w="1468"/>
        <w:gridCol w:w="289"/>
        <w:gridCol w:w="289"/>
        <w:gridCol w:w="466"/>
        <w:gridCol w:w="481"/>
        <w:gridCol w:w="483"/>
      </w:tblGrid>
      <w:tr>
        <w:tblPrEx>
          <w:tblCellMar>
            <w:top w:w="0" w:type="dxa"/>
            <w:left w:w="0" w:type="dxa"/>
            <w:bottom w:w="0" w:type="dxa"/>
            <w:right w:w="0" w:type="dxa"/>
          </w:tblCellMar>
        </w:tblPrEx>
        <w:trPr>
          <w:trHeight w:val="670" w:hRule="atLeast"/>
          <w:jc w:val="center"/>
        </w:trPr>
        <w:tc>
          <w:tcPr>
            <w:tcW w:w="10514" w:type="dxa"/>
            <w:gridSpan w:val="11"/>
            <w:tcBorders>
              <w:top w:val="nil"/>
              <w:left w:val="nil"/>
              <w:bottom w:val="nil"/>
              <w:right w:val="nil"/>
            </w:tcBorders>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670" w:hRule="atLeast"/>
          <w:jc w:val="center"/>
        </w:trPr>
        <w:tc>
          <w:tcPr>
            <w:tcW w:w="10514" w:type="dxa"/>
            <w:gridSpan w:val="11"/>
            <w:tcBorders>
              <w:top w:val="nil"/>
              <w:left w:val="nil"/>
              <w:bottom w:val="nil"/>
              <w:right w:val="nil"/>
            </w:tcBorders>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79"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44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40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02</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79"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22"/>
              </w:rPr>
              <w:t xml:space="preserve">遵化市遵化镇人民政府 </w:t>
            </w:r>
            <w:r>
              <w:rPr>
                <w:rFonts w:hint="eastAsia" w:ascii="Arial" w:hAnsi="Arial" w:cs="Arial"/>
                <w:color w:val="000000"/>
                <w:sz w:val="20"/>
                <w:szCs w:val="20"/>
              </w:rPr>
              <w:t xml:space="preserve"> </w:t>
            </w:r>
          </w:p>
        </w:tc>
        <w:tc>
          <w:tcPr>
            <w:tcW w:w="144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40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562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44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40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30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30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46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48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48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741"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4879"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44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0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0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0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741"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79"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44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0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0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0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741"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79"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44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0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0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0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562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44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40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30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30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4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562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color w:val="000000"/>
                <w:sz w:val="20"/>
                <w:szCs w:val="20"/>
              </w:rPr>
            </w:pPr>
            <w:r>
              <w:rPr>
                <w:rFonts w:hint="eastAsia" w:ascii="宋体" w:hAnsi="宋体" w:eastAsia="宋体" w:cs="宋体"/>
                <w:b/>
                <w:color w:val="000000"/>
                <w:sz w:val="20"/>
                <w:szCs w:val="20"/>
              </w:rPr>
              <w:t>3441.38</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color w:val="000000"/>
                <w:sz w:val="20"/>
                <w:szCs w:val="20"/>
              </w:rPr>
            </w:pPr>
            <w:r>
              <w:rPr>
                <w:rFonts w:hint="eastAsia" w:ascii="宋体" w:hAnsi="宋体" w:eastAsia="宋体" w:cs="宋体"/>
                <w:b/>
                <w:color w:val="000000"/>
                <w:sz w:val="20"/>
                <w:szCs w:val="20"/>
              </w:rPr>
              <w:t>3441.38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一般公共服务支出</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1033.75</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1033.75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20103</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政府办公厅（室）及相关机构事务</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951.61</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951.61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2010301</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679.6</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679.6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2010302</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一般行政管理事务</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272.01</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272.01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20106</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财政事务</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25.27</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25.27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2010601</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25.27</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25.27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20131</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党委办公厅（室）及相关机构事务</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56.86</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56.86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2013101</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56.86</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56.86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207</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文化旅游体育与传媒支出</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24.04</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24.04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20701</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文化和旅游</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24.04</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24.04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2070101</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24.04</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24.04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卫生健康支出</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39.73</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39.73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21001</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卫生健康管理事务</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39.73</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39.73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2100101</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39.73</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39.73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211</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节能环保支出</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129.33</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129.33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21199</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其他节能环保支出</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129.33</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129.33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2119901</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其他节能环保支出</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129.33</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129.33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城乡社区支出</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1029.32</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1029.32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21201</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城乡社区管理事物</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41.9</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41.9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2120101</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41.9</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41.9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21205</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 xml:space="preserve">城乡社区环境卫生 </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987.42</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987.42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2120501</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城乡社区环境卫生</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987.42</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987.42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农林水支出</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1185.22</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1185.22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21301</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农业</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985.22</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985.22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2130101</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95.59</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95.59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2130126</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农村公益事业</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889.63</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889.63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21307</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农村综合改革</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2130707</w:t>
            </w:r>
          </w:p>
        </w:tc>
        <w:tc>
          <w:tcPr>
            <w:tcW w:w="487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农村综合改革示范点补助</w:t>
            </w:r>
          </w:p>
        </w:tc>
        <w:tc>
          <w:tcPr>
            <w:tcW w:w="144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1408"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6"/>
        <w:tblW w:w="9680" w:type="dxa"/>
        <w:jc w:val="center"/>
        <w:tblLayout w:type="fixed"/>
        <w:tblCellMar>
          <w:top w:w="0" w:type="dxa"/>
          <w:left w:w="0" w:type="dxa"/>
          <w:bottom w:w="0" w:type="dxa"/>
          <w:right w:w="0" w:type="dxa"/>
        </w:tblCellMar>
      </w:tblPr>
      <w:tblGrid>
        <w:gridCol w:w="941"/>
        <w:gridCol w:w="53"/>
        <w:gridCol w:w="111"/>
        <w:gridCol w:w="2176"/>
        <w:gridCol w:w="992"/>
        <w:gridCol w:w="993"/>
        <w:gridCol w:w="850"/>
        <w:gridCol w:w="992"/>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17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9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5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03</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部门：       </w:t>
            </w:r>
          </w:p>
        </w:tc>
        <w:tc>
          <w:tcPr>
            <w:tcW w:w="5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17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22"/>
              </w:rPr>
              <w:t>遵化市遵化镇人民政</w:t>
            </w:r>
          </w:p>
        </w:tc>
        <w:tc>
          <w:tcPr>
            <w:tcW w:w="99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9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5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328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99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8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99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176"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176"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176"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3281"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3281"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color w:val="000000"/>
                <w:sz w:val="20"/>
                <w:szCs w:val="20"/>
              </w:rPr>
            </w:pPr>
            <w:r>
              <w:rPr>
                <w:rFonts w:hint="eastAsia" w:ascii="宋体" w:hAnsi="宋体" w:eastAsia="宋体" w:cs="宋体"/>
                <w:b/>
                <w:color w:val="000000"/>
                <w:sz w:val="20"/>
                <w:szCs w:val="20"/>
              </w:rPr>
              <w:t>3441.38</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color w:val="000000"/>
                <w:sz w:val="20"/>
                <w:szCs w:val="20"/>
              </w:rPr>
            </w:pPr>
            <w:r>
              <w:rPr>
                <w:rFonts w:hint="eastAsia" w:ascii="宋体" w:hAnsi="宋体" w:eastAsia="宋体" w:cs="宋体"/>
                <w:b/>
                <w:color w:val="000000"/>
                <w:sz w:val="20"/>
                <w:szCs w:val="20"/>
              </w:rPr>
              <w:t>1235.01</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color w:val="000000"/>
                <w:sz w:val="20"/>
                <w:szCs w:val="20"/>
              </w:rPr>
            </w:pPr>
            <w:r>
              <w:rPr>
                <w:rFonts w:hint="eastAsia" w:ascii="宋体" w:hAnsi="宋体" w:eastAsia="宋体" w:cs="宋体"/>
                <w:b/>
                <w:color w:val="000000"/>
                <w:sz w:val="20"/>
                <w:szCs w:val="20"/>
              </w:rPr>
              <w:t>2206.37</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一般公共服务支出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1033.75</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1033.75</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20103</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政府办公厅（室）及相关机构事务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951.61</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951.61</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2010301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679.6</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679.6</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2010302</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一般行政管理事务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272.01</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272.01</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20106</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财政事务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25.27</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25.27</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2010601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25.27</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25.27</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20131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党委办公厅（室）及相关机构事务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56.86</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56.86</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2013101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56.86</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56.86</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207</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文化旅游体育与传媒支出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24.04</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24.04</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20701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文化和旅游</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24.04</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24.04</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2070101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24.04</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24.04</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卫生健康支出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39.73</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39.73</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卫生健康管理事务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39.73</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39.73</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2100101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39.73</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39.73</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节能环保支出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129.33</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129.33</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21199</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其他节能环保支出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129.33</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129.33</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2119901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其他节能环保支出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129.33</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129.33</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城乡社区支出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1029.32</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41.9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987.42</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城乡社区管理事物</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41.9</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41.9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2120101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41.9</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41.9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21205</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 xml:space="preserve">城乡社区环境卫生 </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987.42</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987.42</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2120501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城乡社区环境卫生</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987.42</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987.42</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农林水支出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1185.22</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95.59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1089.63</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农业</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985.22</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bCs/>
                <w:color w:val="000000"/>
                <w:sz w:val="20"/>
                <w:szCs w:val="20"/>
              </w:rPr>
            </w:pPr>
            <w:r>
              <w:rPr>
                <w:rFonts w:hint="eastAsia" w:ascii="宋体" w:hAnsi="宋体" w:eastAsia="宋体" w:cs="宋体"/>
                <w:b/>
                <w:bCs/>
                <w:color w:val="000000"/>
                <w:sz w:val="20"/>
                <w:szCs w:val="20"/>
              </w:rPr>
              <w:t>95.59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889.63</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2130101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95.59</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95.59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2130126</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农村公益事业</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889.63</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889.63</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21307</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农村综合改革</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2130707</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农村综合改革示范试点补助</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6"/>
        <w:tblW w:w="9520" w:type="dxa"/>
        <w:jc w:val="center"/>
        <w:tblLayout w:type="fixed"/>
        <w:tblCellMar>
          <w:top w:w="0" w:type="dxa"/>
          <w:left w:w="0" w:type="dxa"/>
          <w:bottom w:w="0" w:type="dxa"/>
          <w:right w:w="0" w:type="dxa"/>
        </w:tblCellMar>
      </w:tblPr>
      <w:tblGrid>
        <w:gridCol w:w="2922"/>
        <w:gridCol w:w="425"/>
        <w:gridCol w:w="662"/>
        <w:gridCol w:w="2946"/>
        <w:gridCol w:w="507"/>
        <w:gridCol w:w="700"/>
        <w:gridCol w:w="709"/>
        <w:gridCol w:w="649"/>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04</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2"/>
              </w:rPr>
              <w:t>遵化市遵化镇人民政府</w:t>
            </w:r>
          </w:p>
        </w:tc>
        <w:tc>
          <w:tcPr>
            <w:tcW w:w="42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w:t>
            </w:r>
            <w:r>
              <w:rPr>
                <w:rFonts w:ascii="宋体" w:hAnsi="宋体" w:eastAsia="宋体" w:cs="宋体"/>
                <w:color w:val="000000"/>
                <w:kern w:val="0"/>
                <w:sz w:val="22"/>
              </w:rPr>
              <w:t xml:space="preserve">     </w:t>
            </w:r>
            <w:r>
              <w:rPr>
                <w:rFonts w:hint="eastAsia" w:ascii="宋体" w:hAnsi="宋体" w:eastAsia="宋体" w:cs="宋体"/>
                <w:color w:val="000000"/>
                <w:kern w:val="0"/>
                <w:sz w:val="22"/>
              </w:rPr>
              <w:t>入</w:t>
            </w:r>
          </w:p>
        </w:tc>
        <w:tc>
          <w:tcPr>
            <w:tcW w:w="5511"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w:t>
            </w:r>
            <w:r>
              <w:rPr>
                <w:rFonts w:ascii="宋体" w:hAnsi="宋体" w:eastAsia="宋体" w:cs="宋体"/>
                <w:color w:val="000000"/>
                <w:kern w:val="0"/>
                <w:sz w:val="22"/>
              </w:rPr>
              <w:t xml:space="preserve">     </w:t>
            </w:r>
            <w:r>
              <w:rPr>
                <w:rFonts w:hint="eastAsia" w:ascii="宋体" w:hAnsi="宋体" w:eastAsia="宋体" w:cs="宋体"/>
                <w:color w:val="000000"/>
                <w:kern w:val="0"/>
                <w:sz w:val="22"/>
              </w:rPr>
              <w:t>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4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00"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0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64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9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00"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4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3441.38</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30</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1033.74</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1033.74</w:t>
            </w: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31</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32</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33</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34</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35</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七、文化旅游体育与传媒支出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36</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24.04</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24.04</w:t>
            </w: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37</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九、卫生健康支出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38</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39.73</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39.73</w:t>
            </w: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十、节能环保支出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39</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129.33</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129.33</w:t>
            </w: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十一、城乡社区支出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40</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1029.32</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1029.32</w:t>
            </w: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十二、农林水支出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41</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1185.22</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1185.22</w:t>
            </w: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十三、交通运输支出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42</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十四、资源勘探信息等支出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43</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十五、商业服务业等支出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44</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十六、金融支出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45</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十七、援助其他地区支出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46</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十八、自然资源海洋气象等支出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47</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十九、住房保障支出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48</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二十、粮油物资储备支出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49</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二十一、灾害防治及应急管理支出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50</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二十二、其他支出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51</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二十四、债务付息支出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52</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3441.38</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本年支出合计</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53</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3441.38</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3441.38</w:t>
            </w: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年末财政拨款结转和结余</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54</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55</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56</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57</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3441.38</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58</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3441.38</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3441.38</w:t>
            </w:r>
          </w:p>
        </w:tc>
        <w:tc>
          <w:tcPr>
            <w:tcW w:w="64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6"/>
        <w:tblW w:w="9990" w:type="dxa"/>
        <w:jc w:val="center"/>
        <w:tblLayout w:type="autofit"/>
        <w:tblCellMar>
          <w:top w:w="0" w:type="dxa"/>
          <w:left w:w="0" w:type="dxa"/>
          <w:bottom w:w="0" w:type="dxa"/>
          <w:right w:w="0" w:type="dxa"/>
        </w:tblCellMar>
      </w:tblPr>
      <w:tblGrid>
        <w:gridCol w:w="2830"/>
        <w:gridCol w:w="36"/>
        <w:gridCol w:w="36"/>
        <w:gridCol w:w="3030"/>
        <w:gridCol w:w="1353"/>
        <w:gridCol w:w="1353"/>
        <w:gridCol w:w="1353"/>
      </w:tblGrid>
      <w:tr>
        <w:tblPrEx>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2"/>
              </w:rPr>
              <w:t>遵化市遵化镇人民政府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90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343"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30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30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30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34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230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30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30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34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230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30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30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color w:val="000000"/>
                <w:sz w:val="20"/>
                <w:szCs w:val="20"/>
              </w:rPr>
            </w:pPr>
            <w:r>
              <w:rPr>
                <w:rFonts w:hint="eastAsia" w:ascii="宋体" w:hAnsi="宋体" w:eastAsia="宋体" w:cs="宋体"/>
                <w:b/>
                <w:color w:val="000000"/>
                <w:sz w:val="20"/>
                <w:szCs w:val="20"/>
              </w:rPr>
              <w:t>3441.38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color w:val="000000"/>
                <w:sz w:val="20"/>
                <w:szCs w:val="20"/>
              </w:rPr>
            </w:pPr>
            <w:r>
              <w:rPr>
                <w:rFonts w:hint="eastAsia" w:ascii="宋体" w:hAnsi="宋体" w:eastAsia="宋体" w:cs="宋体"/>
                <w:b/>
                <w:color w:val="000000"/>
                <w:sz w:val="20"/>
                <w:szCs w:val="20"/>
              </w:rPr>
              <w:t>1235.01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color w:val="000000"/>
                <w:sz w:val="20"/>
                <w:szCs w:val="20"/>
              </w:rPr>
            </w:pPr>
            <w:r>
              <w:rPr>
                <w:rFonts w:hint="eastAsia" w:ascii="宋体" w:hAnsi="宋体" w:eastAsia="宋体" w:cs="宋体"/>
                <w:b/>
                <w:color w:val="000000"/>
                <w:sz w:val="20"/>
                <w:szCs w:val="20"/>
              </w:rPr>
              <w:t>2206.37</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一般公共服务支出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1033.75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1033.75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政府办公厅（室）及相关机构事务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951.61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951.61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2010301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679.6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679.6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2010302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一般行政管理事务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272.01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272.01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财政事务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25.27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25.27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2010601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25.27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25.27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20131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党委办公厅（室）及相关机构事务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56.86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56.86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2013101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56.86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56.86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文化旅游体育与传媒支出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24.04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24.04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20701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文化和旅游</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24.04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24.04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2070101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24.04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24.04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卫生健康支出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39.73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39.73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卫生健康管理事务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39.73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39.73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39.73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39.73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节能环保支出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129.33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129.33</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21199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其他节能环保支出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129.33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129.33</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2119901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其他节能环保支出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129.33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129.33</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城乡社区支出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1029.32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41.9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987.42</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城乡社区管理事物</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41.9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41.9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41.9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41.9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 xml:space="preserve">城乡社区环境卫生 </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987.42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987.42</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2120501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城乡社区环境卫生</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987.42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987.42</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农林水支出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1185.22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95.59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1089.63</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农业</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985.22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95.59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889.63</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95.59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95.59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nil"/>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2130126</w:t>
            </w:r>
          </w:p>
        </w:tc>
        <w:tc>
          <w:tcPr>
            <w:tcW w:w="0" w:type="auto"/>
            <w:tcBorders>
              <w:top w:val="nil"/>
              <w:left w:val="nil"/>
              <w:bottom w:val="nil"/>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农村公益事业</w:t>
            </w:r>
          </w:p>
        </w:tc>
        <w:tc>
          <w:tcPr>
            <w:tcW w:w="0" w:type="auto"/>
            <w:tcBorders>
              <w:top w:val="nil"/>
              <w:left w:val="nil"/>
              <w:bottom w:val="nil"/>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889.63</w:t>
            </w:r>
          </w:p>
        </w:tc>
        <w:tc>
          <w:tcPr>
            <w:tcW w:w="0" w:type="auto"/>
            <w:tcBorders>
              <w:top w:val="nil"/>
              <w:left w:val="nil"/>
              <w:bottom w:val="nil"/>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0" w:type="auto"/>
            <w:tcBorders>
              <w:top w:val="nil"/>
              <w:left w:val="nil"/>
              <w:bottom w:val="nil"/>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889.63</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nil"/>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21307</w:t>
            </w:r>
          </w:p>
        </w:tc>
        <w:tc>
          <w:tcPr>
            <w:tcW w:w="0" w:type="auto"/>
            <w:tcBorders>
              <w:top w:val="nil"/>
              <w:left w:val="nil"/>
              <w:bottom w:val="nil"/>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农村综合改革</w:t>
            </w:r>
          </w:p>
        </w:tc>
        <w:tc>
          <w:tcPr>
            <w:tcW w:w="0" w:type="auto"/>
            <w:tcBorders>
              <w:top w:val="nil"/>
              <w:left w:val="nil"/>
              <w:bottom w:val="nil"/>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0" w:type="auto"/>
            <w:tcBorders>
              <w:top w:val="nil"/>
              <w:left w:val="nil"/>
              <w:bottom w:val="nil"/>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0" w:type="auto"/>
            <w:tcBorders>
              <w:top w:val="nil"/>
              <w:left w:val="nil"/>
              <w:bottom w:val="nil"/>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2130707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农村综合改革示范试点补助</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200</w:t>
            </w:r>
          </w:p>
        </w:tc>
      </w:tr>
    </w:tbl>
    <w:p>
      <w:r>
        <w:br w:type="page"/>
      </w:r>
    </w:p>
    <w:tbl>
      <w:tblPr>
        <w:tblStyle w:val="6"/>
        <w:tblW w:w="9996" w:type="dxa"/>
        <w:jc w:val="center"/>
        <w:tblLayout w:type="fixed"/>
        <w:tblCellMar>
          <w:top w:w="0" w:type="dxa"/>
          <w:left w:w="0" w:type="dxa"/>
          <w:bottom w:w="0" w:type="dxa"/>
          <w:right w:w="0" w:type="dxa"/>
        </w:tblCellMar>
      </w:tblPr>
      <w:tblGrid>
        <w:gridCol w:w="896"/>
        <w:gridCol w:w="2236"/>
        <w:gridCol w:w="852"/>
        <w:gridCol w:w="684"/>
        <w:gridCol w:w="933"/>
        <w:gridCol w:w="993"/>
        <w:gridCol w:w="783"/>
        <w:gridCol w:w="1768"/>
        <w:gridCol w:w="851"/>
      </w:tblGrid>
      <w:tr>
        <w:tblPrEx>
          <w:tblCellMar>
            <w:top w:w="0" w:type="dxa"/>
            <w:left w:w="0" w:type="dxa"/>
            <w:bottom w:w="0" w:type="dxa"/>
            <w:right w:w="0" w:type="dxa"/>
          </w:tblCellMar>
        </w:tblPrEx>
        <w:trPr>
          <w:trHeight w:val="662" w:hRule="atLeast"/>
          <w:jc w:val="center"/>
        </w:trPr>
        <w:tc>
          <w:tcPr>
            <w:tcW w:w="9996"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23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5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8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3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9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19"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w:t>
            </w:r>
            <w:r>
              <w:rPr>
                <w:rFonts w:ascii="宋体" w:hAnsi="宋体" w:eastAsia="宋体" w:cs="宋体"/>
                <w:color w:val="000000"/>
                <w:kern w:val="0"/>
                <w:sz w:val="18"/>
                <w:szCs w:val="18"/>
              </w:rPr>
              <w:t>06</w:t>
            </w:r>
            <w:r>
              <w:rPr>
                <w:rFonts w:hint="eastAsia" w:ascii="宋体" w:hAnsi="宋体" w:eastAsia="宋体" w:cs="宋体"/>
                <w:color w:val="000000"/>
                <w:kern w:val="0"/>
                <w:sz w:val="18"/>
                <w:szCs w:val="18"/>
              </w:rPr>
              <w:t>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部门：      </w:t>
            </w:r>
          </w:p>
        </w:tc>
        <w:tc>
          <w:tcPr>
            <w:tcW w:w="223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 xml:space="preserve">遵化市遵化镇人民政府 </w:t>
            </w:r>
          </w:p>
        </w:tc>
        <w:tc>
          <w:tcPr>
            <w:tcW w:w="85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8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3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9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19"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9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012"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223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5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8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93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8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76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5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23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5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8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3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76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958.36</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263.98</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30101</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基本工资</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285.57</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30201</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办公费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35.65</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30701</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国内债务付息</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30102</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津贴补贴</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220.01</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30202</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印刷费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30702</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国外债务付息</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30103</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奖金</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30203</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咨询费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30106</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伙食补助费</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30204</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手续费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31001</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房屋建筑物购建</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30107</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绩效工资</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102.23</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30205</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水费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0.59</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31002</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办公设备购置</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r>
              <w:rPr>
                <w:rFonts w:hint="eastAsia" w:ascii="宋体" w:hAnsi="宋体" w:eastAsia="宋体" w:cs="宋体"/>
                <w:color w:val="000000"/>
                <w:sz w:val="20"/>
                <w:szCs w:val="20"/>
              </w:rPr>
              <w:t>8.03</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30108</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机关事业单位基本养老保险缴费</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27.41</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30206</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电费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6.42</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31003</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专用设备购置</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30109</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职业年金缴费</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42.77</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30207</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邮电费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2.45</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31005</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基础设施建设</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30110</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职工基本医疗保险缴费</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118.75</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30208</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取暖费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8.27</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31006</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大型修缮</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30111</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公务员医疗补助缴费</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30209</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物业管理费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31007</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信息网络及软件购置更新</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30112</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其他社会保障缴费</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1.00</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30211</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差旅费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10.44</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31008</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物资储备</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30113</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住房公积金</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64.71</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30212</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因公出国（境）费用</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31009</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土地补偿</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30114</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医疗费</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30213</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维修（护）费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5.99</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31010</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安置补助</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30199</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其他工资福利支出</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95.85</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30214</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租赁费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31011</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地上附着物和青苗补偿</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4.64</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30215</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会议费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31012</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拆迁补偿</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30301</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离休费</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30216</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培训费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31013</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30302</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退休费</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公务接待费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31019</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其他交通工具购置</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30303</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退职（役）费</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30218</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专用材料费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31021</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文物和陈列品购置</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30304</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抚恤金</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0.80</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30224</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被装购置费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31022</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无形资产购置</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30305</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生活补助</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3.56</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30225</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专用燃料费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31099</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其他资本性支出</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30306</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救济费</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30226</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劳务费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97.28</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30307</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医疗费补助</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30227</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委托业务费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39906</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赠与</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30308</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助学金</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30228</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工会经费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39907</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国家赔偿费用支出</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30309</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奖励金</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30229</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福利费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39908</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对民间非营利组织和群众性自治组织补贴</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30310</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个人农业生产补贴</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30231</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公务用车运行维护费</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12.10</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39999</w:t>
            </w: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30399</w:t>
            </w: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其他对个人和家庭的补助</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0.28</w:t>
            </w: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30239</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其他交通费用</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22.22</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30240</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税金及附加费用</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2236"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8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30299</w:t>
            </w:r>
          </w:p>
        </w:tc>
        <w:tc>
          <w:tcPr>
            <w:tcW w:w="933"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其他商品和服务支出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62.56</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768"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313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852"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962.99</w:t>
            </w:r>
          </w:p>
        </w:tc>
        <w:tc>
          <w:tcPr>
            <w:tcW w:w="5161" w:type="dxa"/>
            <w:gridSpan w:val="5"/>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公用经费合计  </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r>
              <w:rPr>
                <w:rFonts w:hint="eastAsia" w:ascii="宋体" w:hAnsi="宋体" w:eastAsia="宋体" w:cs="宋体"/>
                <w:color w:val="000000"/>
                <w:sz w:val="20"/>
                <w:szCs w:val="20"/>
              </w:rPr>
              <w:t>272.01</w:t>
            </w:r>
          </w:p>
        </w:tc>
      </w:tr>
    </w:tbl>
    <w:p>
      <w:r>
        <w:br w:type="page"/>
      </w:r>
    </w:p>
    <w:tbl>
      <w:tblPr>
        <w:tblStyle w:val="6"/>
        <w:tblW w:w="9220" w:type="dxa"/>
        <w:jc w:val="center"/>
        <w:tblLayout w:type="autofit"/>
        <w:tblCellMar>
          <w:top w:w="0" w:type="dxa"/>
          <w:left w:w="0" w:type="dxa"/>
          <w:bottom w:w="0" w:type="dxa"/>
          <w:right w:w="0" w:type="dxa"/>
        </w:tblCellMar>
      </w:tblPr>
      <w:tblGrid>
        <w:gridCol w:w="2830"/>
        <w:gridCol w:w="1452"/>
        <w:gridCol w:w="1267"/>
        <w:gridCol w:w="832"/>
        <w:gridCol w:w="1267"/>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07</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2"/>
              </w:rPr>
              <w:t>遵化市遵化镇人民政府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17.01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16</w:t>
            </w:r>
          </w:p>
        </w:tc>
        <w:tc>
          <w:tcPr>
            <w:tcW w:w="0" w:type="auto"/>
            <w:tcBorders>
              <w:top w:val="nil"/>
              <w:left w:val="nil"/>
              <w:bottom w:val="single" w:color="000000" w:sz="4" w:space="0"/>
              <w:right w:val="single" w:color="auto"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1.01</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12.10</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12.10</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12.10</w:t>
            </w: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pPr>
              <w:jc w:val="center"/>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hAnsi="仿宋_GB2312" w:eastAsia="仿宋_GB2312" w:cs="仿宋_GB2312"/>
        </w:rPr>
        <w:tab/>
      </w:r>
      <w:r>
        <w:tab/>
      </w:r>
      <w:r>
        <w:tab/>
      </w:r>
      <w:r>
        <w:tab/>
      </w:r>
      <w:r>
        <w:tab/>
      </w:r>
      <w:r>
        <w:tab/>
      </w:r>
      <w:r>
        <w:tab/>
      </w:r>
      <w:r>
        <w:tab/>
      </w:r>
      <w:r>
        <w:tab/>
      </w:r>
      <w:r>
        <w:tab/>
      </w:r>
      <w:r>
        <w:tab/>
      </w:r>
      <w:r>
        <w:br w:type="page"/>
      </w:r>
    </w:p>
    <w:tbl>
      <w:tblPr>
        <w:tblStyle w:val="6"/>
        <w:tblW w:w="9510" w:type="dxa"/>
        <w:jc w:val="center"/>
        <w:tblLayout w:type="autofit"/>
        <w:tblCellMar>
          <w:top w:w="0" w:type="dxa"/>
          <w:left w:w="0" w:type="dxa"/>
          <w:bottom w:w="0" w:type="dxa"/>
          <w:right w:w="0" w:type="dxa"/>
        </w:tblCellMar>
      </w:tblPr>
      <w:tblGrid>
        <w:gridCol w:w="2830"/>
        <w:gridCol w:w="36"/>
        <w:gridCol w:w="36"/>
        <w:gridCol w:w="910"/>
        <w:gridCol w:w="950"/>
        <w:gridCol w:w="950"/>
        <w:gridCol w:w="950"/>
        <w:gridCol w:w="950"/>
        <w:gridCol w:w="950"/>
        <w:gridCol w:w="95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08</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2"/>
              </w:rPr>
              <w:t>遵化市遵化镇人民政府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1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1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35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1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223"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1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1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1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22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22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pPr>
        <w:widowControl/>
        <w:adjustRightInd w:val="0"/>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注：本表反映部门本年度政府性基金预算财政拨款收入、支出及结转和结余情况。  本部门本年度无收支及结转结余情况，按要求以空表列示。       </w:t>
      </w:r>
    </w:p>
    <w:p>
      <w:r>
        <w:br w:type="page"/>
      </w:r>
    </w:p>
    <w:tbl>
      <w:tblPr>
        <w:tblStyle w:val="6"/>
        <w:tblW w:w="9915" w:type="dxa"/>
        <w:jc w:val="center"/>
        <w:tblLayout w:type="autofit"/>
        <w:tblCellMar>
          <w:top w:w="0" w:type="dxa"/>
          <w:left w:w="0" w:type="dxa"/>
          <w:bottom w:w="0" w:type="dxa"/>
          <w:right w:w="0" w:type="dxa"/>
        </w:tblCellMar>
      </w:tblPr>
      <w:tblGrid>
        <w:gridCol w:w="3713"/>
        <w:gridCol w:w="47"/>
        <w:gridCol w:w="47"/>
        <w:gridCol w:w="3103"/>
        <w:gridCol w:w="617"/>
        <w:gridCol w:w="1194"/>
        <w:gridCol w:w="1194"/>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09</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2"/>
              </w:rPr>
              <w:t>遵化市遵化镇人民政府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2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pPr>
        <w:rPr>
          <w:rFonts w:ascii="宋体" w:hAnsi="宋体" w:cs="宋体"/>
          <w:color w:val="000000"/>
          <w:kern w:val="0"/>
          <w:sz w:val="22"/>
        </w:rPr>
      </w:pPr>
      <w:r>
        <w:rPr>
          <w:rFonts w:hint="eastAsia" w:ascii="宋体" w:hAnsi="宋体" w:cs="宋体"/>
          <w:color w:val="000000"/>
          <w:kern w:val="0"/>
          <w:sz w:val="22"/>
        </w:rPr>
        <w:t>注：本表反映部门本年度国有资本经营预算财政拨款支出情况。本部门本年度无相关支出情况，按要求以空表列示。</w:t>
      </w: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思源黑体 HW Bold">
    <w:altName w:val="黑体"/>
    <w:panose1 w:val="00000000000000000000"/>
    <w:charset w:val="86"/>
    <w:family w:val="swiss"/>
    <w:pitch w:val="default"/>
    <w:sig w:usb0="00000000" w:usb1="00000000" w:usb2="0000001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MS PGothic">
    <w:panose1 w:val="020B0600070205080204"/>
    <w:charset w:val="80"/>
    <w:family w:val="auto"/>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7112F"/>
    <w:multiLevelType w:val="singleLevel"/>
    <w:tmpl w:val="5A77112F"/>
    <w:lvl w:ilvl="0" w:tentative="0">
      <w:start w:val="2"/>
      <w:numFmt w:val="decimal"/>
      <w:suff w:val="space"/>
      <w:lvlText w:val="%1."/>
      <w:lvlJc w:val="left"/>
    </w:lvl>
  </w:abstractNum>
  <w:abstractNum w:abstractNumId="1">
    <w:nsid w:val="5F222FFA"/>
    <w:multiLevelType w:val="singleLevel"/>
    <w:tmpl w:val="5F222FFA"/>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644AF"/>
    <w:rsid w:val="00065265"/>
    <w:rsid w:val="0007063E"/>
    <w:rsid w:val="00073392"/>
    <w:rsid w:val="00073F4E"/>
    <w:rsid w:val="00086C89"/>
    <w:rsid w:val="000A39FB"/>
    <w:rsid w:val="000C5E96"/>
    <w:rsid w:val="000D2C4D"/>
    <w:rsid w:val="000D33BD"/>
    <w:rsid w:val="000E6057"/>
    <w:rsid w:val="00105828"/>
    <w:rsid w:val="00112C55"/>
    <w:rsid w:val="001145BA"/>
    <w:rsid w:val="00117746"/>
    <w:rsid w:val="00130325"/>
    <w:rsid w:val="00140A20"/>
    <w:rsid w:val="00151DEB"/>
    <w:rsid w:val="001549D3"/>
    <w:rsid w:val="00157D7B"/>
    <w:rsid w:val="00162EA2"/>
    <w:rsid w:val="00163F95"/>
    <w:rsid w:val="0017632F"/>
    <w:rsid w:val="00180050"/>
    <w:rsid w:val="00180A9A"/>
    <w:rsid w:val="001829C0"/>
    <w:rsid w:val="00184809"/>
    <w:rsid w:val="0018492C"/>
    <w:rsid w:val="00192112"/>
    <w:rsid w:val="001B0127"/>
    <w:rsid w:val="001C12D5"/>
    <w:rsid w:val="001C69F7"/>
    <w:rsid w:val="001D7DC3"/>
    <w:rsid w:val="00223083"/>
    <w:rsid w:val="0024524C"/>
    <w:rsid w:val="00246AFC"/>
    <w:rsid w:val="00247E5C"/>
    <w:rsid w:val="00254F0F"/>
    <w:rsid w:val="00261926"/>
    <w:rsid w:val="002650EC"/>
    <w:rsid w:val="002A2240"/>
    <w:rsid w:val="002A6C46"/>
    <w:rsid w:val="002B3174"/>
    <w:rsid w:val="002C19B5"/>
    <w:rsid w:val="0030008F"/>
    <w:rsid w:val="00303866"/>
    <w:rsid w:val="003300E3"/>
    <w:rsid w:val="0033157B"/>
    <w:rsid w:val="00340B00"/>
    <w:rsid w:val="003550BE"/>
    <w:rsid w:val="00357CCE"/>
    <w:rsid w:val="00371F90"/>
    <w:rsid w:val="003870CE"/>
    <w:rsid w:val="003A4EE8"/>
    <w:rsid w:val="003A52C0"/>
    <w:rsid w:val="003A6AD7"/>
    <w:rsid w:val="003D5401"/>
    <w:rsid w:val="003E4E46"/>
    <w:rsid w:val="003F2837"/>
    <w:rsid w:val="00401707"/>
    <w:rsid w:val="00425CE9"/>
    <w:rsid w:val="00442CC2"/>
    <w:rsid w:val="00446244"/>
    <w:rsid w:val="00473C20"/>
    <w:rsid w:val="00482A21"/>
    <w:rsid w:val="00494A72"/>
    <w:rsid w:val="004A6C87"/>
    <w:rsid w:val="004D61CB"/>
    <w:rsid w:val="004D7485"/>
    <w:rsid w:val="004E64EF"/>
    <w:rsid w:val="005011D6"/>
    <w:rsid w:val="00503F2E"/>
    <w:rsid w:val="00552226"/>
    <w:rsid w:val="00556D97"/>
    <w:rsid w:val="00566120"/>
    <w:rsid w:val="00582E6D"/>
    <w:rsid w:val="00584ABF"/>
    <w:rsid w:val="00594A7D"/>
    <w:rsid w:val="005954D5"/>
    <w:rsid w:val="005A12E3"/>
    <w:rsid w:val="005A53FA"/>
    <w:rsid w:val="005D1293"/>
    <w:rsid w:val="006045C4"/>
    <w:rsid w:val="006069EF"/>
    <w:rsid w:val="00611077"/>
    <w:rsid w:val="006139C8"/>
    <w:rsid w:val="00617759"/>
    <w:rsid w:val="00635DA6"/>
    <w:rsid w:val="00644D5F"/>
    <w:rsid w:val="006478EA"/>
    <w:rsid w:val="0065033A"/>
    <w:rsid w:val="00663C84"/>
    <w:rsid w:val="006727AD"/>
    <w:rsid w:val="00685922"/>
    <w:rsid w:val="00691425"/>
    <w:rsid w:val="006A516E"/>
    <w:rsid w:val="006B012A"/>
    <w:rsid w:val="006B0830"/>
    <w:rsid w:val="006B0E4B"/>
    <w:rsid w:val="006C7D30"/>
    <w:rsid w:val="006E00EF"/>
    <w:rsid w:val="006E15D3"/>
    <w:rsid w:val="006F265A"/>
    <w:rsid w:val="00716E2B"/>
    <w:rsid w:val="00723FFA"/>
    <w:rsid w:val="00732AEE"/>
    <w:rsid w:val="007622EF"/>
    <w:rsid w:val="00770F18"/>
    <w:rsid w:val="00773B74"/>
    <w:rsid w:val="0078290C"/>
    <w:rsid w:val="007947C7"/>
    <w:rsid w:val="007A63C5"/>
    <w:rsid w:val="007A7966"/>
    <w:rsid w:val="007C06CA"/>
    <w:rsid w:val="007E70F2"/>
    <w:rsid w:val="007F4DE4"/>
    <w:rsid w:val="008163FB"/>
    <w:rsid w:val="00822CA2"/>
    <w:rsid w:val="0082605B"/>
    <w:rsid w:val="00855C36"/>
    <w:rsid w:val="00857DBE"/>
    <w:rsid w:val="008663D3"/>
    <w:rsid w:val="008701BC"/>
    <w:rsid w:val="00883D92"/>
    <w:rsid w:val="00893E15"/>
    <w:rsid w:val="008A5362"/>
    <w:rsid w:val="008B641F"/>
    <w:rsid w:val="008C4F8D"/>
    <w:rsid w:val="008E583F"/>
    <w:rsid w:val="008F21F1"/>
    <w:rsid w:val="008F221B"/>
    <w:rsid w:val="008F2891"/>
    <w:rsid w:val="008F5A2D"/>
    <w:rsid w:val="00921602"/>
    <w:rsid w:val="0092594C"/>
    <w:rsid w:val="00936E0F"/>
    <w:rsid w:val="00957EA1"/>
    <w:rsid w:val="00966E5B"/>
    <w:rsid w:val="00971371"/>
    <w:rsid w:val="00994A4B"/>
    <w:rsid w:val="0099764C"/>
    <w:rsid w:val="009B4EF0"/>
    <w:rsid w:val="009D271F"/>
    <w:rsid w:val="009D33FD"/>
    <w:rsid w:val="009E025C"/>
    <w:rsid w:val="009E732D"/>
    <w:rsid w:val="009E7B48"/>
    <w:rsid w:val="009F509B"/>
    <w:rsid w:val="009F5A4E"/>
    <w:rsid w:val="00A30E36"/>
    <w:rsid w:val="00A42CFB"/>
    <w:rsid w:val="00A443BA"/>
    <w:rsid w:val="00A816B2"/>
    <w:rsid w:val="00A87A07"/>
    <w:rsid w:val="00A929C2"/>
    <w:rsid w:val="00A95D2B"/>
    <w:rsid w:val="00AB275B"/>
    <w:rsid w:val="00AB3EB6"/>
    <w:rsid w:val="00AC6F71"/>
    <w:rsid w:val="00AD097F"/>
    <w:rsid w:val="00AE3F6F"/>
    <w:rsid w:val="00AF4AA5"/>
    <w:rsid w:val="00B24246"/>
    <w:rsid w:val="00B30419"/>
    <w:rsid w:val="00B65D01"/>
    <w:rsid w:val="00B844F4"/>
    <w:rsid w:val="00BA06A1"/>
    <w:rsid w:val="00BA770A"/>
    <w:rsid w:val="00BA785B"/>
    <w:rsid w:val="00BB0E53"/>
    <w:rsid w:val="00BC5B0A"/>
    <w:rsid w:val="00BF3D14"/>
    <w:rsid w:val="00C054DE"/>
    <w:rsid w:val="00C06F42"/>
    <w:rsid w:val="00C12E8F"/>
    <w:rsid w:val="00C158EB"/>
    <w:rsid w:val="00C276D4"/>
    <w:rsid w:val="00C30ADF"/>
    <w:rsid w:val="00C45032"/>
    <w:rsid w:val="00C46053"/>
    <w:rsid w:val="00C679A9"/>
    <w:rsid w:val="00C7541C"/>
    <w:rsid w:val="00C80697"/>
    <w:rsid w:val="00C91196"/>
    <w:rsid w:val="00CA6778"/>
    <w:rsid w:val="00CB0BAA"/>
    <w:rsid w:val="00CC0FAA"/>
    <w:rsid w:val="00CD0736"/>
    <w:rsid w:val="00CD13B7"/>
    <w:rsid w:val="00CF5809"/>
    <w:rsid w:val="00D1570F"/>
    <w:rsid w:val="00D177F1"/>
    <w:rsid w:val="00D2265E"/>
    <w:rsid w:val="00D30C0F"/>
    <w:rsid w:val="00D32830"/>
    <w:rsid w:val="00D43E58"/>
    <w:rsid w:val="00D47AF5"/>
    <w:rsid w:val="00D51131"/>
    <w:rsid w:val="00D658FE"/>
    <w:rsid w:val="00D74BDA"/>
    <w:rsid w:val="00D75818"/>
    <w:rsid w:val="00DB11A5"/>
    <w:rsid w:val="00DB5001"/>
    <w:rsid w:val="00DB7153"/>
    <w:rsid w:val="00DB7F05"/>
    <w:rsid w:val="00DE591F"/>
    <w:rsid w:val="00DF2081"/>
    <w:rsid w:val="00E00E1E"/>
    <w:rsid w:val="00E028C3"/>
    <w:rsid w:val="00E14F77"/>
    <w:rsid w:val="00E2064A"/>
    <w:rsid w:val="00E3076B"/>
    <w:rsid w:val="00E36978"/>
    <w:rsid w:val="00E37977"/>
    <w:rsid w:val="00E6021D"/>
    <w:rsid w:val="00E629E6"/>
    <w:rsid w:val="00E67DAF"/>
    <w:rsid w:val="00E82A1E"/>
    <w:rsid w:val="00E96349"/>
    <w:rsid w:val="00EB3F93"/>
    <w:rsid w:val="00EC06F4"/>
    <w:rsid w:val="00EE4E36"/>
    <w:rsid w:val="00EF3481"/>
    <w:rsid w:val="00EF3E67"/>
    <w:rsid w:val="00F133A5"/>
    <w:rsid w:val="00F665F4"/>
    <w:rsid w:val="00F73E65"/>
    <w:rsid w:val="00F77141"/>
    <w:rsid w:val="00FA157E"/>
    <w:rsid w:val="00FA1ED4"/>
    <w:rsid w:val="00FB55DD"/>
    <w:rsid w:val="00FD225F"/>
    <w:rsid w:val="00FD56BA"/>
    <w:rsid w:val="00FF1069"/>
    <w:rsid w:val="01290D29"/>
    <w:rsid w:val="01480286"/>
    <w:rsid w:val="01F321E2"/>
    <w:rsid w:val="02256BD3"/>
    <w:rsid w:val="023F4C4F"/>
    <w:rsid w:val="023F6625"/>
    <w:rsid w:val="038B7D85"/>
    <w:rsid w:val="039E418F"/>
    <w:rsid w:val="04352402"/>
    <w:rsid w:val="047C6D7A"/>
    <w:rsid w:val="048633FE"/>
    <w:rsid w:val="05194D4C"/>
    <w:rsid w:val="057317BD"/>
    <w:rsid w:val="057E5F5C"/>
    <w:rsid w:val="06A45708"/>
    <w:rsid w:val="06AB1EFE"/>
    <w:rsid w:val="06C67075"/>
    <w:rsid w:val="07E22C4F"/>
    <w:rsid w:val="081E44F4"/>
    <w:rsid w:val="08780395"/>
    <w:rsid w:val="09FF15A6"/>
    <w:rsid w:val="0A0C0C4B"/>
    <w:rsid w:val="0AC56089"/>
    <w:rsid w:val="0B2B6403"/>
    <w:rsid w:val="0B3D0056"/>
    <w:rsid w:val="0BBB1A7A"/>
    <w:rsid w:val="0CCA7D08"/>
    <w:rsid w:val="0CEF4282"/>
    <w:rsid w:val="0E220841"/>
    <w:rsid w:val="0EDF5871"/>
    <w:rsid w:val="0EF83280"/>
    <w:rsid w:val="0F4B6970"/>
    <w:rsid w:val="109577B0"/>
    <w:rsid w:val="10E13AA3"/>
    <w:rsid w:val="11B13579"/>
    <w:rsid w:val="143729A9"/>
    <w:rsid w:val="14472645"/>
    <w:rsid w:val="14884B3A"/>
    <w:rsid w:val="15696683"/>
    <w:rsid w:val="163B7594"/>
    <w:rsid w:val="16F8753A"/>
    <w:rsid w:val="17811CB7"/>
    <w:rsid w:val="18332022"/>
    <w:rsid w:val="183F5C09"/>
    <w:rsid w:val="188971A5"/>
    <w:rsid w:val="18984240"/>
    <w:rsid w:val="18B33429"/>
    <w:rsid w:val="19090C17"/>
    <w:rsid w:val="193B7FD5"/>
    <w:rsid w:val="197A5E5A"/>
    <w:rsid w:val="1C775BCB"/>
    <w:rsid w:val="1D1032BD"/>
    <w:rsid w:val="1D677D0B"/>
    <w:rsid w:val="1D696B7B"/>
    <w:rsid w:val="1E0F66DF"/>
    <w:rsid w:val="1F5B7337"/>
    <w:rsid w:val="1F6F42FA"/>
    <w:rsid w:val="202A6997"/>
    <w:rsid w:val="23207D17"/>
    <w:rsid w:val="23FD1863"/>
    <w:rsid w:val="243C3C66"/>
    <w:rsid w:val="24447A23"/>
    <w:rsid w:val="256A6898"/>
    <w:rsid w:val="257D414B"/>
    <w:rsid w:val="25963382"/>
    <w:rsid w:val="25EA2288"/>
    <w:rsid w:val="2656162A"/>
    <w:rsid w:val="26A07998"/>
    <w:rsid w:val="26C337FD"/>
    <w:rsid w:val="274437A3"/>
    <w:rsid w:val="290B6EBB"/>
    <w:rsid w:val="29BF10E9"/>
    <w:rsid w:val="29F46190"/>
    <w:rsid w:val="2A1E6D2C"/>
    <w:rsid w:val="2A7036B0"/>
    <w:rsid w:val="2A973FFA"/>
    <w:rsid w:val="2A986339"/>
    <w:rsid w:val="2AD41017"/>
    <w:rsid w:val="2B4C1D46"/>
    <w:rsid w:val="2BF811F2"/>
    <w:rsid w:val="2CE345C7"/>
    <w:rsid w:val="2D8772BB"/>
    <w:rsid w:val="2D91450E"/>
    <w:rsid w:val="2DBF7302"/>
    <w:rsid w:val="2FFB3745"/>
    <w:rsid w:val="319B0B11"/>
    <w:rsid w:val="31B33996"/>
    <w:rsid w:val="31C2036A"/>
    <w:rsid w:val="320D02A5"/>
    <w:rsid w:val="32B924D1"/>
    <w:rsid w:val="34086ADC"/>
    <w:rsid w:val="346B3C58"/>
    <w:rsid w:val="346E2F28"/>
    <w:rsid w:val="348E566F"/>
    <w:rsid w:val="34FB3197"/>
    <w:rsid w:val="353E70CE"/>
    <w:rsid w:val="360A0890"/>
    <w:rsid w:val="36C41FE2"/>
    <w:rsid w:val="36EB02D8"/>
    <w:rsid w:val="3708600E"/>
    <w:rsid w:val="377C7C88"/>
    <w:rsid w:val="3924530D"/>
    <w:rsid w:val="39E00204"/>
    <w:rsid w:val="3A17121F"/>
    <w:rsid w:val="3A226944"/>
    <w:rsid w:val="3A72299E"/>
    <w:rsid w:val="3AB561BC"/>
    <w:rsid w:val="3AEE6A48"/>
    <w:rsid w:val="3BF71756"/>
    <w:rsid w:val="3C1620AA"/>
    <w:rsid w:val="3C8D38BE"/>
    <w:rsid w:val="3CDA471B"/>
    <w:rsid w:val="3D8F080F"/>
    <w:rsid w:val="3ED604D5"/>
    <w:rsid w:val="3F234808"/>
    <w:rsid w:val="40932EA7"/>
    <w:rsid w:val="41A86605"/>
    <w:rsid w:val="44CE1FA4"/>
    <w:rsid w:val="4507674B"/>
    <w:rsid w:val="460C5E7A"/>
    <w:rsid w:val="461731EF"/>
    <w:rsid w:val="46A96794"/>
    <w:rsid w:val="481E529F"/>
    <w:rsid w:val="487F73ED"/>
    <w:rsid w:val="4890695E"/>
    <w:rsid w:val="4A0D044F"/>
    <w:rsid w:val="4A266F66"/>
    <w:rsid w:val="4A347EAE"/>
    <w:rsid w:val="4AE1464D"/>
    <w:rsid w:val="4CB92E68"/>
    <w:rsid w:val="4D15189C"/>
    <w:rsid w:val="4E2437C2"/>
    <w:rsid w:val="4E97029C"/>
    <w:rsid w:val="50F34F5A"/>
    <w:rsid w:val="512357F1"/>
    <w:rsid w:val="516177FE"/>
    <w:rsid w:val="51FB194A"/>
    <w:rsid w:val="52600405"/>
    <w:rsid w:val="529B4319"/>
    <w:rsid w:val="53420BFA"/>
    <w:rsid w:val="54136FF6"/>
    <w:rsid w:val="546C6429"/>
    <w:rsid w:val="54AE6563"/>
    <w:rsid w:val="54C9667E"/>
    <w:rsid w:val="550D2944"/>
    <w:rsid w:val="553A2367"/>
    <w:rsid w:val="554A0E52"/>
    <w:rsid w:val="55580A29"/>
    <w:rsid w:val="55AF3AA4"/>
    <w:rsid w:val="55BD796C"/>
    <w:rsid w:val="55CF0383"/>
    <w:rsid w:val="56542548"/>
    <w:rsid w:val="57773DD6"/>
    <w:rsid w:val="578B79AB"/>
    <w:rsid w:val="580B379B"/>
    <w:rsid w:val="59551E39"/>
    <w:rsid w:val="59A529DB"/>
    <w:rsid w:val="59D41226"/>
    <w:rsid w:val="5A075B49"/>
    <w:rsid w:val="5A737363"/>
    <w:rsid w:val="5B4248FD"/>
    <w:rsid w:val="5BC80FE9"/>
    <w:rsid w:val="5C05488C"/>
    <w:rsid w:val="5C997519"/>
    <w:rsid w:val="5CCD3FD5"/>
    <w:rsid w:val="5DBB368F"/>
    <w:rsid w:val="5E5C7929"/>
    <w:rsid w:val="5F3E3C1B"/>
    <w:rsid w:val="60304550"/>
    <w:rsid w:val="606D6483"/>
    <w:rsid w:val="61F435C0"/>
    <w:rsid w:val="61FA5F9D"/>
    <w:rsid w:val="621B10D2"/>
    <w:rsid w:val="626A2F0E"/>
    <w:rsid w:val="627569FD"/>
    <w:rsid w:val="628E493B"/>
    <w:rsid w:val="63233EDE"/>
    <w:rsid w:val="63D7020A"/>
    <w:rsid w:val="649A293E"/>
    <w:rsid w:val="649B6A5A"/>
    <w:rsid w:val="649F3EFA"/>
    <w:rsid w:val="64CD6910"/>
    <w:rsid w:val="6502134F"/>
    <w:rsid w:val="65913278"/>
    <w:rsid w:val="65D84789"/>
    <w:rsid w:val="662F6AF1"/>
    <w:rsid w:val="66ED08B6"/>
    <w:rsid w:val="6789158D"/>
    <w:rsid w:val="67D81BA4"/>
    <w:rsid w:val="67D8398A"/>
    <w:rsid w:val="68D51668"/>
    <w:rsid w:val="69822EDD"/>
    <w:rsid w:val="69B13E64"/>
    <w:rsid w:val="6A5A23B1"/>
    <w:rsid w:val="6AAF1C96"/>
    <w:rsid w:val="6CB878E1"/>
    <w:rsid w:val="6CD01654"/>
    <w:rsid w:val="6F1C1033"/>
    <w:rsid w:val="6F1F0C00"/>
    <w:rsid w:val="71B3034A"/>
    <w:rsid w:val="71DC69E2"/>
    <w:rsid w:val="720B3B31"/>
    <w:rsid w:val="723763E1"/>
    <w:rsid w:val="725D4B10"/>
    <w:rsid w:val="725D732B"/>
    <w:rsid w:val="731407B7"/>
    <w:rsid w:val="7380777B"/>
    <w:rsid w:val="73C47748"/>
    <w:rsid w:val="74785C02"/>
    <w:rsid w:val="75681757"/>
    <w:rsid w:val="75A346A8"/>
    <w:rsid w:val="773B0BB6"/>
    <w:rsid w:val="778F13FB"/>
    <w:rsid w:val="781E44DE"/>
    <w:rsid w:val="79964208"/>
    <w:rsid w:val="79B9382C"/>
    <w:rsid w:val="7B043B76"/>
    <w:rsid w:val="7B5432A6"/>
    <w:rsid w:val="7C041A6A"/>
    <w:rsid w:val="7D7C4C8E"/>
    <w:rsid w:val="7D8B7922"/>
    <w:rsid w:val="7DF6231D"/>
    <w:rsid w:val="7E327570"/>
    <w:rsid w:val="7F8D57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0"/>
    <w:qFormat/>
    <w:uiPriority w:val="99"/>
    <w:rPr>
      <w:rFonts w:ascii="仿宋_GB2312" w:hAnsi="仿宋_GB2312" w:eastAsia="仿宋_GB2312" w:cs="仿宋_GB2312"/>
      <w:sz w:val="32"/>
      <w:szCs w:val="32"/>
      <w:lang w:val="zh-CN"/>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basedOn w:val="6"/>
    <w:qFormat/>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标题 1 Char"/>
    <w:basedOn w:val="8"/>
    <w:link w:val="2"/>
    <w:qFormat/>
    <w:uiPriority w:val="9"/>
    <w:rPr>
      <w:rFonts w:ascii="等线" w:hAnsi="等线" w:eastAsia="等线"/>
      <w:b/>
      <w:bCs/>
      <w:kern w:val="44"/>
      <w:sz w:val="44"/>
      <w:szCs w:val="44"/>
    </w:rPr>
  </w:style>
  <w:style w:type="character" w:customStyle="1" w:styleId="10">
    <w:name w:val="正文文本 Char"/>
    <w:basedOn w:val="8"/>
    <w:link w:val="3"/>
    <w:semiHidden/>
    <w:qFormat/>
    <w:uiPriority w:val="99"/>
    <w:rPr>
      <w:rFonts w:ascii="等线" w:hAnsi="等线" w:eastAsia="等线"/>
    </w:rPr>
  </w:style>
  <w:style w:type="character" w:customStyle="1" w:styleId="11">
    <w:name w:val="页脚 Char"/>
    <w:basedOn w:val="8"/>
    <w:link w:val="4"/>
    <w:qFormat/>
    <w:locked/>
    <w:uiPriority w:val="99"/>
    <w:rPr>
      <w:rFonts w:cs="Times New Roman"/>
      <w:sz w:val="18"/>
      <w:szCs w:val="18"/>
    </w:rPr>
  </w:style>
  <w:style w:type="character" w:customStyle="1" w:styleId="12">
    <w:name w:val="页眉 Char"/>
    <w:basedOn w:val="8"/>
    <w:link w:val="5"/>
    <w:qFormat/>
    <w:locked/>
    <w:uiPriority w:val="99"/>
    <w:rPr>
      <w:rFonts w:ascii="等线" w:hAnsi="等线" w:eastAsia="等线" w:cs="Times New Roman"/>
      <w:sz w:val="18"/>
      <w:szCs w:val="18"/>
    </w:rPr>
  </w:style>
  <w:style w:type="paragraph" w:customStyle="1" w:styleId="13">
    <w:name w:val="List Paragraph1"/>
    <w:basedOn w:val="1"/>
    <w:qFormat/>
    <w:uiPriority w:val="99"/>
    <w:pPr>
      <w:spacing w:before="2"/>
      <w:ind w:left="119" w:right="434" w:firstLine="643"/>
    </w:pPr>
    <w:rPr>
      <w:rFonts w:ascii="仿宋_GB2312" w:hAnsi="仿宋_GB2312" w:eastAsia="仿宋_GB2312" w:cs="仿宋_GB2312"/>
      <w:lang w:val="zh-CN"/>
    </w:rPr>
  </w:style>
  <w:style w:type="paragraph" w:styleId="14">
    <w:name w:val="List Paragraph"/>
    <w:basedOn w:val="1"/>
    <w:qFormat/>
    <w:uiPriority w:val="34"/>
    <w:pPr>
      <w:spacing w:after="160" w:line="480" w:lineRule="auto"/>
      <w:ind w:firstLine="420" w:firstLineChars="200"/>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539C85-E32E-4EB9-846F-38314CBC95AB}">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36</Pages>
  <Words>2227</Words>
  <Characters>12694</Characters>
  <Lines>105</Lines>
  <Paragraphs>29</Paragraphs>
  <TotalTime>7</TotalTime>
  <ScaleCrop>false</ScaleCrop>
  <LinksUpToDate>false</LinksUpToDate>
  <CharactersWithSpaces>14892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宝娘@_@JCcat</cp:lastModifiedBy>
  <cp:lastPrinted>2020-08-13T02:32:00Z</cp:lastPrinted>
  <dcterms:modified xsi:type="dcterms:W3CDTF">2024-03-19T02:38:36Z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706F3C611D194808B2F3970D1E09F8B3</vt:lpwstr>
  </property>
</Properties>
</file>