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</w:rPr>
        <w:t>19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遵化市商务和投资促进局 </w:t>
      </w: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" w:cs="Times New Roman"/>
          <w:sz w:val="32"/>
          <w:szCs w:val="32"/>
        </w:rPr>
        <w:t>6976166</w:t>
      </w: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：2019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</w:rPr>
        <w:t>12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>31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遵化</w:t>
      </w:r>
      <w:r>
        <w:rPr>
          <w:rFonts w:ascii="仿宋" w:hAnsi="仿宋" w:eastAsia="仿宋" w:cs="Times New Roman"/>
          <w:sz w:val="32"/>
          <w:szCs w:val="32"/>
        </w:rPr>
        <w:t>市财政局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本部门201</w:t>
      </w:r>
      <w:r>
        <w:rPr>
          <w:rFonts w:hint="eastAsia" w:ascii="Times New Roman" w:hAnsi="Times New Roman" w:eastAsia="仿宋" w:cs="Times New Roman"/>
          <w:sz w:val="32"/>
          <w:szCs w:val="32"/>
        </w:rPr>
        <w:t>9</w:t>
      </w:r>
      <w:r>
        <w:rPr>
          <w:rFonts w:ascii="Times New Roman" w:hAnsi="Times New Roman" w:eastAsia="仿宋" w:cs="Times New Roman"/>
          <w:sz w:val="32"/>
          <w:szCs w:val="32"/>
        </w:rPr>
        <w:t>年度申请预算</w:t>
      </w:r>
      <w:r>
        <w:rPr>
          <w:rFonts w:hint="eastAsia" w:ascii="Times New Roman" w:hAnsi="Times New Roman" w:eastAsia="仿宋" w:cs="Times New Roman"/>
          <w:sz w:val="32"/>
          <w:szCs w:val="32"/>
        </w:rPr>
        <w:t>资金790.25万元，实际支出790.25万元，预算执行率100</w:t>
      </w:r>
      <w:r>
        <w:rPr>
          <w:rFonts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</w:rPr>
        <w:t>。其中：专项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个，金额合计</w:t>
      </w:r>
      <w:r>
        <w:rPr>
          <w:rFonts w:hint="eastAsia" w:ascii="仿宋_GB2312" w:hAnsi="仿宋_GB2312" w:eastAsia="仿宋_GB2312" w:cs="仿宋_GB2312"/>
          <w:sz w:val="32"/>
          <w:szCs w:val="32"/>
        </w:rPr>
        <w:t>248.31</w:t>
      </w:r>
      <w:r>
        <w:rPr>
          <w:rFonts w:ascii="Times New Roman" w:hAnsi="Times New Roman" w:eastAsia="仿宋" w:cs="Times New Roman"/>
          <w:sz w:val="32"/>
          <w:szCs w:val="32"/>
        </w:rPr>
        <w:t>万元，实际</w:t>
      </w:r>
      <w:r>
        <w:rPr>
          <w:rFonts w:hint="eastAsia" w:ascii="Times New Roman" w:hAnsi="Times New Roman" w:eastAsia="仿宋" w:cs="Times New Roman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248.31</w:t>
      </w:r>
      <w:r>
        <w:rPr>
          <w:rFonts w:ascii="Times New Roman" w:hAnsi="Times New Roman" w:eastAsia="仿宋" w:cs="Times New Roman"/>
          <w:sz w:val="32"/>
          <w:szCs w:val="32"/>
        </w:rPr>
        <w:t>万元，执行率为</w:t>
      </w:r>
      <w:r>
        <w:rPr>
          <w:rFonts w:hint="eastAsia" w:ascii="Times New Roman" w:hAnsi="Times New Roman" w:eastAsia="仿宋" w:cs="Times New Roman"/>
          <w:sz w:val="32"/>
          <w:szCs w:val="32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>
      <w:pPr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本部门年初设定的部门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整体</w:t>
      </w:r>
      <w:r>
        <w:rPr>
          <w:rFonts w:ascii="Times New Roman" w:hAnsi="Times New Roman" w:eastAsia="仿宋" w:cs="Times New Roman"/>
          <w:b/>
          <w:sz w:val="32"/>
          <w:szCs w:val="32"/>
        </w:rPr>
        <w:t>绩效指标是：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完成本部门年度任务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促进我市经济发展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引进一批大项目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好项目签约落地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t>通过执法检查规范我市成品油市场安全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本次绩效评价项目</w:t>
      </w: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个，</w:t>
      </w:r>
      <w:r>
        <w:rPr>
          <w:rFonts w:hint="eastAsia" w:ascii="Times New Roman" w:hAnsi="Times New Roman" w:eastAsia="仿宋" w:cs="Times New Roman"/>
          <w:sz w:val="32"/>
          <w:szCs w:val="32"/>
        </w:rPr>
        <w:t>占</w:t>
      </w:r>
      <w:r>
        <w:rPr>
          <w:rFonts w:ascii="Times New Roman" w:hAnsi="Times New Roman" w:eastAsia="仿宋" w:cs="Times New Roman"/>
          <w:sz w:val="32"/>
          <w:szCs w:val="32"/>
        </w:rPr>
        <w:t>部门项目总数的</w:t>
      </w:r>
      <w:r>
        <w:rPr>
          <w:rFonts w:hint="eastAsia" w:ascii="Times New Roman" w:hAnsi="Times New Roman" w:eastAsia="仿宋" w:cs="Times New Roman"/>
          <w:sz w:val="32"/>
          <w:szCs w:val="32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%，涉及金额</w:t>
      </w:r>
      <w:r>
        <w:rPr>
          <w:rFonts w:hint="eastAsia" w:ascii="Times New Roman" w:hAnsi="Times New Roman" w:eastAsia="仿宋" w:cs="Times New Roman"/>
          <w:sz w:val="32"/>
          <w:szCs w:val="32"/>
        </w:rPr>
        <w:t>248.31</w:t>
      </w:r>
      <w:r>
        <w:rPr>
          <w:rFonts w:ascii="Times New Roman" w:hAnsi="Times New Roman" w:eastAsia="仿宋" w:cs="Times New Roman"/>
          <w:sz w:val="32"/>
          <w:szCs w:val="32"/>
        </w:rPr>
        <w:t>万元。采取成立本部门绩效自评工作组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用房租赁项目自评综述：根据年初设定的绩效目标，办公用房租赁项目绩效自评得分为100分（绩效自评表附后）。全年预算数为25万元，执行数为25万元，完成预算的100%。该项目目标明确，项目资金申报、批复程序符合相关管理办法，项目实施过程有专人负责，组织机构健全。资金管理方面，财务方面制度健全，对项目做了合理、规范的预算安排，项目资金合理合规，无截留、挤占现象，实际资金支出到位占实际要求的100%，发放过程中做到了及时、足额拨付，保证了项目有效实施。</w:t>
      </w: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参加上级组织国内展会专项经费项目绩效自评综述：根据年初设定的绩效目标，参加上级组织国内展会专项经费项目绩效自评得分为100分（绩效自评表附后）。全年预算数为20万元，执行数为9.07万元，完成预算的45%。该项目目标明确，项目资金申报、批复程序符合相关管理办法，项目实施过程有专人负责，组织机构健全。组织企业走出去开拓市场：组织企业报名参加125届春季广交会、高交会、中日采购对接会等大型活动，宣传推介企业产品优势，与日本、韩国、东南亚、中东以及欧美国等20个国家、地区签署订单。主要绩效表现为：1、参展企业普遍提升自身企业品牌影响力。2、有效的帮助企业提升产品形象，扩大外贸出口量。</w:t>
      </w: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执法检查专项经费项目绩效自评综述：根据年初设定的绩效目标，执法检查专项经费项目绩效自评得分为100分。全年预算数为10万元，执行数为7.05万元，完成预算的70%。2019年度，全市现有132家加油站，其中：建成区38家。对成品油市场的管理，我局重点放在了加油站依法经营监管上，健全完善了加油站“购、销、存”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行责任分级、事故追究、公平竞争、消费者监督的网络体系；完善了油品销售和车用尿素销售不定期抽查、巡查制度，建立了来源可追溯、去向能查明、违法受追究的监控体系；依法查处具备成品油零售经营资格企业的违法行为，对无证经营者进行甄别并协调有关部门依法取缔。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目前，我局已累计开展日常检查活动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53余次，柴油和车用尿素票据质量抽检合格率达到98％以上，成品油市场经营秩序日趋优化。主要绩效表现为：1、全年各项工作圆满完成。2、执法效果显著。</w:t>
      </w: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（4）招商经费项目绩效自评综述：根据年初设定的绩效目标，招商经费项目绩效自评得分为100分。全年预算数为100万元，执行数为57.18万元，完成预算的57%。2019年度以来，我局先后对接洽谈了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多次，重点对接了唐山爱信佳工汽车零部件有限公司汽车零部件基地、天山</w:t>
      </w:r>
      <w:r>
        <w:rPr>
          <w:rFonts w:ascii="仿宋_GB2312" w:hAnsi="仿宋_GB2312" w:eastAsia="仿宋_GB2312" w:cs="仿宋_GB2312"/>
          <w:sz w:val="32"/>
          <w:szCs w:val="32"/>
        </w:rPr>
        <w:t>海世界室内大型恒温水上娱乐</w:t>
      </w:r>
      <w:r>
        <w:rPr>
          <w:rFonts w:hint="eastAsia" w:ascii="仿宋_GB2312" w:hAnsi="仿宋_GB2312" w:eastAsia="仿宋_GB2312" w:cs="仿宋_GB2312"/>
          <w:sz w:val="32"/>
          <w:szCs w:val="32"/>
        </w:rPr>
        <w:t>、总部基地控股集团微型总部基地、福建圣农集团与美客多集团合作建设大型白羽鸡全生产链、应急电源装备制造等项目。设立了全市招商引资工作台账，协调承担招商引资任务的单位推进招商引资工作，按月督办55个单位招商引资工作并列入台账。逐月审核汇总各单位招商引资工作情况，形成报表按月上报市政府，为市领导掌握全市招商引资情况，指导招商引资工作提供准确依据。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目前，全市纳入招商引资工作台账管理的在谈项目信息269个，其中：第一产业29个，第二产业109个，第三产业131个。在谈项目中，正在重点推进的项目47个，意向投资总额248.406亿元，其中：第一产业2个，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意向投资金额1.6亿元；第二产业22个，意向投资金额41.656亿元；第三产业23个，意向投资205.15亿元；已签约项目106个，总投资357.3亿元，其中第一产业10个，第二产业58个，第三产业38个。主要绩效表现为：1、全年各项工作圆满完成。2、招商引资效果显著，引进了一批大项目，好项目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五、存在的问题和建议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通过此次自评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我们发现部分预算项目尚存在一些问题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：招商引资项目中，企业对接数量较少，应继续加大走出去，引进来的工作力度。尽可能多的引导项目签约落地。建议继续加大招商引资力度，加快我市经济增长。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222FFA"/>
    <w:multiLevelType w:val="singleLevel"/>
    <w:tmpl w:val="5F222FFA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D6546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1E7D73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057F"/>
    <w:rsid w:val="00591B54"/>
    <w:rsid w:val="00594260"/>
    <w:rsid w:val="005A1061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D6749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23B38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11450CE1"/>
    <w:rsid w:val="11A067FE"/>
    <w:rsid w:val="3D2E1997"/>
    <w:rsid w:val="41065629"/>
    <w:rsid w:val="4E8462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306</Words>
  <Characters>1749</Characters>
  <Lines>14</Lines>
  <Paragraphs>4</Paragraphs>
  <TotalTime>26</TotalTime>
  <ScaleCrop>false</ScaleCrop>
  <LinksUpToDate>false</LinksUpToDate>
  <CharactersWithSpaces>2051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JAYCHOU</cp:lastModifiedBy>
  <cp:lastPrinted>2020-08-28T07:45:00Z</cp:lastPrinted>
  <dcterms:modified xsi:type="dcterms:W3CDTF">2024-03-19T06:26:11Z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