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rPr>
        <w:drawing>
          <wp:anchor distT="0" distB="0" distL="0" distR="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7" cstate="print"/>
                    <a:srcRect/>
                    <a:stretch>
                      <a:fillRect/>
                    </a:stretch>
                  </pic:blipFill>
                  <pic:spPr>
                    <a:xfrm>
                      <a:off x="0" y="0"/>
                      <a:ext cx="7576820" cy="10796905"/>
                    </a:xfrm>
                    <a:prstGeom prst="rect">
                      <a:avLst/>
                    </a:prstGeom>
                  </pic:spPr>
                </pic:pic>
              </a:graphicData>
            </a:graphic>
          </wp:anchor>
        </w:drawing>
      </w:r>
    </w:p>
    <w:p>
      <w:pPr>
        <w:widowControl/>
        <w:jc w:val="center"/>
        <w:rPr>
          <w:rFonts w:ascii="黑体" w:hAnsi="宋体" w:eastAsia="黑体"/>
          <w:color w:val="002060"/>
          <w:sz w:val="72"/>
          <w:szCs w:val="72"/>
        </w:rPr>
      </w:pPr>
    </w:p>
    <w:p>
      <w:pPr>
        <w:widowControl/>
        <w:jc w:val="center"/>
        <w:rPr>
          <w:rFonts w:ascii="黑体" w:hAnsi="宋体" w:eastAsia="黑体"/>
          <w:color w:val="002060"/>
          <w:sz w:val="72"/>
          <w:szCs w:val="72"/>
        </w:rPr>
      </w:pPr>
      <w:r>
        <w:rPr>
          <w:sz w:val="72"/>
        </w:rPr>
        <w:pict>
          <v:rect id="文本框 8" o:spid="_x0000_s1026" o:spt="1" style="position:absolute;left:0pt;margin-left:-83.1pt;margin-top:43.25pt;height:166.25pt;width:596.2pt;z-index:251660288;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qXtxXbAAAADAEAAA8AAAAAAAAAAQAgAAAAIgAAAGRycy9kb3ducmV2&#10;LnhtbFBLAQIUABQAAAAIAIdO4kBB6PzQwAEAAFYDAAAOAAAAAAAAAAEAIAAAACoBAABkcnMvZTJv&#10;RG9jLnhtbFBLBQYAAAAABgAGAFkBAABcBQAAAAA=&#1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遵化市遵化镇人民政府</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5"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二〇一九年七月</w:t>
      </w:r>
    </w:p>
    <w:p>
      <w:pPr>
        <w:widowControl/>
        <w:jc w:val="both"/>
        <w:rPr>
          <w:rFonts w:hint="eastAsia" w:ascii="黑体" w:hAnsi="黑体" w:eastAsia="黑体" w:cs="黑体"/>
          <w:b/>
          <w:sz w:val="44"/>
          <w:szCs w:val="44"/>
          <w:lang w:eastAsia="zh-CN"/>
        </w:rPr>
      </w:pPr>
      <w:r>
        <w:rPr>
          <w:rFonts w:hint="eastAsia" w:ascii="黑体" w:hAnsi="黑体" w:eastAsia="黑体" w:cs="黑体"/>
          <w:b/>
          <w:sz w:val="44"/>
          <w:szCs w:val="44"/>
          <w:lang w:eastAsia="zh-CN"/>
        </w:rPr>
        <w:drawing>
          <wp:inline distT="0" distB="0" distL="114300" distR="114300">
            <wp:extent cx="5568315" cy="7641590"/>
            <wp:effectExtent l="0" t="0" r="9525" b="8890"/>
            <wp:docPr id="1" name="图片 1" descr="18年部门决算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年部门决算公开"/>
                    <pic:cNvPicPr>
                      <a:picLocks noChangeAspect="1"/>
                    </pic:cNvPicPr>
                  </pic:nvPicPr>
                  <pic:blipFill>
                    <a:blip r:embed="rId8"/>
                    <a:stretch>
                      <a:fillRect/>
                    </a:stretch>
                  </pic:blipFill>
                  <pic:spPr>
                    <a:xfrm>
                      <a:off x="0" y="0"/>
                      <a:ext cx="5568315" cy="7641590"/>
                    </a:xfrm>
                    <a:prstGeom prst="rect">
                      <a:avLst/>
                    </a:prstGeom>
                  </pic:spPr>
                </pic:pic>
              </a:graphicData>
            </a:graphic>
          </wp:inline>
        </w:drawing>
      </w:r>
    </w:p>
    <w:p>
      <w:pPr>
        <w:widowControl/>
        <w:jc w:val="center"/>
        <w:rPr>
          <w:rFonts w:ascii="黑体" w:eastAsia="黑体"/>
          <w:sz w:val="44"/>
          <w:szCs w:val="44"/>
        </w:rPr>
      </w:pPr>
      <w:r>
        <w:rPr>
          <w:rFonts w:hint="eastAsia" w:ascii="黑体" w:hAnsi="黑体" w:eastAsia="黑体" w:cs="黑体"/>
          <w:bCs/>
          <w:sz w:val="44"/>
          <w:szCs w:val="44"/>
        </w:rPr>
        <w:drawing>
          <wp:inline distT="0" distB="0" distL="114300" distR="114300">
            <wp:extent cx="5606415" cy="7475220"/>
            <wp:effectExtent l="0" t="0" r="13335" b="11430"/>
            <wp:docPr id="29" name="图片 29" descr="微信图片_2019080909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190809093717"/>
                    <pic:cNvPicPr>
                      <a:picLocks noChangeAspect="1"/>
                    </pic:cNvPicPr>
                  </pic:nvPicPr>
                  <pic:blipFill>
                    <a:blip r:embed="rId9"/>
                    <a:stretch>
                      <a:fillRect/>
                    </a:stretch>
                  </pic:blipFill>
                  <pic:spPr>
                    <a:xfrm>
                      <a:off x="0" y="0"/>
                      <a:ext cx="5606415" cy="7475220"/>
                    </a:xfrm>
                    <a:prstGeom prst="rect">
                      <a:avLst/>
                    </a:prstGeom>
                  </pic:spPr>
                </pic:pic>
              </a:graphicData>
            </a:graphic>
          </wp:inline>
        </w:drawing>
      </w:r>
    </w:p>
    <w:p>
      <w:pPr>
        <w:spacing w:before="624" w:beforeLines="200" w:after="0" w:line="1000" w:lineRule="exact"/>
        <w:jc w:val="center"/>
        <w:rPr>
          <w:rFonts w:ascii="黑体" w:eastAsia="黑体"/>
          <w:sz w:val="48"/>
          <w:szCs w:val="48"/>
        </w:rPr>
      </w:pP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numPr>
          <w:ilvl w:val="0"/>
          <w:numId w:val="1"/>
        </w:numPr>
        <w:spacing w:line="580" w:lineRule="exact"/>
        <w:ind w:firstLine="640" w:firstLineChars="200"/>
        <w:rPr>
          <w:rFonts w:eastAsia="黑体"/>
          <w:sz w:val="32"/>
          <w:szCs w:val="32"/>
        </w:rPr>
      </w:pPr>
      <w:r>
        <w:rPr>
          <w:rFonts w:eastAsia="黑体"/>
          <w:sz w:val="32"/>
          <w:szCs w:val="32"/>
        </w:rPr>
        <w:t xml:space="preserve">  部门概况</w:t>
      </w:r>
    </w:p>
    <w:p>
      <w:pPr>
        <w:widowControl/>
        <w:spacing w:line="580" w:lineRule="exact"/>
        <w:ind w:firstLine="1273" w:firstLineChars="398"/>
        <w:rPr>
          <w:rFonts w:ascii="仿宋" w:hAnsi="仿宋" w:eastAsia="仿宋" w:cs="仿宋"/>
          <w:sz w:val="32"/>
          <w:szCs w:val="32"/>
        </w:rPr>
      </w:pPr>
      <w:r>
        <w:rPr>
          <w:rFonts w:hint="eastAsia" w:ascii="仿宋" w:hAnsi="仿宋" w:eastAsia="仿宋" w:cs="仿宋"/>
          <w:sz w:val="32"/>
          <w:szCs w:val="32"/>
        </w:rPr>
        <w:t>一、部门职责</w:t>
      </w:r>
    </w:p>
    <w:p>
      <w:pPr>
        <w:widowControl/>
        <w:spacing w:line="580" w:lineRule="exact"/>
        <w:ind w:firstLine="1273" w:firstLineChars="398"/>
        <w:rPr>
          <w:rFonts w:ascii="仿宋" w:hAnsi="仿宋" w:eastAsia="仿宋" w:cs="仿宋"/>
          <w:sz w:val="32"/>
          <w:szCs w:val="32"/>
        </w:rPr>
      </w:pPr>
      <w:r>
        <w:rPr>
          <w:rFonts w:hint="eastAsia" w:ascii="仿宋" w:hAnsi="仿宋" w:eastAsia="仿宋" w:cs="仿宋"/>
          <w:sz w:val="32"/>
          <w:szCs w:val="32"/>
        </w:rPr>
        <w:t>二、机构设置</w:t>
      </w:r>
    </w:p>
    <w:p>
      <w:pPr>
        <w:widowControl/>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第二部分   2018年度部门决算报表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一、收入支出决算总表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二、收入决算表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三、支出决算表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五、一般公共预算财政拨款支出决算表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七、一般公共预算财政拨款“三公”经费支出决算表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八、政府性基金预算财政拨款收入支出决算表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九、国有资本经营预算支出决算表</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十、政府采购情况表</w:t>
      </w:r>
    </w:p>
    <w:p>
      <w:pPr>
        <w:widowControl/>
        <w:spacing w:line="580" w:lineRule="exact"/>
        <w:ind w:firstLine="640" w:firstLineChars="200"/>
        <w:rPr>
          <w:rFonts w:ascii="仿宋" w:hAnsi="仿宋" w:eastAsia="仿宋" w:cs="仿宋"/>
          <w:sz w:val="32"/>
          <w:szCs w:val="32"/>
        </w:rPr>
      </w:pPr>
    </w:p>
    <w:p>
      <w:pPr>
        <w:widowControl/>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第三部分  遵化镇人民政府2018年部门决算情况说明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一、收入支出决算总体情况说明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二、收入决算情况说明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三、支出决算情况说明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widowControl/>
        <w:spacing w:line="580" w:lineRule="exact"/>
        <w:ind w:left="1279" w:leftChars="609"/>
        <w:rPr>
          <w:rFonts w:ascii="仿宋" w:hAnsi="仿宋" w:eastAsia="仿宋" w:cs="仿宋"/>
          <w:sz w:val="32"/>
          <w:szCs w:val="32"/>
        </w:rPr>
      </w:pPr>
      <w:r>
        <w:rPr>
          <w:rFonts w:hint="eastAsia" w:ascii="仿宋" w:hAnsi="仿宋" w:eastAsia="仿宋" w:cs="仿宋"/>
          <w:sz w:val="32"/>
          <w:szCs w:val="32"/>
        </w:rPr>
        <w:t>五、一般公共预算财政拨款“三公”经费支出决算情况说明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六、预算绩效情况说明</w:t>
      </w:r>
    </w:p>
    <w:p>
      <w:pPr>
        <w:widowControl/>
        <w:spacing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七、其他重要事项的说明</w:t>
      </w:r>
    </w:p>
    <w:p>
      <w:pPr>
        <w:widowControl/>
        <w:numPr>
          <w:ilvl w:val="0"/>
          <w:numId w:val="2"/>
        </w:numPr>
        <w:spacing w:line="580" w:lineRule="exact"/>
        <w:ind w:firstLine="640" w:firstLineChars="200"/>
        <w:rPr>
          <w:rFonts w:eastAsia="黑体"/>
          <w:sz w:val="32"/>
          <w:szCs w:val="32"/>
        </w:rPr>
      </w:pPr>
      <w:r>
        <w:rPr>
          <w:rFonts w:eastAsia="黑体"/>
          <w:sz w:val="32"/>
          <w:szCs w:val="32"/>
        </w:rPr>
        <w:t xml:space="preserve"> 名词解释</w:t>
      </w:r>
      <w:r>
        <w:rPr>
          <w:rFonts w:hint="eastAsia" w:eastAsia="黑体"/>
          <w:sz w:val="32"/>
          <w:szCs w:val="32"/>
        </w:rPr>
        <w:t>：</w:t>
      </w:r>
    </w:p>
    <w:p>
      <w:pPr>
        <w:widowControl/>
        <w:spacing w:line="580" w:lineRule="exact"/>
        <w:ind w:firstLine="640" w:firstLineChars="200"/>
        <w:rPr>
          <w:rFonts w:eastAsia="黑体"/>
          <w:sz w:val="32"/>
          <w:szCs w:val="32"/>
        </w:rPr>
      </w:pPr>
    </w:p>
    <w:p/>
    <w:p/>
    <w:p/>
    <w:p/>
    <w:p/>
    <w:p/>
    <w:p/>
    <w:p/>
    <w:p/>
    <w:p/>
    <w:p/>
    <w:p>
      <w:pPr>
        <w:widowControl/>
        <w:jc w:val="center"/>
        <w:rPr>
          <w:sz w:val="96"/>
          <w:szCs w:val="96"/>
        </w:rPr>
      </w:pPr>
      <w:r>
        <w:rPr>
          <w:rFonts w:hint="eastAsia" w:ascii="黑体" w:hAnsi="宋体" w:eastAsia="黑体"/>
          <w:sz w:val="96"/>
          <w:szCs w:val="96"/>
        </w:rPr>
        <w:t>第一部分  部门概况</w:t>
      </w:r>
    </w:p>
    <w:p/>
    <w:p>
      <w:r>
        <w:br w:type="page"/>
      </w:r>
    </w:p>
    <w:p>
      <w:pPr>
        <w:pStyle w:val="2"/>
        <w:spacing w:before="0" w:after="0" w:line="600" w:lineRule="exact"/>
        <w:jc w:val="left"/>
        <w:rPr>
          <w:rFonts w:ascii="黑体" w:hAnsi="黑体" w:eastAsia="黑体" w:cs="黑体"/>
          <w:sz w:val="32"/>
          <w:szCs w:val="32"/>
        </w:rPr>
      </w:pPr>
      <w:r>
        <w:rPr>
          <w:rFonts w:hint="eastAsia" w:ascii="黑体" w:hAnsi="黑体" w:eastAsia="黑体" w:cs="黑体"/>
          <w:kern w:val="0"/>
          <w:sz w:val="32"/>
          <w:szCs w:val="32"/>
        </w:rPr>
        <w:t>一、部门职责: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根据《唐山市机构编制委员会关于印发〈遵化市乡镇机构改革方案〉的通知》（唐机编字［2011］27号）文件，我单位主要职责是：</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(一)促进经济发展，增加农民收入。</w:t>
      </w:r>
      <w:r>
        <w:rPr>
          <w:rFonts w:hint="eastAsia" w:ascii="仿宋" w:hAnsi="仿宋" w:eastAsia="仿宋" w:cs="仿宋"/>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（二）提供公共服务，着力改善民生。</w:t>
      </w:r>
      <w:r>
        <w:rPr>
          <w:rFonts w:hint="eastAsia" w:ascii="仿宋" w:hAnsi="仿宋" w:eastAsia="仿宋" w:cs="仿宋"/>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（三）加强社会管理，维护农村稳定。</w:t>
      </w:r>
      <w:r>
        <w:rPr>
          <w:rFonts w:hint="eastAsia" w:ascii="仿宋" w:hAnsi="仿宋" w:eastAsia="仿宋" w:cs="仿宋"/>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（四）推进基层民主，促进农村和谐。</w:t>
      </w:r>
      <w:r>
        <w:rPr>
          <w:rFonts w:hint="eastAsia" w:ascii="仿宋" w:hAnsi="仿宋" w:eastAsia="仿宋" w:cs="仿宋"/>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2"/>
        <w:spacing w:before="0" w:after="0" w:line="600" w:lineRule="exact"/>
        <w:jc w:val="left"/>
        <w:rPr>
          <w:rFonts w:ascii="黑体" w:hAnsi="黑体" w:eastAsia="黑体" w:cs="黑体"/>
          <w:b w:val="0"/>
          <w:bCs w:val="0"/>
          <w:kern w:val="0"/>
          <w:sz w:val="32"/>
          <w:szCs w:val="32"/>
        </w:rPr>
      </w:pPr>
      <w:r>
        <w:rPr>
          <w:rFonts w:hint="eastAsia" w:ascii="黑体" w:hAnsi="黑体" w:eastAsia="黑体" w:cs="黑体"/>
          <w:b w:val="0"/>
          <w:bCs w:val="0"/>
          <w:kern w:val="0"/>
          <w:sz w:val="32"/>
          <w:szCs w:val="32"/>
        </w:rPr>
        <w:t>二、机构设置</w:t>
      </w:r>
    </w:p>
    <w:p>
      <w:pPr>
        <w:spacing w:after="0" w:line="560" w:lineRule="exact"/>
        <w:rPr>
          <w:rFonts w:ascii="仿宋" w:hAnsi="仿宋" w:eastAsia="仿宋" w:cs="仿宋"/>
          <w:kern w:val="0"/>
          <w:sz w:val="32"/>
          <w:szCs w:val="32"/>
        </w:rPr>
      </w:pPr>
      <w:r>
        <w:rPr>
          <w:rFonts w:hint="eastAsia" w:ascii="仿宋" w:hAnsi="仿宋" w:eastAsia="仿宋" w:cs="仿宋"/>
          <w:kern w:val="0"/>
          <w:sz w:val="32"/>
          <w:szCs w:val="32"/>
        </w:rPr>
        <w:t>从决算编报单位构成看，纳入2018 年度本部门决算汇编范围的独立核算单位（以下简称“单位”）共 1个，具体情况如下：</w:t>
      </w:r>
    </w:p>
    <w:tbl>
      <w:tblPr>
        <w:tblStyle w:val="12"/>
        <w:tblW w:w="10097" w:type="dxa"/>
        <w:jc w:val="center"/>
        <w:tblLayout w:type="fixed"/>
        <w:tblCellMar>
          <w:top w:w="0" w:type="dxa"/>
          <w:left w:w="108" w:type="dxa"/>
          <w:bottom w:w="0" w:type="dxa"/>
          <w:right w:w="108" w:type="dxa"/>
        </w:tblCellMar>
      </w:tblPr>
      <w:tblGrid>
        <w:gridCol w:w="4597"/>
        <w:gridCol w:w="1356"/>
        <w:gridCol w:w="1163"/>
        <w:gridCol w:w="2981"/>
      </w:tblGrid>
      <w:tr>
        <w:tblPrEx>
          <w:tblCellMar>
            <w:top w:w="0" w:type="dxa"/>
            <w:left w:w="108" w:type="dxa"/>
            <w:bottom w:w="0" w:type="dxa"/>
            <w:right w:w="108" w:type="dxa"/>
          </w:tblCellMar>
        </w:tblPrEx>
        <w:trPr>
          <w:trHeight w:val="1009" w:hRule="atLeast"/>
          <w:tblHeader/>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单位名称</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单位性质</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单位规格</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经费保障形式</w:t>
            </w:r>
          </w:p>
        </w:tc>
      </w:tr>
      <w:tr>
        <w:tblPrEx>
          <w:tblCellMar>
            <w:top w:w="0" w:type="dxa"/>
            <w:left w:w="108" w:type="dxa"/>
            <w:bottom w:w="0" w:type="dxa"/>
            <w:right w:w="108" w:type="dxa"/>
          </w:tblCellMar>
        </w:tblPrEx>
        <w:trPr>
          <w:trHeight w:val="64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合    计</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r>
      <w:tr>
        <w:tblPrEx>
          <w:tblCellMar>
            <w:top w:w="0" w:type="dxa"/>
            <w:left w:w="108" w:type="dxa"/>
            <w:bottom w:w="0" w:type="dxa"/>
            <w:right w:w="108" w:type="dxa"/>
          </w:tblCellMar>
        </w:tblPrEx>
        <w:trPr>
          <w:trHeight w:val="82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遵化市遵化镇人民政府</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82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遵化市遵化镇党政综合办公室</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82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遵化市遵化镇社会事务办公室</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82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遵化市遵化镇经济发展办公室</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826"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遵化市遵化镇城镇建设办公室</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1009"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遵化市遵化镇社会治安综合治理办公室</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1009"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遵化市遵化镇财政所农村经营管理服务站</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1009"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遵化市遵化镇人口和计划生育服务中心</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860"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遵化市遵化镇文化综合服务中心</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921" w:hRule="atLeast"/>
          <w:jc w:val="center"/>
        </w:trPr>
        <w:tc>
          <w:tcPr>
            <w:tcW w:w="4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遵化市遵化镇劳动保障事务站</w:t>
            </w:r>
          </w:p>
        </w:tc>
        <w:tc>
          <w:tcPr>
            <w:tcW w:w="13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bl>
    <w:p>
      <w:pPr>
        <w:widowControl/>
        <w:spacing w:line="560" w:lineRule="exact"/>
        <w:jc w:val="center"/>
        <w:rPr>
          <w:rFonts w:ascii="仿宋" w:hAnsi="仿宋" w:eastAsia="仿宋" w:cs="仿宋"/>
          <w:bCs/>
          <w:kern w:val="0"/>
          <w:sz w:val="32"/>
          <w:szCs w:val="3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rect id="文本框 17" o:spid="_x0000_s1089" o:spt="1" style="position:absolute;left:0pt;margin-left:-79pt;margin-top:168.9pt;height:159.1pt;width:596.2pt;z-index:251661312;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v:path/>
            <v:fill on="f" focussize="0,0"/>
            <v:stroke on="f"/>
            <v:imagedata o:title=""/>
            <o:lock v:ext="edit"/>
            <v:textbo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pPr>
                    <w:widowControl/>
                    <w:spacing w:line="1200" w:lineRule="exact"/>
                    <w:jc w:val="center"/>
                    <w:rPr>
                      <w:color w:val="FDEFBE"/>
                      <w:sz w:val="96"/>
                      <w:szCs w:val="96"/>
                    </w:rPr>
                  </w:pPr>
                  <w:r>
                    <w:rPr>
                      <w:rFonts w:hint="eastAsia" w:ascii="黑体" w:hAnsi="宋体" w:eastAsia="黑体"/>
                      <w:sz w:val="96"/>
                      <w:szCs w:val="96"/>
                    </w:rPr>
                    <w:t>2018年度部门决算报表</w:t>
                  </w:r>
                </w:p>
                <w:p>
                  <w:pPr>
                    <w:widowControl/>
                    <w:spacing w:line="1200" w:lineRule="exact"/>
                    <w:jc w:val="center"/>
                    <w:rPr>
                      <w:color w:val="FDEFBE"/>
                      <w:sz w:val="96"/>
                      <w:szCs w:val="96"/>
                    </w:rPr>
                  </w:pPr>
                </w:p>
              </w:txbxContent>
            </v:textbox>
          </v:rect>
        </w:pict>
      </w: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公开01表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ascii="宋体" w:hAnsi="宋体" w:cs="宋体"/>
                <w:sz w:val="20"/>
                <w:szCs w:val="20"/>
              </w:rPr>
            </w:pPr>
            <w:r>
              <w:rPr>
                <w:rFonts w:hint="eastAsia" w:ascii="宋体" w:hAnsi="宋体" w:cs="宋体"/>
                <w:kern w:val="0"/>
                <w:sz w:val="20"/>
                <w:szCs w:val="20"/>
              </w:rPr>
              <w:t>部门：遵化市遵化镇人民政府</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3475.19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1171.46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23.73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38.74</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635.4</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802.74</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803.12</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3475.19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3475.19</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3475.19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3475.19</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335"/>
        <w:gridCol w:w="179"/>
        <w:gridCol w:w="520"/>
        <w:gridCol w:w="1318"/>
        <w:gridCol w:w="533"/>
        <w:gridCol w:w="260"/>
        <w:gridCol w:w="127"/>
        <w:gridCol w:w="688"/>
        <w:gridCol w:w="377"/>
        <w:gridCol w:w="439"/>
        <w:gridCol w:w="337"/>
        <w:gridCol w:w="478"/>
        <w:gridCol w:w="442"/>
        <w:gridCol w:w="373"/>
        <w:gridCol w:w="548"/>
        <w:gridCol w:w="920"/>
        <w:gridCol w:w="926"/>
      </w:tblGrid>
      <w:tr>
        <w:tblPrEx>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部门：遵化市遵化镇人民政府</w:t>
            </w: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065"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776"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31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1065"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776"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2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3475.19</w:t>
            </w:r>
          </w:p>
        </w:tc>
        <w:tc>
          <w:tcPr>
            <w:tcW w:w="106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3475.19</w:t>
            </w:r>
          </w:p>
        </w:tc>
        <w:tc>
          <w:tcPr>
            <w:tcW w:w="77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政府办公厅（室）及相关机构事物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财政事务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党委办公厅（室）及相关机构事物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文化体育与传媒支出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医疗卫生与计划生育管理事物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一般行政管理事物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802.74</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802.74</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农林水支出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农业</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2130126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农村公益事业</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7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tblPrEx>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部门：遵化市遵化镇人民政府</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40"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 w:val="18"/>
                <w:szCs w:val="18"/>
              </w:rPr>
              <w:t>3475.19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1370.7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2104.49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90"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政府办公厅（室）及相关机构事物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财政事务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党委办公厅（室）及相关机构事物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文化体育与传媒支出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医疗卫生与计划生育管理事物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802.74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265"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农林水支出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96.52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农业</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96.52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2130126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农村公益事业</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部门：遵化市遵化镇人民政府</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1171.46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1171.46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23.73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23.73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38.74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38.74</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635.4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635.4</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802.74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802.74</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803.12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803.12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3475.19</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31680" w:type="dxa"/>
        <w:tblInd w:w="0" w:type="dxa"/>
        <w:tblLayout w:type="fixed"/>
        <w:tblCellMar>
          <w:top w:w="0" w:type="dxa"/>
          <w:left w:w="0" w:type="dxa"/>
          <w:bottom w:w="0" w:type="dxa"/>
          <w:right w:w="0" w:type="dxa"/>
        </w:tblCellMar>
      </w:tblPr>
      <w:tblGrid>
        <w:gridCol w:w="315"/>
        <w:gridCol w:w="319"/>
        <w:gridCol w:w="357"/>
        <w:gridCol w:w="722"/>
        <w:gridCol w:w="1385"/>
        <w:gridCol w:w="745"/>
        <w:gridCol w:w="1172"/>
        <w:gridCol w:w="718"/>
        <w:gridCol w:w="1199"/>
        <w:gridCol w:w="1918"/>
        <w:gridCol w:w="8852"/>
        <w:gridCol w:w="8852"/>
        <w:gridCol w:w="5076"/>
        <w:gridCol w:w="50"/>
      </w:tblGrid>
      <w:tr>
        <w:tblPrEx>
          <w:tblCellMar>
            <w:top w:w="0" w:type="dxa"/>
            <w:left w:w="0" w:type="dxa"/>
            <w:bottom w:w="0" w:type="dxa"/>
            <w:right w:w="0" w:type="dxa"/>
          </w:tblCellMar>
        </w:tblPrEx>
        <w:trPr>
          <w:gridAfter w:val="4"/>
          <w:wAfter w:w="22840" w:type="dxa"/>
          <w:trHeight w:val="600" w:hRule="atLeast"/>
        </w:trPr>
        <w:tc>
          <w:tcPr>
            <w:tcW w:w="8855" w:type="dxa"/>
            <w:gridSpan w:val="10"/>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CellMar>
            <w:top w:w="0" w:type="dxa"/>
            <w:left w:w="0" w:type="dxa"/>
            <w:bottom w:w="0" w:type="dxa"/>
            <w:right w:w="0" w:type="dxa"/>
          </w:tblCellMar>
        </w:tblPrEx>
        <w:trPr>
          <w:gridAfter w:val="4"/>
          <w:wAfter w:w="22840" w:type="dxa"/>
          <w:trHeight w:val="334" w:hRule="atLeast"/>
        </w:trPr>
        <w:tc>
          <w:tcPr>
            <w:tcW w:w="31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1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gridAfter w:val="4"/>
          <w:wAfter w:w="22840" w:type="dxa"/>
          <w:trHeight w:val="334" w:hRule="atLeast"/>
        </w:trPr>
        <w:tc>
          <w:tcPr>
            <w:tcW w:w="3845"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部门：遵化市遵化镇人民政府</w:t>
            </w:r>
          </w:p>
        </w:tc>
        <w:tc>
          <w:tcPr>
            <w:tcW w:w="189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1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4"/>
          <w:wAfter w:w="22840" w:type="dxa"/>
          <w:trHeight w:val="351" w:hRule="atLeast"/>
        </w:trPr>
        <w:tc>
          <w:tcPr>
            <w:tcW w:w="31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5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gridAfter w:val="4"/>
          <w:wAfter w:w="22840" w:type="dxa"/>
          <w:trHeight w:val="334" w:hRule="atLeast"/>
        </w:trPr>
        <w:tc>
          <w:tcPr>
            <w:tcW w:w="99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8"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gridAfter w:val="4"/>
          <w:wAfter w:w="22840" w:type="dxa"/>
          <w:trHeight w:val="334" w:hRule="atLeast"/>
        </w:trPr>
        <w:tc>
          <w:tcPr>
            <w:tcW w:w="99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8"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12" w:hRule="atLeast"/>
        </w:trPr>
        <w:tc>
          <w:tcPr>
            <w:tcW w:w="99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8"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310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gridAfter w:val="4"/>
          <w:wAfter w:w="22840" w:type="dxa"/>
          <w:trHeight w:val="368" w:hRule="atLeast"/>
        </w:trPr>
        <w:tc>
          <w:tcPr>
            <w:tcW w:w="310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 w:val="18"/>
                <w:szCs w:val="18"/>
              </w:rPr>
              <w:t>3475.19</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1370.7</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2104.49</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1171.46</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政府办公厅（室）及相关机构事物</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1033.82</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1015.32</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18.5</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财政事务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51.41</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党委办公厅（室）及相关机构事物</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86.23</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2013101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85.27</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0.96</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文化体育与传媒支出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文化</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23.73</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23.39</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2070102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0.34</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医疗卫生与计划生育管理事物</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38.74</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38.17</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2100102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0.57</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节能环保支出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2119901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其他节能环保支出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635.4</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802.74</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城乡社区管理事物</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40.26</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39.76</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0.5</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2120501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城乡社区环境卫生</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762.48</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农林水支出</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96.52</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农业</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803.12</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96.52</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2130101</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95.09</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2130102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rPr>
              <w:t>一般行政管理事</w:t>
            </w:r>
            <w:r>
              <w:rPr>
                <w:rFonts w:hint="eastAsia" w:ascii="宋体" w:hAnsi="宋体" w:cs="宋体"/>
                <w:color w:val="000000"/>
                <w:szCs w:val="21"/>
                <w:lang w:eastAsia="zh-CN"/>
              </w:rPr>
              <w:t>务</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1.43</w:t>
            </w: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171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2130126</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农村公益事业</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c>
          <w:tcPr>
            <w:tcW w:w="19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706.61</w:t>
            </w:r>
          </w:p>
        </w:tc>
      </w:tr>
      <w:tr>
        <w:tblPrEx>
          <w:tblCellMar>
            <w:top w:w="0" w:type="dxa"/>
            <w:left w:w="0" w:type="dxa"/>
            <w:bottom w:w="0" w:type="dxa"/>
            <w:right w:w="0" w:type="dxa"/>
          </w:tblCellMar>
        </w:tblPrEx>
        <w:trPr>
          <w:trHeight w:val="368" w:hRule="atLeast"/>
        </w:trPr>
        <w:tc>
          <w:tcPr>
            <w:tcW w:w="8855"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p>
        </w:tc>
        <w:tc>
          <w:tcPr>
            <w:tcW w:w="885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p>
        </w:tc>
        <w:tc>
          <w:tcPr>
            <w:tcW w:w="885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p>
        </w:tc>
        <w:tc>
          <w:tcPr>
            <w:tcW w:w="507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p>
        </w:tc>
        <w:tc>
          <w:tcPr>
            <w:tcW w:w="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tc>
      </w:tr>
      <w:tr>
        <w:tblPrEx>
          <w:tblCellMar>
            <w:top w:w="0" w:type="dxa"/>
            <w:left w:w="0" w:type="dxa"/>
            <w:bottom w:w="0" w:type="dxa"/>
            <w:right w:w="0" w:type="dxa"/>
          </w:tblCellMar>
        </w:tblPrEx>
        <w:trPr>
          <w:gridAfter w:val="4"/>
          <w:wAfter w:w="22840" w:type="dxa"/>
          <w:trHeight w:val="368" w:hRule="atLeast"/>
        </w:trPr>
        <w:tc>
          <w:tcPr>
            <w:tcW w:w="885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部门：遵化市遵化镇人民政府</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1018.8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329.79</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293.26</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50.35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238.45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15.29</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120.33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0.46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15.29</w:t>
            </w: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126.19</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8.59</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1.97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8.27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110.54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14.08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66.58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14.74</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63.46</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6.82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3.6</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99.27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7.01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13.49</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25.5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86.06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1025.62</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345.08</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部门：遵化市遵化镇人民政府</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17.01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1.01</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13.49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13.49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13.49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部门：遵化市遵化镇人民政府</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本部门本年度无收支及结转结余情况，按要求以空表列示。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编制单位：遵化市遵化镇人民政府</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注：本表反映部门本年度国有资本经营预算财政拨款支出情况。本部门本年度无相关支出情况，按要求以空表列示。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编制单位：遵化市遵化镇人民政府</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注：本表反映部门本年度纳入部门预算范围的政府采购预算及支出情况。本部门本年度无预算及支出情况，按要求以空表列示。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rect id="文本框 5" o:spid="_x0000_s1058" o:spt="1" style="position:absolute;left:0pt;margin-left:-78.7pt;margin-top:232.8pt;height:159.1pt;width:596.2pt;z-index:251662336;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5tcO3gAAAA0BAAAPAAAAAAAAAAEAIAAAACIAAABkcnMvZG93bnJl&#10;di54bWxQSwECFAAUAAAACACHTuJA3swenL4BAABWAwAADgAAAAAAAAABACAAAAAtAQAAZHJzL2Uy&#10;b0RvYy54bWxQSwUGAAAAAAYABgBZAQAAXQUAAAAA&#10;">
            <v:path/>
            <v:fill on="f" focussize="0,0"/>
            <v:stroke on="f"/>
            <v:imagedata o:title=""/>
            <o:lock v:ext="edit"/>
            <v:textbo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第三部分</w:t>
                  </w:r>
                </w:p>
                <w:p>
                  <w:pPr>
                    <w:widowControl/>
                    <w:spacing w:line="1200" w:lineRule="exact"/>
                    <w:jc w:val="center"/>
                    <w:rPr>
                      <w:color w:val="FDEFBE"/>
                      <w:sz w:val="96"/>
                      <w:szCs w:val="96"/>
                    </w:rPr>
                  </w:pPr>
                  <w:r>
                    <w:rPr>
                      <w:rFonts w:hint="eastAsia" w:ascii="黑体" w:hAnsi="宋体" w:eastAsia="黑体"/>
                      <w:sz w:val="96"/>
                      <w:szCs w:val="96"/>
                    </w:rPr>
                    <w:t>部门决算情况说明</w:t>
                  </w:r>
                </w:p>
                <w:p/>
              </w:txbxContent>
            </v:textbox>
          </v:rect>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pStyle w:val="3"/>
        <w:spacing w:before="0" w:after="0" w:line="580" w:lineRule="exact"/>
        <w:ind w:firstLine="640" w:firstLineChars="200"/>
        <w:rPr>
          <w:rFonts w:ascii="仿宋" w:hAnsi="仿宋" w:eastAsia="仿宋" w:cs="仿宋"/>
          <w:b w:val="0"/>
          <w:bCs w:val="0"/>
        </w:rPr>
      </w:pPr>
      <w:r>
        <w:rPr>
          <w:rFonts w:hint="eastAsia" w:ascii="仿宋" w:hAnsi="仿宋" w:eastAsia="仿宋" w:cs="仿宋"/>
          <w:b w:val="0"/>
          <w:bCs w:val="0"/>
        </w:rPr>
        <w:t>本部门2018年度收支总计（含结转和结余）3475.19万元。与2017年度决算相比，收支各增加1456.39万元，增长72.14%，主要原因是农村公益事业的增加，以及环境治理力度的增大加大了乡镇的支出。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pStyle w:val="3"/>
        <w:spacing w:before="0" w:after="0" w:line="580" w:lineRule="exact"/>
        <w:ind w:firstLine="640" w:firstLineChars="200"/>
        <w:rPr>
          <w:rFonts w:ascii="仿宋" w:hAnsi="仿宋" w:eastAsia="仿宋" w:cs="仿宋"/>
          <w:b w:val="0"/>
          <w:bCs w:val="0"/>
        </w:rPr>
      </w:pPr>
      <w:r>
        <w:rPr>
          <w:rFonts w:hint="eastAsia" w:ascii="仿宋" w:hAnsi="仿宋" w:eastAsia="仿宋" w:cs="仿宋"/>
          <w:b w:val="0"/>
          <w:bCs w:val="0"/>
        </w:rPr>
        <w:t>本部门2018年度本年收入合计3475.19万元，其中：财政拨款收入3475.19万元，占100%；事业收入0万元，占0%；经营收入0万元，占0%；其他收入0万元，占0%。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本部门2018年度本年支出合计3475.19万元，其中：基本支出1025.62万元，占29.51%；项目支出2104.49万元，占60.56%；经营支出345.08万元，占9.93%。</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（一）财政拨款收支与2017 年度决算对比情况</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2018年度形成的财政拨款收支均为一般公共预算财政拨款，其中一般公共预算财政拨款本年收入3475.19万元,比2017年度增加1456.39万元，增长72.14%，主要是农村公益事业和环境卫生治理支出增加以及企业营改增奖励金的增加；本年项目支出2104.49万元，比2017年增加1460.09万元，增长226.58%，主要是农村公益事业和环境卫生治理支出增加以及企业营改增奖励金比2017年有所增加。</w:t>
      </w:r>
    </w:p>
    <w:p>
      <w:pPr>
        <w:numPr>
          <w:ilvl w:val="0"/>
          <w:numId w:val="3"/>
        </w:numPr>
        <w:spacing w:after="0" w:line="580" w:lineRule="exact"/>
        <w:rPr>
          <w:rFonts w:ascii="仿宋" w:hAnsi="仿宋" w:eastAsia="仿宋" w:cs="仿宋"/>
          <w:b/>
          <w:bCs/>
          <w:sz w:val="32"/>
          <w:szCs w:val="32"/>
        </w:rPr>
      </w:pPr>
      <w:r>
        <w:rPr>
          <w:rFonts w:hint="eastAsia" w:ascii="仿宋" w:hAnsi="仿宋" w:eastAsia="仿宋" w:cs="仿宋"/>
          <w:b/>
          <w:bCs/>
          <w:sz w:val="32"/>
          <w:szCs w:val="32"/>
        </w:rPr>
        <w:t>财政拨款收支与年初预算数对比情况</w:t>
      </w:r>
    </w:p>
    <w:p>
      <w:pPr>
        <w:spacing w:after="0" w:line="580" w:lineRule="exact"/>
        <w:ind w:firstLine="640" w:firstLineChars="200"/>
        <w:rPr>
          <w:rFonts w:ascii="仿宋" w:hAnsi="仿宋" w:eastAsia="仿宋" w:cs="仿宋"/>
          <w:b/>
          <w:bCs/>
          <w:sz w:val="32"/>
          <w:szCs w:val="32"/>
        </w:rPr>
      </w:pPr>
      <w:r>
        <w:rPr>
          <w:rFonts w:hint="eastAsia" w:ascii="仿宋" w:hAnsi="仿宋" w:eastAsia="仿宋" w:cs="仿宋"/>
          <w:sz w:val="32"/>
          <w:szCs w:val="32"/>
        </w:rPr>
        <w:t>本部门2018年度一般公共预算财政拨款收入3475.19万元，完成年初预算的281.79%,比年初预算增加2241.94万元，决算数大于预算数主要是农村公益事业和环境卫生治理支出增加以及企业营改增奖励金比2017年有所增加。本年支出3475.19万元，完成年初预算的281.79%,比年初预算增加2241.94万元，决算数大于预算数主要是农村公益事业和环境卫生治理支出增加以及企业营改增奖励金比2017年有所增加,使得本年度收入大于年初预算数。</w:t>
      </w:r>
    </w:p>
    <w:p>
      <w:pPr>
        <w:numPr>
          <w:ilvl w:val="0"/>
          <w:numId w:val="4"/>
        </w:numPr>
        <w:adjustRightInd w:val="0"/>
        <w:snapToGrid w:val="0"/>
        <w:spacing w:after="0" w:line="580" w:lineRule="exact"/>
        <w:ind w:left="210"/>
        <w:rPr>
          <w:rFonts w:ascii="仿宋" w:hAnsi="仿宋" w:eastAsia="仿宋" w:cs="仿宋"/>
          <w:sz w:val="32"/>
          <w:szCs w:val="32"/>
        </w:rPr>
      </w:pPr>
      <w:r>
        <w:rPr>
          <w:rFonts w:hint="eastAsia" w:ascii="仿宋" w:hAnsi="仿宋" w:eastAsia="仿宋" w:cs="仿宋"/>
          <w:b/>
          <w:bCs/>
          <w:sz w:val="32"/>
          <w:szCs w:val="32"/>
        </w:rPr>
        <w:t>财政拨款支出决算结构情况</w:t>
      </w:r>
    </w:p>
    <w:p>
      <w:pPr>
        <w:adjustRightInd w:val="0"/>
        <w:snapToGrid w:val="0"/>
        <w:spacing w:after="0" w:line="580" w:lineRule="exact"/>
        <w:ind w:left="210" w:firstLine="640" w:firstLineChars="200"/>
        <w:rPr>
          <w:rFonts w:ascii="仿宋" w:hAnsi="仿宋" w:eastAsia="仿宋" w:cs="仿宋"/>
          <w:sz w:val="32"/>
          <w:szCs w:val="32"/>
        </w:rPr>
      </w:pPr>
      <w:r>
        <w:rPr>
          <w:rFonts w:hint="eastAsia" w:ascii="仿宋" w:hAnsi="仿宋" w:eastAsia="仿宋" w:cs="仿宋"/>
          <w:sz w:val="32"/>
          <w:szCs w:val="32"/>
        </w:rPr>
        <w:t>2018 年度财政拨款支出3475.19万元，主要用于以下方面：一般公共服务（类）支出1171.46万元，占33.71%；文化体育与传媒支出23.73万元，占0.07%；医疗卫生与计划生育支出38.74万元，占1.11%；节能环保支出635.4万元，占18.28%，城乡社区支出802.74万元，占23.09%；农林水支出803.12万元，占23.74%；</w:t>
      </w:r>
    </w:p>
    <w:p>
      <w:pPr>
        <w:adjustRightInd w:val="0"/>
        <w:snapToGrid w:val="0"/>
        <w:spacing w:after="0" w:line="580" w:lineRule="exact"/>
        <w:ind w:left="420" w:leftChars="200"/>
        <w:rPr>
          <w:rFonts w:ascii="仿宋" w:hAnsi="仿宋" w:eastAsia="仿宋" w:cs="仿宋"/>
          <w:b/>
          <w:bCs/>
          <w:sz w:val="32"/>
          <w:szCs w:val="32"/>
        </w:rPr>
      </w:pPr>
      <w:r>
        <w:rPr>
          <w:rFonts w:hint="eastAsia" w:ascii="仿宋" w:hAnsi="仿宋" w:eastAsia="仿宋" w:cs="仿宋"/>
          <w:b/>
          <w:bCs/>
          <w:sz w:val="32"/>
          <w:szCs w:val="32"/>
        </w:rPr>
        <w:t>（四）一般公共预算基本支出决算情况说明</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2018 年度财政拨款基本支出1370.7万元，其中：人员经费 1025.62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345.08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3" w:firstLineChars="200"/>
        <w:rPr>
          <w:rFonts w:ascii="黑体" w:hAnsi="黑体" w:eastAsia="黑体" w:cs="黑体"/>
          <w:highlight w:val="yellow"/>
        </w:rPr>
      </w:pPr>
      <w:r>
        <w:rPr>
          <w:rFonts w:hint="eastAsia" w:ascii="黑体" w:hAnsi="黑体" w:eastAsia="黑体" w:cs="黑体"/>
        </w:rPr>
        <w:t>五、一般公共预算财政拨款“三公” 经费支出决算情况说明</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本部门2018年度“三公”经费支出共计13.49万元，较年初预算减少2.51万元，降低15.68%，主要是坚持厉行节约的原则；较2017年度减少2.14万元，减少13.69%，主要原因为公车运行维护费严格按管理制度执行, 定点维修、定点加油、统一保险和统一保养，节假日严格执行公务车辆封存制度，降低了公车运行维护费。</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具体情况如下：</w:t>
      </w:r>
    </w:p>
    <w:p>
      <w:pPr>
        <w:adjustRightInd w:val="0"/>
        <w:snapToGrid w:val="0"/>
        <w:spacing w:after="0" w:line="580" w:lineRule="exact"/>
        <w:ind w:left="319" w:leftChars="152" w:firstLine="321" w:firstLineChars="100"/>
        <w:rPr>
          <w:rFonts w:ascii="仿宋" w:hAnsi="仿宋" w:eastAsia="仿宋" w:cs="仿宋"/>
          <w:sz w:val="32"/>
          <w:szCs w:val="32"/>
        </w:rPr>
      </w:pPr>
      <w:r>
        <w:rPr>
          <w:rFonts w:hint="eastAsia" w:ascii="仿宋" w:hAnsi="仿宋" w:eastAsia="仿宋" w:cs="仿宋"/>
          <w:b/>
          <w:bCs/>
          <w:sz w:val="32"/>
          <w:szCs w:val="32"/>
        </w:rPr>
        <w:t>（一）因公出国（境）费支出0万元。</w:t>
      </w:r>
      <w:r>
        <w:rPr>
          <w:rFonts w:hint="eastAsia" w:ascii="仿宋" w:hAnsi="仿宋" w:eastAsia="仿宋" w:cs="仿宋"/>
          <w:sz w:val="32"/>
          <w:szCs w:val="32"/>
        </w:rPr>
        <w:t>本部门2018年度参加其他单位组织的因公出国（境）团组0个、共0人，本单位无组织的出国（境）团组。因公出国(境)费支出较年初预算无增减变化,较上年无增减变化。主要是严格执行中央八项规定</w:t>
      </w:r>
      <w:bookmarkStart w:id="0" w:name="_GoBack"/>
      <w:bookmarkEnd w:id="0"/>
      <w:r>
        <w:rPr>
          <w:rFonts w:hint="eastAsia" w:ascii="仿宋" w:hAnsi="仿宋" w:eastAsia="仿宋" w:cs="仿宋"/>
          <w:sz w:val="32"/>
          <w:szCs w:val="32"/>
        </w:rPr>
        <w:t>，严格控制支出厉行节约原则。</w:t>
      </w:r>
    </w:p>
    <w:p>
      <w:pPr>
        <w:adjustRightInd w:val="0"/>
        <w:snapToGrid w:val="0"/>
        <w:spacing w:after="0"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（二）公务用车购置及运行维护费支出13.49万元。</w:t>
      </w:r>
      <w:r>
        <w:rPr>
          <w:rFonts w:hint="eastAsia" w:ascii="仿宋" w:hAnsi="仿宋" w:eastAsia="仿宋" w:cs="仿宋"/>
          <w:sz w:val="32"/>
          <w:szCs w:val="32"/>
        </w:rPr>
        <w:t>本部门2018年度公务用车购置及运行维护费较年初预算减少2.51万元，降低15.68%,主要是公车运行维护费严格按管理制度执行, 定点维修、定点加油、统一保险和统一保养，节假日严格执行公务车辆封存制度，降低了公车运行维护费，坚持厉行节约的原则；较上年减少2.14万元，降低13.69%,主要是公车运行维护费严格按管理制度执行, 定点维修、定点加油、统一保险和统一保养，节假日严格执行公务车辆封存制度，降低了公车运行维护费。具体情况如下：</w:t>
      </w:r>
      <w:r>
        <w:rPr>
          <w:rFonts w:hint="eastAsia" w:ascii="仿宋" w:hAnsi="仿宋" w:eastAsia="仿宋" w:cs="仿宋"/>
          <w:b/>
          <w:bCs/>
          <w:sz w:val="32"/>
          <w:szCs w:val="32"/>
        </w:rPr>
        <w:t>其中：公务用车购置费0万元，公车运行维护费13.49万元。</w:t>
      </w:r>
    </w:p>
    <w:p>
      <w:pPr>
        <w:adjustRightInd w:val="0"/>
        <w:snapToGrid w:val="0"/>
        <w:spacing w:after="0" w:line="580" w:lineRule="exact"/>
        <w:ind w:firstLine="643" w:firstLineChars="200"/>
        <w:rPr>
          <w:rFonts w:ascii="仿宋" w:hAnsi="仿宋" w:eastAsia="仿宋" w:cs="仿宋"/>
          <w:color w:val="000000"/>
          <w:sz w:val="32"/>
          <w:szCs w:val="32"/>
        </w:rPr>
      </w:pPr>
      <w:r>
        <w:rPr>
          <w:rFonts w:hint="eastAsia" w:ascii="仿宋" w:hAnsi="仿宋" w:eastAsia="仿宋" w:cs="仿宋"/>
          <w:b/>
          <w:sz w:val="32"/>
          <w:szCs w:val="32"/>
        </w:rPr>
        <w:t>公务用车购置费：</w:t>
      </w:r>
      <w:r>
        <w:rPr>
          <w:rFonts w:hint="eastAsia" w:ascii="仿宋" w:hAnsi="仿宋" w:eastAsia="仿宋" w:cs="仿宋"/>
          <w:sz w:val="32"/>
          <w:szCs w:val="32"/>
        </w:rPr>
        <w:t>本部门2018年度公务用车购置量0辆，发生“公务用车购置”经费支出0万元。公务用车购置费支出较年初预算无增减变化，较上年无增减变化。因为厉行节约的原则。</w:t>
      </w:r>
    </w:p>
    <w:p>
      <w:pPr>
        <w:adjustRightInd w:val="0"/>
        <w:snapToGrid w:val="0"/>
        <w:spacing w:after="0" w:line="580" w:lineRule="exact"/>
        <w:ind w:firstLine="643" w:firstLineChars="200"/>
        <w:rPr>
          <w:rFonts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本部门2018年度单位公务用车保有量4辆。公车运行维护费支出较年初预算减少2.51万元，降低15.68%，主要是因为公车运行维护费严格按管理制度执行, 定点维修、定点加油、统一保险和统一保养，节假日严格执行公务车辆封存制度，降低了公车运行维护费，厉行节约的原则。较上年减少2.14万元，降低13.69%，主要是公车运行维护费严格按管理制度执行, 定点维修、定点加油、统一保险和统一保养，节假日严格执行公务车辆封存制度，降低了公车运行维护费，严格执行八项制度，厉行节约的原则。</w:t>
      </w:r>
    </w:p>
    <w:p>
      <w:pPr>
        <w:adjustRightInd w:val="0"/>
        <w:snapToGrid w:val="0"/>
        <w:spacing w:after="0"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（三）公务接待费支出0万元。</w:t>
      </w:r>
      <w:r>
        <w:rPr>
          <w:rFonts w:hint="eastAsia" w:ascii="仿宋" w:hAnsi="仿宋" w:eastAsia="仿宋" w:cs="仿宋"/>
          <w:sz w:val="32"/>
          <w:szCs w:val="32"/>
        </w:rPr>
        <w:t>本部门2018年度公务接待共0批次、0人次。公务接待费支出较年初预算减少1.01万元，降低100%,主要是严格执行八项制度，严格控制公务接待费用标准，厉行节约的原则；较上年度无增减变化，主要是严格执行八项制度，严格控制公务接待费用标准。</w:t>
      </w:r>
    </w:p>
    <w:p>
      <w:pPr>
        <w:adjustRightInd w:val="0"/>
        <w:snapToGrid w:val="0"/>
        <w:spacing w:after="0" w:line="580" w:lineRule="exact"/>
        <w:rPr>
          <w:rFonts w:ascii="黑体" w:hAnsi="黑体" w:eastAsia="黑体" w:cs="黑体"/>
          <w:b/>
          <w:bCs/>
          <w:sz w:val="32"/>
          <w:szCs w:val="40"/>
        </w:rPr>
      </w:pPr>
      <w:r>
        <w:rPr>
          <w:rFonts w:hint="eastAsia" w:ascii="黑体" w:hAnsi="黑体" w:eastAsia="黑体" w:cs="黑体"/>
          <w:b/>
          <w:bCs/>
          <w:sz w:val="32"/>
          <w:szCs w:val="40"/>
        </w:rPr>
        <w:t>六、预算绩效情况说明</w:t>
      </w:r>
    </w:p>
    <w:p>
      <w:pPr>
        <w:spacing w:line="54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（一）预算绩效管理工作开展情况</w:t>
      </w:r>
    </w:p>
    <w:p>
      <w:pPr>
        <w:spacing w:line="540" w:lineRule="exact"/>
        <w:ind w:firstLine="800" w:firstLineChars="250"/>
        <w:rPr>
          <w:rFonts w:ascii="仿宋" w:hAnsi="仿宋" w:eastAsia="仿宋" w:cs="仿宋"/>
          <w:sz w:val="32"/>
          <w:szCs w:val="32"/>
        </w:rPr>
      </w:pPr>
      <w:r>
        <w:rPr>
          <w:rFonts w:hint="eastAsia" w:ascii="仿宋" w:hAnsi="仿宋" w:eastAsia="仿宋" w:cs="仿宋"/>
          <w:sz w:val="32"/>
          <w:szCs w:val="32"/>
        </w:rPr>
        <w:t>我镇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我镇2018年绩效项目3个，合计金额为2104.49万元，资金投放后提高大大了财政资金使用效益，推动了我镇经济和社会各项事业持续快速健康发展。</w:t>
      </w:r>
    </w:p>
    <w:p>
      <w:pPr>
        <w:autoSpaceDE w:val="0"/>
        <w:autoSpaceDN w:val="0"/>
        <w:rPr>
          <w:rFonts w:ascii="仿宋" w:hAnsi="仿宋" w:eastAsia="仿宋" w:cs="仿宋"/>
          <w:b/>
          <w:bCs/>
          <w:sz w:val="32"/>
          <w:szCs w:val="32"/>
        </w:rPr>
      </w:pPr>
      <w:r>
        <w:rPr>
          <w:rFonts w:hint="eastAsia" w:ascii="仿宋" w:hAnsi="仿宋" w:eastAsia="仿宋" w:cs="仿宋"/>
          <w:b/>
          <w:bCs/>
          <w:sz w:val="32"/>
          <w:szCs w:val="32"/>
        </w:rPr>
        <w:t>（二）项目绩效自评结果</w:t>
      </w:r>
    </w:p>
    <w:p>
      <w:pPr>
        <w:autoSpaceDE w:val="0"/>
        <w:autoSpaceDN w:val="0"/>
        <w:ind w:firstLine="643" w:firstLineChars="200"/>
        <w:rPr>
          <w:rFonts w:ascii="仿宋" w:hAnsi="仿宋" w:eastAsia="仿宋" w:cs="仿宋"/>
          <w:b/>
          <w:sz w:val="32"/>
        </w:rPr>
      </w:pPr>
      <w:r>
        <w:rPr>
          <w:rFonts w:hint="eastAsia" w:ascii="仿宋" w:hAnsi="仿宋" w:eastAsia="仿宋" w:cs="仿宋"/>
          <w:b/>
          <w:sz w:val="32"/>
          <w:szCs w:val="32"/>
        </w:rPr>
        <w:t xml:space="preserve"> 1.环境卫生治理</w:t>
      </w:r>
    </w:p>
    <w:p>
      <w:pPr>
        <w:autoSpaceDE w:val="0"/>
        <w:autoSpaceDN w:val="0"/>
        <w:ind w:firstLine="627" w:firstLineChars="196"/>
        <w:rPr>
          <w:rFonts w:ascii="仿宋" w:hAnsi="仿宋" w:eastAsia="仿宋" w:cs="仿宋"/>
          <w:sz w:val="32"/>
          <w:lang w:val="zh-CN"/>
        </w:rPr>
      </w:pPr>
      <w:r>
        <w:rPr>
          <w:rFonts w:hint="eastAsia" w:ascii="仿宋" w:hAnsi="仿宋" w:eastAsia="仿宋" w:cs="仿宋"/>
          <w:sz w:val="32"/>
          <w:lang w:val="zh-CN"/>
        </w:rPr>
        <w:t>该项目规划我镇垃圾收运处理，重点治理乡镇街道，集贸市场，辖区公路河道、堰溏、桥梁、公路周边、公共厕所等卫生死角，指导乡镇村采用“户集、村收、镇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使人民生活质量、幸福指数得以明显提高。</w:t>
      </w:r>
    </w:p>
    <w:p>
      <w:pPr>
        <w:numPr>
          <w:ilvl w:val="0"/>
          <w:numId w:val="5"/>
        </w:numPr>
        <w:autoSpaceDE w:val="0"/>
        <w:autoSpaceDN w:val="0"/>
        <w:ind w:firstLine="482" w:firstLineChars="150"/>
        <w:rPr>
          <w:rFonts w:ascii="仿宋" w:hAnsi="仿宋" w:eastAsia="仿宋" w:cs="仿宋"/>
          <w:sz w:val="32"/>
          <w:lang w:val="zh-CN"/>
        </w:rPr>
      </w:pPr>
      <w:r>
        <w:rPr>
          <w:rFonts w:hint="eastAsia" w:ascii="仿宋" w:hAnsi="仿宋" w:eastAsia="仿宋" w:cs="仿宋"/>
          <w:b/>
          <w:bCs/>
          <w:sz w:val="32"/>
        </w:rPr>
        <w:t>维稳</w:t>
      </w:r>
    </w:p>
    <w:p>
      <w:pPr>
        <w:autoSpaceDE w:val="0"/>
        <w:autoSpaceDN w:val="0"/>
        <w:ind w:firstLine="960" w:firstLineChars="300"/>
        <w:rPr>
          <w:rFonts w:ascii="仿宋" w:hAnsi="仿宋" w:eastAsia="仿宋" w:cs="仿宋"/>
          <w:sz w:val="32"/>
          <w:lang w:val="zh-CN"/>
        </w:rPr>
      </w:pPr>
      <w:r>
        <w:rPr>
          <w:rFonts w:hint="eastAsia" w:ascii="仿宋" w:hAnsi="仿宋" w:eastAsia="仿宋" w:cs="仿宋"/>
          <w:sz w:val="32"/>
          <w:lang w:val="zh-CN"/>
        </w:rPr>
        <w:t>该项目专项用于我镇社会治安、综合治理、统一受理、调解、分流、处理各类矛盾纠纷和群众来信来访，协调处置各类突发性和群众性事件。积极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分流各类矛盾纠纷。同时对重大安全事故防范维稳资金全力保障，确保保障社会稳定和谐发展，保障居民安居乐业，健康有序。</w:t>
      </w:r>
    </w:p>
    <w:p>
      <w:pPr>
        <w:autoSpaceDE w:val="0"/>
        <w:autoSpaceDN w:val="0"/>
        <w:rPr>
          <w:rFonts w:ascii="仿宋" w:hAnsi="仿宋" w:eastAsia="仿宋" w:cs="仿宋"/>
          <w:b/>
          <w:bCs/>
          <w:sz w:val="32"/>
          <w:lang w:val="zh-CN"/>
        </w:rPr>
      </w:pPr>
      <w:r>
        <w:rPr>
          <w:rFonts w:hint="eastAsia" w:ascii="仿宋" w:hAnsi="仿宋" w:eastAsia="仿宋" w:cs="仿宋"/>
          <w:sz w:val="32"/>
          <w:lang w:val="zh-CN"/>
        </w:rPr>
        <w:t xml:space="preserve"> </w:t>
      </w:r>
      <w:r>
        <w:rPr>
          <w:rFonts w:hint="eastAsia" w:ascii="仿宋" w:hAnsi="仿宋" w:eastAsia="仿宋" w:cs="仿宋"/>
          <w:b/>
          <w:bCs/>
          <w:sz w:val="32"/>
          <w:lang w:val="zh-CN"/>
        </w:rPr>
        <w:t xml:space="preserve">  3.大气污染治理</w:t>
      </w:r>
    </w:p>
    <w:p>
      <w:pPr>
        <w:autoSpaceDE w:val="0"/>
        <w:autoSpaceDN w:val="0"/>
        <w:ind w:firstLine="640" w:firstLineChars="200"/>
        <w:rPr>
          <w:rFonts w:ascii="仿宋" w:hAnsi="仿宋" w:eastAsia="仿宋" w:cs="仿宋"/>
          <w:sz w:val="32"/>
          <w:lang w:val="zh-CN"/>
        </w:rPr>
      </w:pPr>
      <w:r>
        <w:rPr>
          <w:rFonts w:hint="eastAsia" w:ascii="仿宋" w:hAnsi="仿宋" w:eastAsia="仿宋" w:cs="仿宋"/>
          <w:sz w:val="32"/>
          <w:lang w:val="zh-CN"/>
        </w:rPr>
        <w:t>为了大气污染得到较好改善，保障公众健康，推进生态文明建设，有计划的控制或消减大气污染排放量，建立健全大气污染防治协调机制，很好的为群众获取大气信息，实现科学治理雾霾、精准治理雾霾，提供良好的低碳生活方式，我单位建立了小型空气质量监测站，实时监测空气质量，让百姓看到了蓝天白云，较好地改善了百姓的生活环境，提高了百姓的幸福指数。</w:t>
      </w:r>
    </w:p>
    <w:p>
      <w:pPr>
        <w:autoSpaceDE w:val="0"/>
        <w:autoSpaceDN w:val="0"/>
        <w:ind w:left="210"/>
        <w:rPr>
          <w:rFonts w:ascii="仿宋" w:hAnsi="仿宋" w:eastAsia="仿宋" w:cs="仿宋"/>
          <w:b/>
          <w:bCs/>
          <w:sz w:val="32"/>
          <w:szCs w:val="32"/>
        </w:rPr>
      </w:pPr>
      <w:r>
        <w:rPr>
          <w:rFonts w:hint="eastAsia" w:ascii="仿宋" w:hAnsi="仿宋" w:eastAsia="仿宋" w:cs="仿宋"/>
          <w:b/>
          <w:bCs/>
          <w:sz w:val="32"/>
          <w:szCs w:val="32"/>
        </w:rPr>
        <w:t>（三）重点项目绩效评价结果</w:t>
      </w:r>
    </w:p>
    <w:p>
      <w:pPr>
        <w:autoSpaceDE w:val="0"/>
        <w:autoSpaceDN w:val="0"/>
        <w:ind w:left="210" w:firstLine="640" w:firstLineChars="200"/>
        <w:rPr>
          <w:rFonts w:ascii="仿宋" w:hAnsi="仿宋" w:eastAsia="仿宋" w:cs="仿宋"/>
          <w:sz w:val="32"/>
          <w:szCs w:val="32"/>
          <w:lang w:val="zh-CN"/>
        </w:rPr>
      </w:pPr>
      <w:r>
        <w:rPr>
          <w:rFonts w:hint="eastAsia" w:ascii="仿宋" w:hAnsi="仿宋" w:eastAsia="仿宋" w:cs="仿宋"/>
          <w:sz w:val="32"/>
          <w:szCs w:val="32"/>
        </w:rPr>
        <w:t>关于大气污染治理实例：</w:t>
      </w:r>
      <w:r>
        <w:rPr>
          <w:rFonts w:hint="eastAsia" w:ascii="仿宋" w:hAnsi="仿宋" w:eastAsia="仿宋" w:cs="仿宋"/>
          <w:sz w:val="32"/>
          <w:lang w:val="zh-CN"/>
        </w:rPr>
        <w:t>为了大气污染得到较好改善，保障公众健康，推进生态文明建设，有计划的控制或消减大气污染排放量，建立健全大气污染防治协调机制，很好的为群众获取大气信息，实现科学治理雾霾、精准治理雾霾，提供良好的低碳生活方式，我单位建立了小型空气质</w:t>
      </w:r>
      <w:r>
        <w:rPr>
          <w:rFonts w:hint="eastAsia" w:ascii="仿宋" w:hAnsi="仿宋" w:eastAsia="仿宋" w:cs="仿宋"/>
          <w:sz w:val="32"/>
          <w:szCs w:val="32"/>
          <w:lang w:val="zh-CN"/>
        </w:rPr>
        <w:t>量监测站，实时监测空气质量。该项目购置质量合格率＞90%，补助金发放率＞90%，购置验收通过率＞90%，群众满意度＞90%，公众满意度＞90%，绩效评价指标为优。该项目的完成保障了全乡的空气质量，让百姓看到了蓝天白云，较好地改善了百姓的生活环境，提高了百姓的幸福指数。</w:t>
      </w:r>
    </w:p>
    <w:p>
      <w:pPr>
        <w:adjustRightInd w:val="0"/>
        <w:snapToGrid w:val="0"/>
        <w:spacing w:after="0" w:line="580" w:lineRule="exact"/>
        <w:ind w:firstLine="321" w:firstLineChars="100"/>
        <w:rPr>
          <w:rFonts w:ascii="黑体" w:hAnsi="黑体" w:eastAsia="黑体" w:cs="黑体"/>
          <w:b/>
          <w:bCs/>
          <w:sz w:val="32"/>
          <w:szCs w:val="32"/>
        </w:rPr>
      </w:pPr>
      <w:r>
        <w:rPr>
          <w:rFonts w:hint="eastAsia" w:ascii="黑体" w:hAnsi="黑体" w:eastAsia="黑体" w:cs="黑体"/>
          <w:b/>
          <w:bCs/>
          <w:sz w:val="32"/>
          <w:szCs w:val="32"/>
        </w:rPr>
        <w:t>七、其他重要事项的说明</w:t>
      </w:r>
    </w:p>
    <w:p>
      <w:pPr>
        <w:pStyle w:val="4"/>
        <w:spacing w:before="0" w:after="0" w:line="580" w:lineRule="exact"/>
        <w:ind w:firstLine="643" w:firstLineChars="200"/>
        <w:rPr>
          <w:rFonts w:ascii="仿宋" w:hAnsi="仿宋" w:eastAsia="仿宋" w:cs="仿宋"/>
        </w:rPr>
      </w:pPr>
      <w:r>
        <w:rPr>
          <w:rFonts w:hint="eastAsia" w:ascii="仿宋" w:hAnsi="仿宋" w:eastAsia="仿宋" w:cs="仿宋"/>
        </w:rPr>
        <w:t>（一）机关运行经费情况</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我单位性质是其他单位，机关运行经费支出0万元，与上年持平，较年初预算无增减变化。</w:t>
      </w:r>
    </w:p>
    <w:p>
      <w:pPr>
        <w:pStyle w:val="4"/>
        <w:spacing w:before="0" w:after="0" w:line="580" w:lineRule="exact"/>
        <w:ind w:firstLine="643" w:firstLineChars="200"/>
        <w:rPr>
          <w:rFonts w:ascii="仿宋" w:hAnsi="仿宋" w:eastAsia="仿宋" w:cs="仿宋"/>
        </w:rPr>
      </w:pPr>
      <w:r>
        <w:rPr>
          <w:rFonts w:hint="eastAsia" w:ascii="仿宋" w:hAnsi="仿宋" w:eastAsia="仿宋" w:cs="仿宋"/>
        </w:rPr>
        <w:t>（二）政府采购情况</w:t>
      </w:r>
    </w:p>
    <w:p>
      <w:pPr>
        <w:widowControl/>
        <w:spacing w:after="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本部门2018年度政府采购支出总额0万元，从采购类型来看，</w:t>
      </w:r>
      <w:r>
        <w:rPr>
          <w:rFonts w:hint="eastAsia" w:ascii="仿宋" w:hAnsi="仿宋" w:eastAsia="仿宋" w:cs="仿宋"/>
          <w:color w:val="000000"/>
          <w:kern w:val="0"/>
          <w:sz w:val="32"/>
          <w:szCs w:val="32"/>
        </w:rPr>
        <w:t>政府采购货物支出0 万元、政府采购工程支出0万元、政府采购服务支出 0万元。授予中小企业合同金0万元，占政府采购支出总额的0%，其中授予小微企业合同金额0万元，占政府采购支出总额的 0%。</w:t>
      </w:r>
    </w:p>
    <w:p>
      <w:pPr>
        <w:pStyle w:val="4"/>
        <w:spacing w:before="0" w:after="0" w:line="580" w:lineRule="exact"/>
        <w:ind w:firstLine="643" w:firstLineChars="200"/>
        <w:rPr>
          <w:rFonts w:ascii="仿宋" w:hAnsi="仿宋" w:eastAsia="仿宋" w:cs="仿宋"/>
        </w:rPr>
      </w:pPr>
      <w:r>
        <w:rPr>
          <w:rFonts w:hint="eastAsia" w:ascii="仿宋" w:hAnsi="仿宋" w:eastAsia="仿宋" w:cs="仿宋"/>
        </w:rPr>
        <w:t>（三）国有资产占用情况</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截至2018年12月31日，本部门共有车辆4辆，比上年无增减，主要原因是厉行节约的原则，主要是一般公务用车。其中，副部（省）级及以上领导用车0辆，主要领导干部用车2辆，机要通信用车0辆，应急保障用车0辆，执法执勤用车2辆，特种专业技术用车0辆，离退休干部用车0辆，其他用车0辆。</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单位价值50万元以上通用设备0台，比上年无增减，单位价值100万元以上专用设备0台比上年无增减，主要原因是厉行节约的原则，与2017年度决算支出持平。</w:t>
      </w:r>
    </w:p>
    <w:p>
      <w:pPr>
        <w:pStyle w:val="4"/>
        <w:spacing w:before="0" w:after="0" w:line="580" w:lineRule="exact"/>
        <w:ind w:firstLine="643" w:firstLineChars="200"/>
        <w:rPr>
          <w:rFonts w:ascii="仿宋" w:hAnsi="仿宋" w:eastAsia="仿宋" w:cs="仿宋"/>
        </w:rPr>
      </w:pPr>
      <w:r>
        <w:rPr>
          <w:rFonts w:hint="eastAsia" w:ascii="仿宋" w:hAnsi="仿宋" w:eastAsia="仿宋" w:cs="仿宋"/>
        </w:rPr>
        <w:t>（四）其他需要说明的情况</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1、本部门2018年度“政府性基金预算财政拨款收入、支出决算表”，无收支及结转结余情况，故以空表列示；本部门2018年度“国有资本经营预算财政拨款支出决算表”，无收支及结转结余情况，故以空表列示。本部门2018年度“政府采购情况表”，无预算及支出情况，故以空表列示。</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643" w:firstLineChars="200"/>
        <w:jc w:val="left"/>
        <w:rPr>
          <w:rFonts w:ascii="仿宋" w:hAnsi="仿宋" w:eastAsia="仿宋" w:cs="仿宋"/>
          <w:b/>
          <w:bCs/>
          <w:kern w:val="0"/>
          <w:sz w:val="32"/>
          <w:szCs w:val="32"/>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rect id="文本框 22" o:spid="_x0000_s1036" o:spt="1" style="position:absolute;left:0pt;margin-left:-78.7pt;margin-top:232.8pt;height:159.1pt;width:596.2pt;z-index:251663360;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m1w7eAAAADQEAAA8AAAAAAAAAAQAgAAAAIgAAAGRycy9kb3du&#10;cmV2LnhtbFBLAQIUABQAAAAIAIdO4kA8vdI2wAEAAFcDAAAOAAAAAAAAAAEAIAAAAC0BAABkcnMv&#10;ZTJvRG9jLnhtbFBLBQYAAAAABgAGAFkBAABfBQAAAAA=&#10;">
            <v:path/>
            <v:fill on="f" focussize="0,0"/>
            <v:stroke on="f"/>
            <v:imagedata o:title=""/>
            <o:lock v:ext="edit"/>
            <v:textbo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第四部分</w:t>
                  </w:r>
                </w:p>
                <w:p>
                  <w:pPr>
                    <w:widowControl/>
                    <w:spacing w:line="1200" w:lineRule="exact"/>
                    <w:jc w:val="center"/>
                    <w:rPr>
                      <w:color w:val="FDEFBE"/>
                      <w:sz w:val="96"/>
                      <w:szCs w:val="96"/>
                    </w:rPr>
                  </w:pPr>
                  <w:r>
                    <w:rPr>
                      <w:rFonts w:hint="eastAsia" w:ascii="黑体" w:hAnsi="宋体" w:eastAsia="黑体"/>
                      <w:sz w:val="96"/>
                      <w:szCs w:val="96"/>
                    </w:rPr>
                    <w:t>相关名词解释</w:t>
                  </w:r>
                </w:p>
                <w:p/>
              </w:txbxContent>
            </v:textbox>
          </v:rect>
        </w:pic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（三）其他收入：</w:t>
      </w:r>
      <w:r>
        <w:rPr>
          <w:rFonts w:hint="eastAsia" w:ascii="仿宋" w:hAnsi="仿宋" w:eastAsia="仿宋" w:cs="仿宋"/>
          <w:color w:val="000000"/>
          <w:kern w:val="0"/>
          <w:sz w:val="32"/>
          <w:szCs w:val="32"/>
        </w:rPr>
        <w:t>指除上述“财政拨款收入”、“事业收入”、“经营收入”等以外的收入。</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（四）用事业基金弥补收支差额：</w:t>
      </w:r>
      <w:r>
        <w:rPr>
          <w:rFonts w:hint="eastAsia" w:ascii="仿宋" w:hAnsi="仿宋" w:eastAsia="仿宋" w:cs="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（五）年初结转和结余：</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（六）结余分配：</w:t>
      </w:r>
      <w:r>
        <w:rPr>
          <w:rFonts w:hint="eastAsia" w:ascii="仿宋" w:hAnsi="仿宋" w:eastAsia="仿宋" w:cs="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（七）年末结转和结余：</w:t>
      </w:r>
      <w:r>
        <w:rPr>
          <w:rFonts w:hint="eastAsia" w:ascii="仿宋" w:hAnsi="仿宋" w:eastAsia="仿宋" w:cs="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（八）基本支出：</w:t>
      </w:r>
      <w:r>
        <w:rPr>
          <w:rFonts w:hint="eastAsia" w:ascii="仿宋" w:hAnsi="仿宋" w:eastAsia="仿宋" w:cs="仿宋"/>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（九）项目支出：</w:t>
      </w:r>
      <w:r>
        <w:rPr>
          <w:rFonts w:hint="eastAsia" w:ascii="仿宋" w:hAnsi="仿宋" w:eastAsia="仿宋" w:cs="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（十）基本建设支出：</w:t>
      </w:r>
      <w:r>
        <w:rPr>
          <w:rFonts w:hint="eastAsia" w:ascii="仿宋" w:hAnsi="仿宋" w:eastAsia="仿宋" w:cs="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（十一）其他资本性支出：</w:t>
      </w:r>
      <w:r>
        <w:rPr>
          <w:rFonts w:hint="eastAsia" w:ascii="仿宋" w:hAnsi="仿宋" w:eastAsia="仿宋" w:cs="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（十三）其他交通费用：</w:t>
      </w:r>
      <w:r>
        <w:rPr>
          <w:rFonts w:hint="eastAsia" w:ascii="仿宋" w:hAnsi="仿宋" w:eastAsia="仿宋" w:cs="仿宋"/>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（十四）公务用车购置：</w:t>
      </w:r>
      <w:r>
        <w:rPr>
          <w:rFonts w:hint="eastAsia" w:ascii="仿宋" w:hAnsi="仿宋" w:eastAsia="仿宋" w:cs="仿宋"/>
          <w:color w:val="000000"/>
          <w:kern w:val="0"/>
          <w:sz w:val="32"/>
          <w:szCs w:val="32"/>
        </w:rPr>
        <w:t>填列单位公务用车车辆购置支出（含车辆购置税）。</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（十五）其他交通工具购置：</w:t>
      </w:r>
      <w:r>
        <w:rPr>
          <w:rFonts w:hint="eastAsia" w:ascii="仿宋" w:hAnsi="仿宋" w:eastAsia="仿宋" w:cs="仿宋"/>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（十六）机关运行经费：</w:t>
      </w:r>
      <w:r>
        <w:rPr>
          <w:rFonts w:hint="eastAsia" w:ascii="仿宋" w:hAnsi="仿宋" w:eastAsia="仿宋"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 w:hAnsi="仿宋" w:eastAsia="仿宋" w:cs="仿宋"/>
          <w:kern w:val="0"/>
          <w:sz w:val="32"/>
          <w:szCs w:val="32"/>
        </w:rPr>
        <w:sectPr>
          <w:pgSz w:w="11906" w:h="16838"/>
          <w:pgMar w:top="2098" w:right="1474" w:bottom="1985" w:left="1588" w:header="851" w:footer="992" w:gutter="0"/>
          <w:cols w:space="425" w:num="1"/>
          <w:docGrid w:type="lines" w:linePitch="312" w:charSpace="0"/>
        </w:sectPr>
      </w:pPr>
      <w:r>
        <w:rPr>
          <w:rFonts w:hint="eastAsia" w:ascii="仿宋" w:hAnsi="仿宋" w:eastAsia="仿宋" w:cs="仿宋"/>
          <w:b/>
          <w:bCs/>
          <w:color w:val="000000"/>
          <w:kern w:val="0"/>
          <w:sz w:val="32"/>
          <w:szCs w:val="32"/>
        </w:rPr>
        <w:t>（十七）经费形式:</w:t>
      </w:r>
      <w:r>
        <w:rPr>
          <w:rFonts w:hint="eastAsia" w:ascii="仿宋" w:hAnsi="仿宋" w:eastAsia="仿宋" w:cs="仿宋"/>
          <w:color w:val="000000"/>
          <w:kern w:val="0"/>
          <w:sz w:val="32"/>
          <w:szCs w:val="32"/>
        </w:rPr>
        <w:t>按照经费来源，</w:t>
      </w:r>
      <w:r>
        <w:rPr>
          <w:rFonts w:hint="eastAsia" w:ascii="仿宋" w:hAnsi="仿宋" w:eastAsia="仿宋" w:cs="仿宋"/>
          <w:kern w:val="0"/>
          <w:sz w:val="32"/>
          <w:szCs w:val="32"/>
        </w:rPr>
        <w:t>可分为财政拨款、财政性资金基本保证、财政性资金定额或定项补助、财政性资金零补助。</w:t>
      </w:r>
    </w:p>
    <w:p>
      <w:pPr>
        <w:widowControl/>
        <w:spacing w:after="0" w:line="240" w:lineRule="auto"/>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909361-4FB2-4BA1-9211-3BBC9AF7D6D8}"/>
  </w:font>
  <w:font w:name="黑体">
    <w:panose1 w:val="02010609060101010101"/>
    <w:charset w:val="86"/>
    <w:family w:val="auto"/>
    <w:pitch w:val="default"/>
    <w:sig w:usb0="800002BF" w:usb1="38CF7CFA" w:usb2="00000016" w:usb3="00000000" w:csb0="00040001" w:csb1="00000000"/>
    <w:embedRegular r:id="rId2" w:fontKey="{EFEB7FDF-938F-42B0-A4E6-1A49A5E5FC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6CF64200-0491-4747-BD4C-186D0E9AD70B}"/>
  </w:font>
  <w:font w:name="楷体">
    <w:panose1 w:val="02010609060101010101"/>
    <w:charset w:val="86"/>
    <w:family w:val="modern"/>
    <w:pitch w:val="default"/>
    <w:sig w:usb0="800002BF" w:usb1="38CF7CFA" w:usb2="00000016" w:usb3="00000000" w:csb0="00040001" w:csb1="00000000"/>
    <w:embedRegular r:id="rId4" w:fontKey="{7A4A3644-4FAA-4B35-A10B-A889B593DABE}"/>
  </w:font>
  <w:font w:name="仿宋">
    <w:panose1 w:val="02010609060101010101"/>
    <w:charset w:val="86"/>
    <w:family w:val="modern"/>
    <w:pitch w:val="default"/>
    <w:sig w:usb0="800002BF" w:usb1="38CF7CFA" w:usb2="00000016" w:usb3="00000000" w:csb0="00040001" w:csb1="00000000"/>
    <w:embedRegular r:id="rId5" w:fontKey="{89A7C4C7-A492-45F7-BA5D-2AB7A90535F7}"/>
  </w:font>
  <w:font w:name="MS-UIGothic,Bold">
    <w:altName w:val="Malgun Gothic"/>
    <w:panose1 w:val="00000000000000000000"/>
    <w:charset w:val="81"/>
    <w:family w:val="auto"/>
    <w:pitch w:val="default"/>
    <w:sig w:usb0="00000000" w:usb1="00000000" w:usb2="00000010" w:usb3="00000000" w:csb0="00080000" w:csb1="00000000"/>
    <w:embedRegular r:id="rId6" w:fontKey="{D79AE959-DB6B-44A6-997D-A86DCD4EDD10}"/>
  </w:font>
  <w:font w:name="ArialUnicodeMS">
    <w:altName w:val="Malgun Gothic"/>
    <w:panose1 w:val="00000000000000000000"/>
    <w:charset w:val="81"/>
    <w:family w:val="auto"/>
    <w:pitch w:val="default"/>
    <w:sig w:usb0="00000000" w:usb1="00000000" w:usb2="00000010" w:usb3="00000000" w:csb0="00080000" w:csb1="00000000"/>
    <w:embedRegular r:id="rId7" w:fontKey="{73C01F23-2543-4EF7-84F0-04DEE9B11CEA}"/>
  </w:font>
  <w:font w:name="仿宋_GB2312">
    <w:panose1 w:val="02010609030101010101"/>
    <w:charset w:val="86"/>
    <w:family w:val="modern"/>
    <w:pitch w:val="default"/>
    <w:sig w:usb0="00000001" w:usb1="080E0000" w:usb2="00000000" w:usb3="00000000" w:csb0="00040000" w:csb1="00000000"/>
    <w:embedRegular r:id="rId8" w:fontKey="{7193E98B-967D-4C49-A4CD-D8946416812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BC76"/>
    <w:multiLevelType w:val="singleLevel"/>
    <w:tmpl w:val="CB1EBC76"/>
    <w:lvl w:ilvl="0" w:tentative="0">
      <w:start w:val="1"/>
      <w:numFmt w:val="chineseCounting"/>
      <w:suff w:val="space"/>
      <w:lvlText w:val="第%1部分"/>
      <w:lvlJc w:val="left"/>
      <w:rPr>
        <w:rFonts w:hint="eastAsia"/>
      </w:rPr>
    </w:lvl>
  </w:abstractNum>
  <w:abstractNum w:abstractNumId="1">
    <w:nsid w:val="D5B1640B"/>
    <w:multiLevelType w:val="singleLevel"/>
    <w:tmpl w:val="D5B1640B"/>
    <w:lvl w:ilvl="0" w:tentative="0">
      <w:start w:val="4"/>
      <w:numFmt w:val="chineseCounting"/>
      <w:suff w:val="space"/>
      <w:lvlText w:val="第%1部分"/>
      <w:lvlJc w:val="left"/>
      <w:rPr>
        <w:rFonts w:hint="eastAsia"/>
      </w:rPr>
    </w:lvl>
  </w:abstractNum>
  <w:abstractNum w:abstractNumId="2">
    <w:nsid w:val="31F96B03"/>
    <w:multiLevelType w:val="singleLevel"/>
    <w:tmpl w:val="31F96B03"/>
    <w:lvl w:ilvl="0" w:tentative="0">
      <w:start w:val="3"/>
      <w:numFmt w:val="chineseCounting"/>
      <w:suff w:val="nothing"/>
      <w:lvlText w:val="（%1）"/>
      <w:lvlJc w:val="left"/>
      <w:pPr>
        <w:ind w:left="-210"/>
      </w:pPr>
      <w:rPr>
        <w:rFonts w:hint="eastAsia"/>
      </w:rPr>
    </w:lvl>
  </w:abstractNum>
  <w:abstractNum w:abstractNumId="3">
    <w:nsid w:val="46BC6A5B"/>
    <w:multiLevelType w:val="singleLevel"/>
    <w:tmpl w:val="46BC6A5B"/>
    <w:lvl w:ilvl="0" w:tentative="0">
      <w:start w:val="2"/>
      <w:numFmt w:val="chineseCounting"/>
      <w:suff w:val="nothing"/>
      <w:lvlText w:val="（%1）"/>
      <w:lvlJc w:val="left"/>
      <w:rPr>
        <w:rFonts w:hint="eastAsia"/>
      </w:rPr>
    </w:lvl>
  </w:abstractNum>
  <w:abstractNum w:abstractNumId="4">
    <w:nsid w:val="75EC7B7F"/>
    <w:multiLevelType w:val="singleLevel"/>
    <w:tmpl w:val="75EC7B7F"/>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665E"/>
    <w:rsid w:val="000127DD"/>
    <w:rsid w:val="00080325"/>
    <w:rsid w:val="000E2102"/>
    <w:rsid w:val="00142124"/>
    <w:rsid w:val="0018429F"/>
    <w:rsid w:val="00192BDC"/>
    <w:rsid w:val="00285525"/>
    <w:rsid w:val="002879C9"/>
    <w:rsid w:val="00297945"/>
    <w:rsid w:val="002B5F02"/>
    <w:rsid w:val="004534C4"/>
    <w:rsid w:val="004929A5"/>
    <w:rsid w:val="004E3C5F"/>
    <w:rsid w:val="006708A8"/>
    <w:rsid w:val="00687CB5"/>
    <w:rsid w:val="006A033E"/>
    <w:rsid w:val="006B3FA6"/>
    <w:rsid w:val="006B45FB"/>
    <w:rsid w:val="006F478C"/>
    <w:rsid w:val="00716908"/>
    <w:rsid w:val="007E4A3B"/>
    <w:rsid w:val="008079A0"/>
    <w:rsid w:val="00816C25"/>
    <w:rsid w:val="008330DC"/>
    <w:rsid w:val="008977F5"/>
    <w:rsid w:val="008B4F2D"/>
    <w:rsid w:val="009C665E"/>
    <w:rsid w:val="00A06B7B"/>
    <w:rsid w:val="00A80FAF"/>
    <w:rsid w:val="00B31A18"/>
    <w:rsid w:val="00BC06A2"/>
    <w:rsid w:val="00BD04F3"/>
    <w:rsid w:val="00BF4226"/>
    <w:rsid w:val="00BF5542"/>
    <w:rsid w:val="00C37B7E"/>
    <w:rsid w:val="00C71379"/>
    <w:rsid w:val="00C975AF"/>
    <w:rsid w:val="00CE034F"/>
    <w:rsid w:val="00E028FD"/>
    <w:rsid w:val="00E07C2F"/>
    <w:rsid w:val="00E53B5B"/>
    <w:rsid w:val="00EA6A8F"/>
    <w:rsid w:val="00F1413E"/>
    <w:rsid w:val="00FE7FD0"/>
    <w:rsid w:val="01AC1D31"/>
    <w:rsid w:val="0238595F"/>
    <w:rsid w:val="026079C3"/>
    <w:rsid w:val="03095382"/>
    <w:rsid w:val="038A7B7C"/>
    <w:rsid w:val="041814DF"/>
    <w:rsid w:val="047F7521"/>
    <w:rsid w:val="04AA2B79"/>
    <w:rsid w:val="054C7B17"/>
    <w:rsid w:val="05AD502D"/>
    <w:rsid w:val="065C6C55"/>
    <w:rsid w:val="07070427"/>
    <w:rsid w:val="07100375"/>
    <w:rsid w:val="07CA1B2A"/>
    <w:rsid w:val="07E22240"/>
    <w:rsid w:val="081545DD"/>
    <w:rsid w:val="08165B33"/>
    <w:rsid w:val="08B22004"/>
    <w:rsid w:val="090D0336"/>
    <w:rsid w:val="09224B7A"/>
    <w:rsid w:val="098032E3"/>
    <w:rsid w:val="09A40DF3"/>
    <w:rsid w:val="09AE0CAD"/>
    <w:rsid w:val="09FD4EB0"/>
    <w:rsid w:val="0A1B50F7"/>
    <w:rsid w:val="0A1D23A5"/>
    <w:rsid w:val="0A467EC9"/>
    <w:rsid w:val="0A58200A"/>
    <w:rsid w:val="0A90629C"/>
    <w:rsid w:val="0A9F67A3"/>
    <w:rsid w:val="0B1C24B4"/>
    <w:rsid w:val="0C1A4832"/>
    <w:rsid w:val="0C7131B7"/>
    <w:rsid w:val="0CAE318C"/>
    <w:rsid w:val="0D1356FB"/>
    <w:rsid w:val="0D342241"/>
    <w:rsid w:val="0D363FAB"/>
    <w:rsid w:val="0DC8466E"/>
    <w:rsid w:val="0E48502D"/>
    <w:rsid w:val="0F080A63"/>
    <w:rsid w:val="0F233126"/>
    <w:rsid w:val="0FE05AE8"/>
    <w:rsid w:val="0FF421AF"/>
    <w:rsid w:val="0FFB6B2A"/>
    <w:rsid w:val="10894FE4"/>
    <w:rsid w:val="11644D37"/>
    <w:rsid w:val="11DC6DF2"/>
    <w:rsid w:val="123E57E4"/>
    <w:rsid w:val="130C65A0"/>
    <w:rsid w:val="13130B88"/>
    <w:rsid w:val="13824803"/>
    <w:rsid w:val="13DB457D"/>
    <w:rsid w:val="14EF790C"/>
    <w:rsid w:val="157F538C"/>
    <w:rsid w:val="159C2F7D"/>
    <w:rsid w:val="15D53FF4"/>
    <w:rsid w:val="15EA4AAD"/>
    <w:rsid w:val="16B10CC6"/>
    <w:rsid w:val="174C1F87"/>
    <w:rsid w:val="183E0FF1"/>
    <w:rsid w:val="190C7C12"/>
    <w:rsid w:val="190E7462"/>
    <w:rsid w:val="193E389E"/>
    <w:rsid w:val="19C115F6"/>
    <w:rsid w:val="1A12284E"/>
    <w:rsid w:val="1A44506A"/>
    <w:rsid w:val="1AE826FA"/>
    <w:rsid w:val="1B3B6DC1"/>
    <w:rsid w:val="1B6E59BC"/>
    <w:rsid w:val="1B7612DB"/>
    <w:rsid w:val="1B872FDD"/>
    <w:rsid w:val="1BAB52C5"/>
    <w:rsid w:val="1BD052A4"/>
    <w:rsid w:val="1CA2197E"/>
    <w:rsid w:val="1CCB742D"/>
    <w:rsid w:val="1CF069E7"/>
    <w:rsid w:val="1ECA15B4"/>
    <w:rsid w:val="1F5D510D"/>
    <w:rsid w:val="1F6B5EF0"/>
    <w:rsid w:val="1F8C7DCF"/>
    <w:rsid w:val="1FC73678"/>
    <w:rsid w:val="200214DF"/>
    <w:rsid w:val="20DD474C"/>
    <w:rsid w:val="218046D6"/>
    <w:rsid w:val="21C57A6C"/>
    <w:rsid w:val="21F52350"/>
    <w:rsid w:val="2293728E"/>
    <w:rsid w:val="22D84C23"/>
    <w:rsid w:val="23075B55"/>
    <w:rsid w:val="23147422"/>
    <w:rsid w:val="23393618"/>
    <w:rsid w:val="23A26E25"/>
    <w:rsid w:val="23E25339"/>
    <w:rsid w:val="240E61A6"/>
    <w:rsid w:val="244732EB"/>
    <w:rsid w:val="248E6DB8"/>
    <w:rsid w:val="2544487B"/>
    <w:rsid w:val="258C2444"/>
    <w:rsid w:val="25A3392D"/>
    <w:rsid w:val="26355A14"/>
    <w:rsid w:val="2637012C"/>
    <w:rsid w:val="26663165"/>
    <w:rsid w:val="268110DC"/>
    <w:rsid w:val="26841618"/>
    <w:rsid w:val="26BD27E9"/>
    <w:rsid w:val="26CD26A2"/>
    <w:rsid w:val="276B56FC"/>
    <w:rsid w:val="27DF0CCE"/>
    <w:rsid w:val="28197474"/>
    <w:rsid w:val="28674947"/>
    <w:rsid w:val="28706122"/>
    <w:rsid w:val="28A277BC"/>
    <w:rsid w:val="28F84CC6"/>
    <w:rsid w:val="29563EDE"/>
    <w:rsid w:val="296622A2"/>
    <w:rsid w:val="2993551E"/>
    <w:rsid w:val="29F46122"/>
    <w:rsid w:val="2A4A764D"/>
    <w:rsid w:val="2A5D01E3"/>
    <w:rsid w:val="2A792A48"/>
    <w:rsid w:val="2AD529A7"/>
    <w:rsid w:val="2C910CBC"/>
    <w:rsid w:val="2D0E777D"/>
    <w:rsid w:val="2D707E05"/>
    <w:rsid w:val="2D975364"/>
    <w:rsid w:val="2DC5793D"/>
    <w:rsid w:val="2F555DE0"/>
    <w:rsid w:val="2F7E6415"/>
    <w:rsid w:val="2FA77584"/>
    <w:rsid w:val="2FDD228F"/>
    <w:rsid w:val="2FE2367E"/>
    <w:rsid w:val="30145E61"/>
    <w:rsid w:val="304D6028"/>
    <w:rsid w:val="30726457"/>
    <w:rsid w:val="30CE5415"/>
    <w:rsid w:val="316C155A"/>
    <w:rsid w:val="318039E2"/>
    <w:rsid w:val="32386EE1"/>
    <w:rsid w:val="3264476D"/>
    <w:rsid w:val="3279210D"/>
    <w:rsid w:val="329B51E4"/>
    <w:rsid w:val="32D74D9A"/>
    <w:rsid w:val="33567336"/>
    <w:rsid w:val="34117154"/>
    <w:rsid w:val="34522401"/>
    <w:rsid w:val="347A6A07"/>
    <w:rsid w:val="348705B3"/>
    <w:rsid w:val="34D90EEB"/>
    <w:rsid w:val="35B52B45"/>
    <w:rsid w:val="364B389F"/>
    <w:rsid w:val="36864705"/>
    <w:rsid w:val="36A1223C"/>
    <w:rsid w:val="36D1118F"/>
    <w:rsid w:val="36D40144"/>
    <w:rsid w:val="36D55E25"/>
    <w:rsid w:val="3717662E"/>
    <w:rsid w:val="375359F0"/>
    <w:rsid w:val="379E7C54"/>
    <w:rsid w:val="37B95222"/>
    <w:rsid w:val="384C50F0"/>
    <w:rsid w:val="390D0D45"/>
    <w:rsid w:val="39606E4B"/>
    <w:rsid w:val="39C82CB9"/>
    <w:rsid w:val="39F4784D"/>
    <w:rsid w:val="3B1158E6"/>
    <w:rsid w:val="3B2F2A75"/>
    <w:rsid w:val="3B390866"/>
    <w:rsid w:val="3B5416B6"/>
    <w:rsid w:val="3C124A02"/>
    <w:rsid w:val="3C266CAA"/>
    <w:rsid w:val="3C8105D9"/>
    <w:rsid w:val="3CA96BAE"/>
    <w:rsid w:val="3D2B1312"/>
    <w:rsid w:val="3D7C1331"/>
    <w:rsid w:val="3D9D42A6"/>
    <w:rsid w:val="3E69762B"/>
    <w:rsid w:val="3F3F7337"/>
    <w:rsid w:val="3F4959DE"/>
    <w:rsid w:val="3FF278A9"/>
    <w:rsid w:val="3FF441BC"/>
    <w:rsid w:val="400179F6"/>
    <w:rsid w:val="4009604D"/>
    <w:rsid w:val="40534E66"/>
    <w:rsid w:val="40591B12"/>
    <w:rsid w:val="407266AD"/>
    <w:rsid w:val="41353198"/>
    <w:rsid w:val="41592B98"/>
    <w:rsid w:val="41970609"/>
    <w:rsid w:val="420C0FA7"/>
    <w:rsid w:val="426E7710"/>
    <w:rsid w:val="42CF1F5B"/>
    <w:rsid w:val="430E7ADC"/>
    <w:rsid w:val="436C5B02"/>
    <w:rsid w:val="43DC0FF8"/>
    <w:rsid w:val="44075DBA"/>
    <w:rsid w:val="44370202"/>
    <w:rsid w:val="444433E9"/>
    <w:rsid w:val="446E5A57"/>
    <w:rsid w:val="450A3669"/>
    <w:rsid w:val="465E3DBE"/>
    <w:rsid w:val="46AE7ACF"/>
    <w:rsid w:val="470E1554"/>
    <w:rsid w:val="47141446"/>
    <w:rsid w:val="47167E93"/>
    <w:rsid w:val="476A0C68"/>
    <w:rsid w:val="47AC0A44"/>
    <w:rsid w:val="489F2337"/>
    <w:rsid w:val="48B079C9"/>
    <w:rsid w:val="48CE2D3A"/>
    <w:rsid w:val="49C85CA0"/>
    <w:rsid w:val="49F65EB7"/>
    <w:rsid w:val="4A097388"/>
    <w:rsid w:val="4A9436A3"/>
    <w:rsid w:val="4ACC1E38"/>
    <w:rsid w:val="4B225D5F"/>
    <w:rsid w:val="4BE65B72"/>
    <w:rsid w:val="4BF835D9"/>
    <w:rsid w:val="4C1C0410"/>
    <w:rsid w:val="4C1F7DF6"/>
    <w:rsid w:val="4C2B0911"/>
    <w:rsid w:val="4C5C55AB"/>
    <w:rsid w:val="4CBD78BC"/>
    <w:rsid w:val="4D647BF5"/>
    <w:rsid w:val="4D7245C7"/>
    <w:rsid w:val="4D977CA9"/>
    <w:rsid w:val="4E485306"/>
    <w:rsid w:val="4EA559C6"/>
    <w:rsid w:val="4F1C7552"/>
    <w:rsid w:val="4FEB40D0"/>
    <w:rsid w:val="504832EF"/>
    <w:rsid w:val="50AA264E"/>
    <w:rsid w:val="50C91B1C"/>
    <w:rsid w:val="51097F89"/>
    <w:rsid w:val="51123E96"/>
    <w:rsid w:val="513245BF"/>
    <w:rsid w:val="51332AAB"/>
    <w:rsid w:val="51E11582"/>
    <w:rsid w:val="52995532"/>
    <w:rsid w:val="52A37054"/>
    <w:rsid w:val="53291E70"/>
    <w:rsid w:val="544E29D7"/>
    <w:rsid w:val="548A6A47"/>
    <w:rsid w:val="54D90FBA"/>
    <w:rsid w:val="552B067D"/>
    <w:rsid w:val="5543226A"/>
    <w:rsid w:val="55D24584"/>
    <w:rsid w:val="566D5820"/>
    <w:rsid w:val="567A2C81"/>
    <w:rsid w:val="575F27C1"/>
    <w:rsid w:val="57A33839"/>
    <w:rsid w:val="57C11E0C"/>
    <w:rsid w:val="5836543F"/>
    <w:rsid w:val="58A00F42"/>
    <w:rsid w:val="58DA388B"/>
    <w:rsid w:val="59A50A21"/>
    <w:rsid w:val="5A063F2D"/>
    <w:rsid w:val="5A32292C"/>
    <w:rsid w:val="5B034E6D"/>
    <w:rsid w:val="5B5F4DD7"/>
    <w:rsid w:val="5B6258A5"/>
    <w:rsid w:val="5B6D5874"/>
    <w:rsid w:val="5BA32E01"/>
    <w:rsid w:val="5BA937D5"/>
    <w:rsid w:val="5C1B15E1"/>
    <w:rsid w:val="5C4F076B"/>
    <w:rsid w:val="5C95161F"/>
    <w:rsid w:val="5CCF0F2C"/>
    <w:rsid w:val="5CF02F7E"/>
    <w:rsid w:val="5CFB2865"/>
    <w:rsid w:val="5D12003E"/>
    <w:rsid w:val="5D240474"/>
    <w:rsid w:val="5DE201E2"/>
    <w:rsid w:val="5DE75115"/>
    <w:rsid w:val="5E5A5D87"/>
    <w:rsid w:val="5ED10DFD"/>
    <w:rsid w:val="5EDB7432"/>
    <w:rsid w:val="5F19627D"/>
    <w:rsid w:val="5F6769B1"/>
    <w:rsid w:val="5F685822"/>
    <w:rsid w:val="5F746F0C"/>
    <w:rsid w:val="5F7E44B3"/>
    <w:rsid w:val="5F826483"/>
    <w:rsid w:val="608B44FC"/>
    <w:rsid w:val="6097643C"/>
    <w:rsid w:val="60B476F1"/>
    <w:rsid w:val="60C8523D"/>
    <w:rsid w:val="6115415C"/>
    <w:rsid w:val="61FB4B9F"/>
    <w:rsid w:val="624862E1"/>
    <w:rsid w:val="62755269"/>
    <w:rsid w:val="629640F3"/>
    <w:rsid w:val="63190ED9"/>
    <w:rsid w:val="63331C0F"/>
    <w:rsid w:val="63571FE7"/>
    <w:rsid w:val="64313A67"/>
    <w:rsid w:val="643D20D0"/>
    <w:rsid w:val="643F5636"/>
    <w:rsid w:val="64D61CDA"/>
    <w:rsid w:val="64FC1347"/>
    <w:rsid w:val="65515A29"/>
    <w:rsid w:val="65522C35"/>
    <w:rsid w:val="673B6231"/>
    <w:rsid w:val="673E783E"/>
    <w:rsid w:val="67790945"/>
    <w:rsid w:val="682D7574"/>
    <w:rsid w:val="68433A18"/>
    <w:rsid w:val="685A701C"/>
    <w:rsid w:val="68807A8C"/>
    <w:rsid w:val="688B3584"/>
    <w:rsid w:val="68C03B56"/>
    <w:rsid w:val="691B3E53"/>
    <w:rsid w:val="69532BFB"/>
    <w:rsid w:val="69903A25"/>
    <w:rsid w:val="6A63572F"/>
    <w:rsid w:val="6A8312BB"/>
    <w:rsid w:val="6A881DCD"/>
    <w:rsid w:val="6AD0663D"/>
    <w:rsid w:val="6AE679DF"/>
    <w:rsid w:val="6B516CC2"/>
    <w:rsid w:val="6C3A2685"/>
    <w:rsid w:val="6C423995"/>
    <w:rsid w:val="6C5D5CE2"/>
    <w:rsid w:val="6CB04215"/>
    <w:rsid w:val="6CE367D1"/>
    <w:rsid w:val="6D2173DA"/>
    <w:rsid w:val="6D363E6D"/>
    <w:rsid w:val="6DD447F1"/>
    <w:rsid w:val="6E411E64"/>
    <w:rsid w:val="6E6A590E"/>
    <w:rsid w:val="6EDC4DE8"/>
    <w:rsid w:val="6F3B216C"/>
    <w:rsid w:val="6F7C7C0E"/>
    <w:rsid w:val="6FDB43BB"/>
    <w:rsid w:val="6FFC5EE9"/>
    <w:rsid w:val="702B2587"/>
    <w:rsid w:val="7046352B"/>
    <w:rsid w:val="70FD7E86"/>
    <w:rsid w:val="710621B3"/>
    <w:rsid w:val="71163EB9"/>
    <w:rsid w:val="71990E54"/>
    <w:rsid w:val="71D734E5"/>
    <w:rsid w:val="72177139"/>
    <w:rsid w:val="726F4F19"/>
    <w:rsid w:val="72CA38D3"/>
    <w:rsid w:val="73573567"/>
    <w:rsid w:val="73675960"/>
    <w:rsid w:val="737A7204"/>
    <w:rsid w:val="73A255BD"/>
    <w:rsid w:val="742F554A"/>
    <w:rsid w:val="746A639A"/>
    <w:rsid w:val="74DA2713"/>
    <w:rsid w:val="751D1143"/>
    <w:rsid w:val="7542765C"/>
    <w:rsid w:val="75AF38A5"/>
    <w:rsid w:val="75E20AEF"/>
    <w:rsid w:val="75E61164"/>
    <w:rsid w:val="7609586C"/>
    <w:rsid w:val="78C76735"/>
    <w:rsid w:val="792266D6"/>
    <w:rsid w:val="794B6E92"/>
    <w:rsid w:val="794D3D58"/>
    <w:rsid w:val="795B105D"/>
    <w:rsid w:val="795C4E59"/>
    <w:rsid w:val="79F76222"/>
    <w:rsid w:val="7A715A02"/>
    <w:rsid w:val="7B025846"/>
    <w:rsid w:val="7B8835F2"/>
    <w:rsid w:val="7BA966E8"/>
    <w:rsid w:val="7C1722B7"/>
    <w:rsid w:val="7CE842CF"/>
    <w:rsid w:val="7D661DEF"/>
    <w:rsid w:val="7E26764C"/>
    <w:rsid w:val="7E3C5873"/>
    <w:rsid w:val="7F441D8E"/>
    <w:rsid w:val="7F732EC2"/>
    <w:rsid w:val="7FB46072"/>
    <w:rsid w:val="7FF21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31"/>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1"/>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0"/>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Cambria" w:hAnsi="Cambria" w:eastAsia="黑体" w:cs="宋体"/>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Calibri" w:hAnsi="Calibri" w:eastAsia="宋体" w:cs="宋体"/>
      <w:color w:val="3B2C24"/>
      <w:spacing w:val="5"/>
      <w:kern w:val="28"/>
      <w:sz w:val="52"/>
      <w:szCs w:val="52"/>
    </w:rPr>
  </w:style>
  <w:style w:type="character" w:customStyle="1" w:styleId="21">
    <w:name w:val="副标题 Char"/>
    <w:basedOn w:val="14"/>
    <w:link w:val="10"/>
    <w:qFormat/>
    <w:uiPriority w:val="11"/>
    <w:rPr>
      <w:rFonts w:ascii="Calibri" w:hAnsi="Calibri" w:eastAsia="宋体" w:cs="宋体"/>
      <w:i/>
      <w:iCs/>
      <w:color w:val="F0A22E"/>
      <w:spacing w:val="15"/>
      <w:kern w:val="0"/>
      <w:sz w:val="24"/>
      <w:szCs w:val="24"/>
    </w:rPr>
  </w:style>
  <w:style w:type="character" w:customStyle="1" w:styleId="22">
    <w:name w:val="Style1"/>
    <w:basedOn w:val="14"/>
    <w:qFormat/>
    <w:uiPriority w:val="1"/>
    <w:rPr>
      <w:rFonts w:ascii="Cambria" w:hAnsi="黑体" w:eastAsia="黑体" w:cs="宋体"/>
      <w:sz w:val="22"/>
      <w:szCs w:val="22"/>
      <w:lang w:eastAsia="zh-CN"/>
    </w:rPr>
  </w:style>
  <w:style w:type="character" w:customStyle="1" w:styleId="23">
    <w:name w:val="Style2"/>
    <w:basedOn w:val="14"/>
    <w:qFormat/>
    <w:uiPriority w:val="1"/>
    <w:rPr>
      <w:rFonts w:ascii="Cambria" w:hAnsi="黑体" w:eastAsia="黑体" w:cs="宋体"/>
      <w:sz w:val="22"/>
      <w:szCs w:val="22"/>
      <w:lang w:eastAsia="zh-CN"/>
    </w:rPr>
  </w:style>
  <w:style w:type="character" w:customStyle="1" w:styleId="24">
    <w:name w:val="Style3"/>
    <w:basedOn w:val="14"/>
    <w:qFormat/>
    <w:uiPriority w:val="1"/>
    <w:rPr>
      <w:rFonts w:ascii="Cambria" w:hAnsi="黑体" w:eastAsia="黑体" w:cs="宋体"/>
      <w:szCs w:val="22"/>
      <w:lang w:eastAsia="zh-CN"/>
    </w:rPr>
  </w:style>
  <w:style w:type="character" w:customStyle="1" w:styleId="25">
    <w:name w:val="Style4"/>
    <w:basedOn w:val="14"/>
    <w:qFormat/>
    <w:uiPriority w:val="1"/>
    <w:rPr>
      <w:rFonts w:ascii="Cambria" w:hAnsi="黑体" w:eastAsia="黑体" w:cs="宋体"/>
      <w:szCs w:val="22"/>
      <w:lang w:eastAsia="zh-CN"/>
    </w:rPr>
  </w:style>
  <w:style w:type="character" w:customStyle="1" w:styleId="26">
    <w:name w:val="Style5"/>
    <w:basedOn w:val="14"/>
    <w:qFormat/>
    <w:uiPriority w:val="1"/>
    <w:rPr>
      <w:rFonts w:ascii="Cambria" w:hAnsi="黑体" w:eastAsia="黑体" w:cs="宋体"/>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Calibri" w:hAnsi="Calibri" w:eastAsia="宋体" w:cs="宋体"/>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Calibri" w:hAnsi="Calibri" w:eastAsia="宋体" w:cs="宋体"/>
      <w:b/>
      <w:bCs/>
      <w:sz w:val="28"/>
      <w:szCs w:val="28"/>
    </w:rPr>
  </w:style>
  <w:style w:type="character" w:customStyle="1" w:styleId="31">
    <w:name w:val="日期 Char"/>
    <w:basedOn w:val="14"/>
    <w:link w:val="6"/>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89"/>
    <customShpInfo spid="_x0000_s1058"/>
    <customShpInfo spid="_x0000_s1036"/>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B5B42EA4-0158-4D58-B370-F25230443E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10631</Words>
  <Characters>5050</Characters>
  <Lines>42</Lines>
  <Paragraphs>31</Paragraphs>
  <TotalTime>50</TotalTime>
  <ScaleCrop>false</ScaleCrop>
  <LinksUpToDate>false</LinksUpToDate>
  <CharactersWithSpaces>15650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宝娘@_@JCcat</cp:lastModifiedBy>
  <cp:lastPrinted>2019-08-09T00:32:00Z</cp:lastPrinted>
  <dcterms:modified xsi:type="dcterms:W3CDTF">2024-03-19T02:19:51Z</dcterms:modified>
  <dc:subject>石家庄市xxx部门</dc:subject>
  <dc:title>2017年度部门决算</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61896643B82545CEAA87B8974A8A201C</vt:lpwstr>
  </property>
</Properties>
</file>