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r>
        <w:rPr>
          <w:rFonts w:ascii="方正小标宋_GBK" w:hAnsi="方正小标宋_GBK" w:eastAsia="方正小标宋_GBK" w:cs="方正小标宋_GBK"/>
          <w:color w:val="000000"/>
          <w:sz w:val="52"/>
        </w:rPr>
        <w:t xml:space="preserve"> </w:t>
      </w:r>
    </w:p>
    <w:p>
      <w:pPr>
        <w:jc w:val="center"/>
        <w:rPr>
          <w:rFonts w:ascii="方正小标宋_GBK" w:hAnsi="方正小标宋_GBK" w:eastAsia="方正小标宋_GBK" w:cs="方正小标宋_GBK"/>
          <w:color w:val="000000"/>
          <w:sz w:val="52"/>
          <w:lang w:eastAsia="zh-CN"/>
        </w:rPr>
      </w:pPr>
    </w:p>
    <w:p>
      <w:pPr>
        <w:jc w:val="center"/>
      </w:pPr>
      <w:r>
        <w:rPr>
          <w:rFonts w:ascii="方正小标宋_GBK" w:hAnsi="方正小标宋_GBK" w:eastAsia="方正小标宋_GBK" w:cs="方正小标宋_GBK"/>
          <w:color w:val="000000"/>
          <w:sz w:val="52"/>
        </w:rPr>
        <w:t xml:space="preserve"> </w:t>
      </w:r>
    </w:p>
    <w:p>
      <w:pPr>
        <w:jc w:val="center"/>
      </w:pPr>
      <w:r>
        <w:rPr>
          <w:rFonts w:ascii="方正小标宋_GBK" w:hAnsi="方正小标宋_GBK" w:eastAsia="方正小标宋_GBK" w:cs="方正小标宋_GBK"/>
          <w:color w:val="000000"/>
          <w:sz w:val="52"/>
        </w:rPr>
        <w:t xml:space="preserve"> </w:t>
      </w:r>
    </w:p>
    <w:p>
      <w:pPr>
        <w:widowControl w:val="0"/>
        <w:jc w:val="center"/>
        <w:rPr>
          <w:rFonts w:ascii="方正小标宋_GBK" w:hAnsi="方正小标宋_GBK" w:eastAsia="方正小标宋_GBK" w:cs="方正小标宋_GBK"/>
          <w:kern w:val="2"/>
          <w:sz w:val="52"/>
          <w:szCs w:val="52"/>
          <w:lang w:eastAsia="zh-CN"/>
        </w:rPr>
      </w:pPr>
      <w:r>
        <w:rPr>
          <w:rFonts w:ascii="方正小标宋_GBK" w:hAnsi="方正小标宋_GBK" w:eastAsia="方正小标宋_GBK" w:cs="方正小标宋_GBK"/>
          <w:kern w:val="2"/>
          <w:sz w:val="52"/>
          <w:szCs w:val="52"/>
          <w:lang w:eastAsia="zh-CN"/>
        </w:rPr>
        <w:t>唐山市广播电视大学遵化分校</w:t>
      </w:r>
    </w:p>
    <w:p>
      <w:pPr>
        <w:widowControl w:val="0"/>
        <w:jc w:val="center"/>
        <w:rPr>
          <w:rFonts w:ascii="方正小标宋_GBK" w:hAnsi="方正小标宋_GBK" w:eastAsia="方正小标宋_GBK" w:cs="方正小标宋_GBK"/>
          <w:kern w:val="2"/>
          <w:sz w:val="52"/>
          <w:szCs w:val="52"/>
          <w:lang w:eastAsia="zh-CN"/>
        </w:rPr>
      </w:pPr>
      <w:r>
        <w:rPr>
          <w:rFonts w:ascii="方正小标宋_GBK" w:hAnsi="方正小标宋_GBK" w:eastAsia="方正小标宋_GBK" w:cs="方正小标宋_GBK"/>
          <w:kern w:val="2"/>
          <w:sz w:val="52"/>
          <w:szCs w:val="52"/>
          <w:lang w:eastAsia="zh-CN"/>
        </w:rPr>
        <w:t>2022年部门预算绩效文本</w:t>
      </w:r>
    </w:p>
    <w:p>
      <w:pPr>
        <w:jc w:val="center"/>
        <w:rPr>
          <w:lang w:eastAsia="zh-CN"/>
        </w:rPr>
      </w:pP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rPr>
          <w:rFonts w:ascii="宋体" w:hAnsi="宋体" w:eastAsia="宋体" w:cs="宋体"/>
          <w:color w:val="000000"/>
          <w:sz w:val="21"/>
          <w:lang w:eastAsia="zh-CN"/>
        </w:rPr>
      </w:pPr>
    </w:p>
    <w:p>
      <w:pPr>
        <w:jc w:val="center"/>
        <w:rPr>
          <w:rFonts w:ascii="宋体" w:hAnsi="宋体" w:eastAsia="宋体" w:cs="宋体"/>
          <w:color w:val="000000"/>
          <w:sz w:val="21"/>
          <w:lang w:eastAsia="zh-CN"/>
        </w:rPr>
      </w:pPr>
    </w:p>
    <w:p>
      <w:pPr>
        <w:jc w:val="center"/>
        <w:rPr>
          <w:rFonts w:ascii="宋体" w:hAnsi="宋体" w:eastAsia="宋体" w:cs="宋体"/>
          <w:color w:val="000000"/>
          <w:sz w:val="21"/>
          <w:lang w:eastAsia="zh-CN"/>
        </w:rPr>
      </w:pPr>
    </w:p>
    <w:p>
      <w:pPr>
        <w:jc w:val="center"/>
        <w:rPr>
          <w:rFonts w:ascii="宋体" w:hAnsi="宋体" w:eastAsia="宋体" w:cs="宋体"/>
          <w:color w:val="000000"/>
          <w:sz w:val="21"/>
          <w:lang w:eastAsia="zh-CN"/>
        </w:rPr>
      </w:pPr>
    </w:p>
    <w:p>
      <w:pPr>
        <w:jc w:val="center"/>
        <w:rPr>
          <w:rFonts w:ascii="宋体" w:hAnsi="宋体" w:eastAsia="宋体" w:cs="宋体"/>
          <w:color w:val="000000"/>
          <w:sz w:val="21"/>
          <w:lang w:eastAsia="zh-CN"/>
        </w:rPr>
      </w:pPr>
    </w:p>
    <w:p>
      <w:pPr>
        <w:jc w:val="center"/>
        <w:rPr>
          <w:rFonts w:ascii="宋体" w:hAnsi="宋体" w:eastAsia="宋体" w:cs="宋体"/>
          <w:color w:val="000000"/>
          <w:sz w:val="21"/>
          <w:lang w:eastAsia="zh-CN"/>
        </w:rPr>
      </w:pPr>
    </w:p>
    <w:p>
      <w:pPr>
        <w:jc w:val="center"/>
        <w:rPr>
          <w:rFonts w:ascii="宋体" w:hAnsi="宋体" w:eastAsia="宋体" w:cs="宋体"/>
          <w:color w:val="000000"/>
          <w:sz w:val="21"/>
          <w:lang w:eastAsia="zh-CN"/>
        </w:rPr>
      </w:pPr>
    </w:p>
    <w:p>
      <w:pPr>
        <w:jc w:val="center"/>
        <w:rPr>
          <w:rFonts w:ascii="宋体" w:hAnsi="宋体" w:eastAsia="宋体" w:cs="宋体"/>
          <w:color w:val="000000"/>
          <w:sz w:val="21"/>
          <w:lang w:eastAsia="zh-CN"/>
        </w:rPr>
      </w:pPr>
    </w:p>
    <w:p>
      <w:pPr>
        <w:jc w:val="center"/>
        <w:rPr>
          <w:rFonts w:ascii="宋体" w:hAnsi="宋体" w:eastAsia="宋体" w:cs="宋体"/>
          <w:color w:val="000000"/>
          <w:sz w:val="21"/>
          <w:lang w:eastAsia="zh-CN"/>
        </w:rPr>
      </w:pPr>
    </w:p>
    <w:p>
      <w:pPr>
        <w:jc w:val="center"/>
        <w:rPr>
          <w:rFonts w:ascii="宋体" w:hAnsi="宋体" w:eastAsia="宋体" w:cs="宋体"/>
          <w:color w:val="000000"/>
          <w:sz w:val="21"/>
          <w:lang w:eastAsia="zh-CN"/>
        </w:rPr>
      </w:pPr>
    </w:p>
    <w:p>
      <w:pPr>
        <w:jc w:val="center"/>
        <w:rPr>
          <w:rFonts w:ascii="宋体" w:hAnsi="宋体" w:eastAsia="宋体" w:cs="宋体"/>
          <w:color w:val="000000"/>
          <w:sz w:val="21"/>
          <w:lang w:eastAsia="zh-CN"/>
        </w:rPr>
      </w:pPr>
    </w:p>
    <w:p>
      <w:pPr>
        <w:jc w:val="center"/>
        <w:rPr>
          <w:rFonts w:ascii="宋体" w:hAnsi="宋体" w:eastAsia="宋体" w:cs="宋体"/>
          <w:color w:val="000000"/>
          <w:sz w:val="21"/>
          <w:lang w:eastAsia="zh-CN"/>
        </w:rPr>
      </w:pPr>
    </w:p>
    <w:p>
      <w:pPr>
        <w:jc w:val="center"/>
        <w:rPr>
          <w:rFonts w:ascii="宋体" w:hAnsi="宋体" w:eastAsia="宋体" w:cs="宋体"/>
          <w:color w:val="000000"/>
          <w:sz w:val="21"/>
          <w:lang w:eastAsia="zh-CN"/>
        </w:rPr>
      </w:pPr>
    </w:p>
    <w:p>
      <w:pPr>
        <w:jc w:val="center"/>
        <w:rPr>
          <w:rFonts w:ascii="宋体" w:hAnsi="宋体" w:eastAsia="宋体" w:cs="宋体"/>
          <w:color w:val="000000"/>
          <w:sz w:val="21"/>
          <w:lang w:eastAsia="zh-CN"/>
        </w:rPr>
      </w:pPr>
    </w:p>
    <w:p>
      <w:pPr>
        <w:jc w:val="center"/>
        <w:rPr>
          <w:rFonts w:ascii="宋体" w:hAnsi="宋体" w:eastAsia="宋体" w:cs="宋体"/>
          <w:color w:val="000000"/>
          <w:sz w:val="21"/>
          <w:lang w:eastAsia="zh-CN"/>
        </w:rPr>
      </w:pPr>
    </w:p>
    <w:p>
      <w:pPr>
        <w:jc w:val="center"/>
        <w:rPr>
          <w:lang w:eastAsia="zh-CN"/>
        </w:rPr>
      </w:pP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rPr>
          <w:rFonts w:eastAsiaTheme="minorEastAsia"/>
          <w:lang w:eastAsia="zh-CN"/>
        </w:rP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方正楷体_GBK" w:hAnsi="方正楷体_GBK" w:eastAsia="方正楷体_GBK" w:cs="方正楷体_GBK"/>
          <w:b/>
          <w:color w:val="000000"/>
          <w:sz w:val="32"/>
        </w:rPr>
        <w:t>唐山市广播电视大学遵化分校编制</w:t>
      </w:r>
    </w:p>
    <w:p>
      <w:pPr>
        <w:jc w:val="center"/>
        <w:rPr>
          <w:lang w:eastAsia="zh-CN"/>
        </w:rPr>
        <w:sectPr>
          <w:pgSz w:w="11900" w:h="16840"/>
          <w:pgMar w:top="1984" w:right="1304" w:bottom="1134" w:left="1304" w:header="720" w:footer="720" w:gutter="0"/>
          <w:cols w:space="720" w:num="1"/>
          <w:titlePg/>
        </w:sectPr>
      </w:pPr>
      <w:r>
        <w:rPr>
          <w:rFonts w:ascii="方正楷体_GBK" w:hAnsi="方正楷体_GBK" w:eastAsia="方正楷体_GBK" w:cs="方正楷体_GBK"/>
          <w:b/>
          <w:color w:val="000000"/>
          <w:sz w:val="32"/>
        </w:rPr>
        <w:t>遵化市财政局审核</w:t>
      </w:r>
    </w:p>
    <w:p>
      <w:pPr>
        <w:jc w:val="center"/>
        <w:outlineLvl w:val="0"/>
      </w:pPr>
      <w:r>
        <w:rPr>
          <w:rFonts w:ascii="方正小标宋_GBK" w:hAnsi="方正小标宋_GBK" w:eastAsia="方正小标宋_GBK" w:cs="方正小标宋_GBK"/>
          <w:color w:val="000000"/>
          <w:sz w:val="36"/>
        </w:rPr>
        <w:t>目    录</w:t>
      </w:r>
    </w:p>
    <w:p>
      <w:pPr>
        <w:jc w:val="center"/>
      </w:pPr>
      <w:r>
        <w:rPr>
          <w:rFonts w:ascii="方正小标宋_GBK" w:hAnsi="方正小标宋_GBK" w:eastAsia="方正小标宋_GBK" w:cs="方正小标宋_GBK"/>
          <w:color w:val="000000"/>
          <w:sz w:val="30"/>
        </w:rPr>
        <w:t xml:space="preserve"> </w:t>
      </w:r>
    </w:p>
    <w:p>
      <w:pPr>
        <w:jc w:val="center"/>
      </w:pPr>
      <w:r>
        <w:rPr>
          <w:rFonts w:ascii="方正小标宋_GBK" w:hAnsi="方正小标宋_GBK" w:eastAsia="方正小标宋_GBK" w:cs="方正小标宋_GBK"/>
          <w:color w:val="000000"/>
          <w:sz w:val="30"/>
        </w:rPr>
        <w:t>第一部分 部门整体绩效目标</w:t>
      </w:r>
    </w:p>
    <w:p>
      <w:pPr>
        <w:pStyle w:val="5"/>
        <w:tabs>
          <w:tab w:val="right" w:leader="dot" w:pos="928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一、总体绩效目标</w:t>
      </w:r>
      <w:r>
        <w:tab/>
      </w:r>
      <w:r>
        <w:fldChar w:fldCharType="begin"/>
      </w:r>
      <w:r>
        <w:instrText xml:space="preserve">PAGEREF _Toc_2_2_0000000001 \h</w:instrText>
      </w:r>
      <w:r>
        <w:fldChar w:fldCharType="separate"/>
      </w:r>
      <w:r>
        <w:t>2</w:t>
      </w:r>
      <w:r>
        <w:fldChar w:fldCharType="end"/>
      </w:r>
      <w:r>
        <w:fldChar w:fldCharType="end"/>
      </w:r>
    </w:p>
    <w:p>
      <w:pPr>
        <w:pStyle w:val="5"/>
        <w:tabs>
          <w:tab w:val="right" w:leader="dot" w:pos="9282"/>
        </w:tabs>
      </w:pPr>
      <w:r>
        <w:fldChar w:fldCharType="begin"/>
      </w:r>
      <w:r>
        <w:instrText xml:space="preserve"> HYPERLINK \l "_Toc_2_2_0000000002" </w:instrText>
      </w:r>
      <w:r>
        <w:fldChar w:fldCharType="separate"/>
      </w:r>
      <w:r>
        <w:t>二、分项绩效目标</w:t>
      </w:r>
      <w:r>
        <w:tab/>
      </w:r>
      <w:r>
        <w:fldChar w:fldCharType="begin"/>
      </w:r>
      <w:r>
        <w:instrText xml:space="preserve">PAGEREF _Toc_2_2_0000000002 \h</w:instrText>
      </w:r>
      <w:r>
        <w:fldChar w:fldCharType="separate"/>
      </w:r>
      <w:r>
        <w:t>2</w:t>
      </w:r>
      <w:r>
        <w:fldChar w:fldCharType="end"/>
      </w:r>
      <w:r>
        <w:fldChar w:fldCharType="end"/>
      </w:r>
    </w:p>
    <w:p>
      <w:pPr>
        <w:pStyle w:val="5"/>
        <w:tabs>
          <w:tab w:val="right" w:leader="dot" w:pos="9282"/>
        </w:tabs>
      </w:pPr>
      <w:r>
        <w:fldChar w:fldCharType="begin"/>
      </w:r>
      <w:r>
        <w:instrText xml:space="preserve"> HYPERLINK \l "_Toc_2_2_0000000003" </w:instrText>
      </w:r>
      <w:r>
        <w:fldChar w:fldCharType="separate"/>
      </w:r>
      <w:r>
        <w:t>三、工作保障措施</w:t>
      </w:r>
      <w:r>
        <w:tab/>
      </w:r>
      <w:r>
        <w:fldChar w:fldCharType="begin"/>
      </w:r>
      <w:r>
        <w:instrText xml:space="preserve">PAGEREF _Toc_2_2_0000000003 \h</w:instrText>
      </w:r>
      <w:r>
        <w:fldChar w:fldCharType="separate"/>
      </w:r>
      <w:r>
        <w:t>5</w:t>
      </w:r>
      <w:r>
        <w:fldChar w:fldCharType="end"/>
      </w:r>
      <w:r>
        <w:fldChar w:fldCharType="end"/>
      </w:r>
    </w:p>
    <w:p>
      <w:r>
        <w:fldChar w:fldCharType="end"/>
      </w:r>
    </w:p>
    <w:p>
      <w:pPr>
        <w:jc w:val="center"/>
      </w:pPr>
      <w:r>
        <w:rPr>
          <w:rFonts w:ascii="方正小标宋_GBK" w:hAnsi="方正小标宋_GBK" w:eastAsia="方正小标宋_GBK" w:cs="方正小标宋_GBK"/>
          <w:color w:val="000000"/>
          <w:sz w:val="30"/>
        </w:rPr>
        <w:t>第二部分 预算项目绩效目标</w:t>
      </w:r>
    </w:p>
    <w:p>
      <w:pPr>
        <w:pStyle w:val="5"/>
        <w:tabs>
          <w:tab w:val="right" w:leader="dot" w:pos="9282"/>
        </w:tabs>
      </w:pPr>
      <w:r>
        <w:fldChar w:fldCharType="begin"/>
      </w:r>
      <w:r>
        <w:instrText xml:space="preserve">TOC \o "4-4" \h \z \u</w:instrText>
      </w:r>
      <w:r>
        <w:fldChar w:fldCharType="separate"/>
      </w:r>
      <w:r>
        <w:fldChar w:fldCharType="begin"/>
      </w:r>
      <w:r>
        <w:instrText xml:space="preserve"> HYPERLINK \l "_Toc_4_4_0000000004" </w:instrText>
      </w:r>
      <w:r>
        <w:fldChar w:fldCharType="separate"/>
      </w:r>
      <w:r>
        <w:t>1.广播电视大学多媒体教学工作经费绩效目标表</w:t>
      </w:r>
      <w:r>
        <w:tab/>
      </w:r>
      <w:r>
        <w:rPr>
          <w:rFonts w:hint="eastAsia"/>
          <w:lang w:eastAsia="zh-CN"/>
        </w:rPr>
        <w:t>8</w:t>
      </w:r>
      <w:r>
        <w:rPr>
          <w:rFonts w:hint="eastAsia"/>
          <w:lang w:eastAsia="zh-CN"/>
        </w:rPr>
        <w:fldChar w:fldCharType="end"/>
      </w:r>
    </w:p>
    <w:p>
      <w:pPr>
        <w:rPr>
          <w:rFonts w:eastAsiaTheme="minorEastAsia"/>
          <w:lang w:eastAsia="zh-CN"/>
        </w:rPr>
        <w:sectPr>
          <w:pgSz w:w="11900" w:h="16840"/>
          <w:pgMar w:top="1984" w:right="1304" w:bottom="1134" w:left="1304" w:header="720" w:footer="720" w:gutter="0"/>
          <w:cols w:space="720" w:num="1"/>
          <w:titlePg/>
        </w:sectPr>
      </w:pPr>
      <w:r>
        <w:fldChar w:fldCharType="end"/>
      </w:r>
    </w:p>
    <w:p>
      <w:pPr>
        <w:jc w:val="center"/>
        <w:rPr>
          <w:rFonts w:ascii="方正小标宋_GBK" w:hAnsi="方正小标宋_GBK" w:eastAsia="方正小标宋_GBK" w:cs="方正小标宋_GBK"/>
          <w:color w:val="000000"/>
          <w:sz w:val="44"/>
          <w:lang w:eastAsia="zh-CN"/>
        </w:rPr>
      </w:pPr>
    </w:p>
    <w:p>
      <w:pPr>
        <w:jc w:val="center"/>
        <w:rPr>
          <w:rFonts w:ascii="方正小标宋_GBK" w:hAnsi="方正小标宋_GBK" w:eastAsia="方正小标宋_GBK" w:cs="方正小标宋_GBK"/>
          <w:color w:val="000000"/>
          <w:sz w:val="44"/>
          <w:lang w:eastAsia="zh-CN"/>
        </w:rPr>
      </w:pPr>
    </w:p>
    <w:p>
      <w:pPr>
        <w:jc w:val="center"/>
        <w:rPr>
          <w:rFonts w:ascii="方正小标宋_GBK" w:hAnsi="方正小标宋_GBK" w:eastAsia="方正小标宋_GBK" w:cs="方正小标宋_GBK"/>
          <w:color w:val="000000"/>
          <w:sz w:val="44"/>
          <w:lang w:eastAsia="zh-CN"/>
        </w:rPr>
      </w:pPr>
    </w:p>
    <w:p>
      <w:pPr>
        <w:jc w:val="center"/>
        <w:rPr>
          <w:rFonts w:ascii="方正小标宋_GBK" w:hAnsi="方正小标宋_GBK" w:eastAsia="方正小标宋_GBK" w:cs="方正小标宋_GBK"/>
          <w:color w:val="000000"/>
          <w:sz w:val="44"/>
          <w:lang w:eastAsia="zh-CN"/>
        </w:rPr>
      </w:pPr>
    </w:p>
    <w:p>
      <w:pPr>
        <w:rPr>
          <w:rFonts w:ascii="方正小标宋_GBK" w:hAnsi="方正小标宋_GBK" w:eastAsia="方正小标宋_GBK" w:cs="方正小标宋_GBK"/>
          <w:color w:val="000000"/>
          <w:sz w:val="44"/>
          <w:lang w:eastAsia="zh-CN"/>
        </w:rPr>
      </w:pPr>
    </w:p>
    <w:p>
      <w:pPr>
        <w:jc w:val="center"/>
      </w:pPr>
      <w:r>
        <w:rPr>
          <w:rFonts w:ascii="方正小标宋_GBK" w:hAnsi="方正小标宋_GBK" w:eastAsia="方正小标宋_GBK" w:cs="方正小标宋_GBK"/>
          <w:color w:val="000000"/>
          <w:sz w:val="44"/>
        </w:rPr>
        <w:t>第一部分</w:t>
      </w:r>
    </w:p>
    <w:p>
      <w:pPr>
        <w:jc w:val="center"/>
        <w:outlineLvl w:val="0"/>
        <w:rPr>
          <w:rFonts w:ascii="方正小标宋_GBK" w:hAnsi="方正小标宋_GBK" w:eastAsia="方正小标宋_GBK" w:cs="方正小标宋_GBK"/>
          <w:color w:val="000000"/>
          <w:sz w:val="44"/>
          <w:lang w:eastAsia="zh-CN"/>
        </w:rPr>
        <w:sectPr>
          <w:footerReference r:id="rId3" w:type="default"/>
          <w:footerReference r:id="rId4" w:type="even"/>
          <w:pgSz w:w="11900" w:h="16840"/>
          <w:pgMar w:top="1984" w:right="1304" w:bottom="1134" w:left="1304" w:header="720" w:footer="720" w:gutter="0"/>
          <w:pgNumType w:start="1"/>
          <w:cols w:space="720" w:num="1"/>
        </w:sectPr>
      </w:pPr>
      <w:r>
        <w:rPr>
          <w:rFonts w:ascii="方正小标宋_GBK" w:hAnsi="方正小标宋_GBK" w:eastAsia="方正小标宋_GBK" w:cs="方正小标宋_GBK"/>
          <w:color w:val="000000"/>
          <w:sz w:val="44"/>
        </w:rPr>
        <w:t>部门整体绩效目标</w:t>
      </w:r>
    </w:p>
    <w:p>
      <w:pPr>
        <w:outlineLvl w:val="0"/>
        <w:rPr>
          <w:rFonts w:eastAsiaTheme="minorEastAsia"/>
          <w:lang w:eastAsia="zh-CN"/>
        </w:rPr>
      </w:pPr>
    </w:p>
    <w:p>
      <w:pPr>
        <w:jc w:val="center"/>
      </w:pPr>
      <w:r>
        <w:rPr>
          <w:rFonts w:ascii="方正小标宋_GBK" w:hAnsi="方正小标宋_GBK" w:eastAsia="方正小标宋_GBK" w:cs="方正小标宋_GBK"/>
          <w:color w:val="000000"/>
          <w:sz w:val="44"/>
        </w:rPr>
        <w:t xml:space="preserve"> </w:t>
      </w:r>
    </w:p>
    <w:p>
      <w:pPr>
        <w:spacing w:before="10" w:after="10"/>
        <w:ind w:firstLine="560"/>
        <w:outlineLvl w:val="1"/>
      </w:pPr>
      <w:bookmarkStart w:id="0" w:name="_Toc_2_2_0000000001"/>
      <w:r>
        <w:rPr>
          <w:rFonts w:ascii="方正黑体_GBK" w:hAnsi="方正黑体_GBK" w:eastAsia="方正黑体_GBK" w:cs="方正黑体_GBK"/>
          <w:color w:val="000000"/>
          <w:sz w:val="28"/>
        </w:rPr>
        <w:t>一、总体绩效目标</w:t>
      </w:r>
      <w:bookmarkEnd w:id="0"/>
    </w:p>
    <w:p>
      <w:pPr>
        <w:tabs>
          <w:tab w:val="left" w:pos="1923"/>
        </w:tabs>
        <w:spacing w:line="560" w:lineRule="exact"/>
        <w:ind w:firstLine="640" w:firstLineChars="200"/>
        <w:rPr>
          <w:rFonts w:ascii="仿宋" w:hAnsi="仿宋" w:eastAsia="仿宋" w:cs="方正仿宋_GBK"/>
          <w:sz w:val="32"/>
          <w:szCs w:val="32"/>
          <w:lang w:eastAsia="zh-CN"/>
        </w:rPr>
      </w:pPr>
      <w:r>
        <w:rPr>
          <w:rFonts w:hint="eastAsia" w:ascii="仿宋" w:hAnsi="仿宋" w:eastAsia="仿宋" w:cs="方正仿宋_GBK"/>
          <w:sz w:val="32"/>
          <w:szCs w:val="32"/>
        </w:rPr>
        <w:t>继续坚持“三个围绕”办学思路，树立“教学招生、形象招生、服务招生”的新理念，积极拓宽办学思路</w:t>
      </w:r>
      <w:r>
        <w:rPr>
          <w:rFonts w:ascii="仿宋" w:hAnsi="仿宋" w:eastAsia="仿宋" w:cs="方正仿宋_GBK"/>
          <w:sz w:val="32"/>
          <w:szCs w:val="32"/>
        </w:rPr>
        <w:t>,</w:t>
      </w:r>
      <w:r>
        <w:rPr>
          <w:rFonts w:hint="eastAsia" w:ascii="仿宋" w:hAnsi="仿宋" w:eastAsia="仿宋" w:cs="方正仿宋_GBK"/>
          <w:sz w:val="32"/>
          <w:szCs w:val="32"/>
        </w:rPr>
        <w:t>加大宣传力度，广泛挖掘生源，促进学校可持续发展。坚持以人为本，深化教学改革，提升人才培养质量。以学生为本，不断提高管理服务水平”的总体目标，牢牢把握“管理就是服务”理念，逐步提升办学实力和办学水平，主动适应电大向开放大学的战略转型升级。加强作风建设，转变工作观念和工作作风，促进工作效率提高。以端正校风、教风、学风为重点，坚持不懈抓作风建设，组织开展各类教学评比和研讨交流活动，常态化的开展教学大比武、大练兵活动，提高教师教学水平，全方位打造一支高素质的教师队伍。努力增加投入，加强硬件设施建设，确保教育教学需求。把教学支持服务体系建设和完善放在了重要位置，坚持长远规划和实际需要相结合，严格财务制度，力求勤俭办事。以实用、适用为原则，不断筹措资金，优化校园网络建设，打造一流的信息化教学平台。</w:t>
      </w:r>
    </w:p>
    <w:p>
      <w:pPr>
        <w:spacing w:before="10" w:after="10"/>
        <w:ind w:firstLine="560"/>
        <w:outlineLvl w:val="1"/>
      </w:pPr>
      <w:bookmarkStart w:id="1" w:name="_Toc_2_2_0000000002"/>
      <w:r>
        <w:rPr>
          <w:rFonts w:ascii="方正黑体_GBK" w:hAnsi="方正黑体_GBK" w:eastAsia="方正黑体_GBK" w:cs="方正黑体_GBK"/>
          <w:color w:val="000000"/>
          <w:sz w:val="28"/>
        </w:rPr>
        <w:t>二、分项绩效目标</w:t>
      </w:r>
      <w:bookmarkEnd w:id="1"/>
    </w:p>
    <w:p>
      <w:pPr>
        <w:spacing w:line="570" w:lineRule="exact"/>
        <w:ind w:left="540"/>
        <w:rPr>
          <w:rFonts w:ascii="仿宋" w:hAnsi="仿宋" w:eastAsia="仿宋"/>
          <w:sz w:val="32"/>
          <w:szCs w:val="32"/>
        </w:rPr>
      </w:pPr>
      <w:r>
        <w:rPr>
          <w:rFonts w:hint="eastAsia" w:ascii="仿宋" w:hAnsi="仿宋" w:eastAsia="仿宋"/>
          <w:sz w:val="32"/>
          <w:szCs w:val="32"/>
        </w:rPr>
        <w:t>（一）做好202</w:t>
      </w:r>
      <w:r>
        <w:rPr>
          <w:rFonts w:hint="eastAsia" w:ascii="仿宋" w:hAnsi="仿宋" w:eastAsia="仿宋"/>
          <w:sz w:val="32"/>
          <w:szCs w:val="32"/>
          <w:lang w:eastAsia="zh-CN"/>
        </w:rPr>
        <w:t>2</w:t>
      </w:r>
      <w:r>
        <w:rPr>
          <w:rFonts w:hint="eastAsia" w:ascii="仿宋" w:hAnsi="仿宋" w:eastAsia="仿宋"/>
          <w:sz w:val="32"/>
          <w:szCs w:val="32"/>
        </w:rPr>
        <w:t>年电大综合业务管理和综合事务管理。</w:t>
      </w:r>
    </w:p>
    <w:p>
      <w:pPr>
        <w:spacing w:line="570" w:lineRule="exact"/>
        <w:ind w:left="630"/>
        <w:rPr>
          <w:rFonts w:ascii="仿宋" w:hAnsi="仿宋" w:eastAsia="仿宋"/>
          <w:b/>
          <w:bCs/>
          <w:sz w:val="32"/>
          <w:szCs w:val="32"/>
        </w:rPr>
      </w:pPr>
      <w:r>
        <w:rPr>
          <w:rFonts w:hint="eastAsia" w:ascii="仿宋" w:hAnsi="仿宋" w:eastAsia="仿宋"/>
          <w:bCs/>
          <w:sz w:val="32"/>
          <w:szCs w:val="32"/>
        </w:rPr>
        <w:t>绩效目标：发挥好协调职能，确保电大各项工作平稳较快发展。</w:t>
      </w:r>
    </w:p>
    <w:p>
      <w:pPr>
        <w:spacing w:line="570" w:lineRule="exact"/>
        <w:ind w:firstLine="640" w:firstLineChars="200"/>
        <w:rPr>
          <w:rFonts w:ascii="仿宋" w:hAnsi="仿宋" w:eastAsia="仿宋"/>
          <w:bCs/>
          <w:sz w:val="32"/>
          <w:szCs w:val="32"/>
        </w:rPr>
      </w:pPr>
      <w:r>
        <w:rPr>
          <w:rFonts w:hint="eastAsia" w:ascii="仿宋" w:hAnsi="仿宋" w:eastAsia="仿宋"/>
          <w:bCs/>
          <w:sz w:val="32"/>
          <w:szCs w:val="32"/>
        </w:rPr>
        <w:t>绩效指标：以调查问卷方式及各处室评分方式确定各项工作是否顺利完成全年工作任务。</w:t>
      </w:r>
    </w:p>
    <w:p>
      <w:pPr>
        <w:spacing w:line="570" w:lineRule="exact"/>
        <w:ind w:firstLine="643" w:firstLineChars="200"/>
        <w:rPr>
          <w:rFonts w:ascii="仿宋" w:hAnsi="仿宋" w:eastAsia="仿宋" w:cs="宋体"/>
          <w:color w:val="333333"/>
          <w:sz w:val="32"/>
          <w:szCs w:val="32"/>
        </w:rPr>
      </w:pPr>
      <w:r>
        <w:rPr>
          <w:rFonts w:hint="eastAsia" w:ascii="仿宋" w:hAnsi="仿宋" w:eastAsia="仿宋" w:cs="宋体"/>
          <w:b/>
          <w:color w:val="333333"/>
          <w:sz w:val="32"/>
          <w:szCs w:val="32"/>
        </w:rPr>
        <w:t>绩效</w:t>
      </w:r>
      <w:r>
        <w:rPr>
          <w:rFonts w:hint="eastAsia" w:ascii="仿宋" w:hAnsi="仿宋" w:eastAsia="仿宋" w:cs="宋体"/>
          <w:color w:val="333333"/>
          <w:sz w:val="32"/>
          <w:szCs w:val="32"/>
        </w:rPr>
        <w:t>指标满分20分。该项指标主要考核电大各项工作是否顺利完成，各处室衔接性如何，对外同级政府单位是否满意，通过调查问卷和各处室评分为标准，非常圆满的完成各项工作且衔接合理为20分，圆满完成各项工作为20-16分，一般完成各项工作为16-12分，未能完成年度工作为12-0分。</w:t>
      </w:r>
    </w:p>
    <w:p>
      <w:pPr>
        <w:spacing w:line="570" w:lineRule="exact"/>
        <w:ind w:firstLine="630"/>
        <w:rPr>
          <w:rFonts w:ascii="仿宋" w:hAnsi="仿宋" w:eastAsia="仿宋"/>
          <w:bCs/>
          <w:sz w:val="32"/>
          <w:szCs w:val="32"/>
        </w:rPr>
      </w:pPr>
      <w:r>
        <w:rPr>
          <w:rFonts w:hint="eastAsia" w:ascii="仿宋" w:hAnsi="仿宋" w:eastAsia="仿宋"/>
          <w:bCs/>
          <w:sz w:val="32"/>
          <w:szCs w:val="32"/>
        </w:rPr>
        <w:t>（二）</w:t>
      </w:r>
      <w:r>
        <w:rPr>
          <w:rFonts w:hint="eastAsia" w:ascii="仿宋" w:hAnsi="仿宋" w:eastAsia="仿宋" w:cs="方正楷体简体"/>
          <w:bCs/>
          <w:color w:val="000000"/>
          <w:sz w:val="32"/>
          <w:szCs w:val="32"/>
        </w:rPr>
        <w:t>推进招生工作，为实现电大持续高质量发展提供强有力支撑。</w:t>
      </w:r>
    </w:p>
    <w:p>
      <w:pPr>
        <w:spacing w:line="570" w:lineRule="exact"/>
        <w:ind w:firstLine="630"/>
        <w:rPr>
          <w:rFonts w:ascii="仿宋" w:hAnsi="仿宋" w:eastAsia="仿宋"/>
          <w:bCs/>
          <w:sz w:val="32"/>
          <w:szCs w:val="32"/>
        </w:rPr>
      </w:pPr>
      <w:r>
        <w:rPr>
          <w:rFonts w:hint="eastAsia" w:ascii="仿宋" w:hAnsi="仿宋" w:eastAsia="仿宋"/>
          <w:bCs/>
          <w:sz w:val="32"/>
          <w:szCs w:val="32"/>
        </w:rPr>
        <w:t>绩效目标：加大招生工作宣传，实现</w:t>
      </w:r>
      <w:r>
        <w:rPr>
          <w:rFonts w:hint="eastAsia" w:ascii="仿宋" w:hAnsi="仿宋" w:eastAsia="仿宋" w:cs="方正仿宋_GBK"/>
          <w:sz w:val="32"/>
          <w:szCs w:val="32"/>
        </w:rPr>
        <w:t>积极拓宽办学思路</w:t>
      </w:r>
      <w:r>
        <w:rPr>
          <w:rFonts w:ascii="仿宋" w:hAnsi="仿宋" w:eastAsia="仿宋" w:cs="方正仿宋_GBK"/>
          <w:sz w:val="32"/>
          <w:szCs w:val="32"/>
        </w:rPr>
        <w:t>,</w:t>
      </w:r>
      <w:r>
        <w:rPr>
          <w:rFonts w:hint="eastAsia" w:ascii="仿宋" w:hAnsi="仿宋" w:eastAsia="仿宋" w:cs="方正仿宋_GBK"/>
          <w:sz w:val="32"/>
          <w:szCs w:val="32"/>
        </w:rPr>
        <w:t>加大宣传力度，广泛挖掘生源</w:t>
      </w:r>
      <w:r>
        <w:rPr>
          <w:rFonts w:hint="eastAsia" w:ascii="仿宋" w:hAnsi="仿宋" w:eastAsia="仿宋"/>
          <w:bCs/>
          <w:sz w:val="32"/>
          <w:szCs w:val="32"/>
        </w:rPr>
        <w:t>的发展格局。</w:t>
      </w:r>
    </w:p>
    <w:p>
      <w:pPr>
        <w:spacing w:line="570" w:lineRule="exact"/>
        <w:ind w:firstLine="630"/>
        <w:rPr>
          <w:rFonts w:ascii="仿宋" w:hAnsi="仿宋" w:eastAsia="仿宋"/>
          <w:bCs/>
          <w:sz w:val="32"/>
          <w:szCs w:val="32"/>
        </w:rPr>
      </w:pPr>
      <w:r>
        <w:rPr>
          <w:rFonts w:hint="eastAsia" w:ascii="仿宋" w:hAnsi="仿宋" w:eastAsia="仿宋"/>
          <w:bCs/>
          <w:sz w:val="32"/>
          <w:szCs w:val="32"/>
        </w:rPr>
        <w:t>绩效指标：确保各项招生宣传及服务工作的顺利开展，争取完成全年招生任务。</w:t>
      </w:r>
    </w:p>
    <w:p>
      <w:pPr>
        <w:spacing w:line="570" w:lineRule="exact"/>
        <w:ind w:firstLine="643" w:firstLineChars="200"/>
        <w:rPr>
          <w:rFonts w:ascii="仿宋" w:hAnsi="仿宋" w:eastAsia="仿宋" w:cs="宋体"/>
          <w:color w:val="333333"/>
          <w:sz w:val="32"/>
          <w:szCs w:val="32"/>
        </w:rPr>
      </w:pPr>
      <w:r>
        <w:rPr>
          <w:rFonts w:hint="eastAsia" w:ascii="仿宋" w:hAnsi="仿宋" w:eastAsia="仿宋" w:cs="宋体"/>
          <w:b/>
          <w:color w:val="333333"/>
          <w:sz w:val="32"/>
          <w:szCs w:val="32"/>
        </w:rPr>
        <w:t>绩效</w:t>
      </w:r>
      <w:r>
        <w:rPr>
          <w:rFonts w:hint="eastAsia" w:ascii="仿宋" w:hAnsi="仿宋" w:eastAsia="仿宋" w:cs="宋体"/>
          <w:color w:val="333333"/>
          <w:sz w:val="32"/>
          <w:szCs w:val="32"/>
        </w:rPr>
        <w:t>指标满分20分。该项指标主要考核电大各项招生工作是否顺利完成，各招生处室是否完成年初目标，报名学员或家长是否对招生服务工作满意，通过调查问卷和新学员评分为标准，超额完成招生工作且学员评价较高为20分，圆满完成年初招生工作且学员评价满意为20-16分，未完成年初招生工作或学员评价为一般的为16-12分，两方面都不能满足的工作为12-0分。</w:t>
      </w:r>
    </w:p>
    <w:p>
      <w:pPr>
        <w:spacing w:line="570" w:lineRule="exact"/>
        <w:ind w:firstLine="630"/>
        <w:rPr>
          <w:rFonts w:ascii="仿宋" w:hAnsi="仿宋" w:eastAsia="仿宋"/>
          <w:bCs/>
          <w:sz w:val="32"/>
          <w:szCs w:val="32"/>
        </w:rPr>
      </w:pPr>
      <w:r>
        <w:rPr>
          <w:rFonts w:hint="eastAsia" w:ascii="仿宋" w:hAnsi="仿宋" w:eastAsia="仿宋"/>
          <w:bCs/>
          <w:sz w:val="32"/>
          <w:szCs w:val="32"/>
        </w:rPr>
        <w:t>（三）</w:t>
      </w:r>
      <w:r>
        <w:rPr>
          <w:rFonts w:hint="eastAsia" w:ascii="仿宋" w:hAnsi="仿宋" w:eastAsia="仿宋" w:cs="方正楷体简体"/>
          <w:bCs/>
          <w:color w:val="000000"/>
          <w:sz w:val="32"/>
          <w:szCs w:val="32"/>
        </w:rPr>
        <w:t>推进教学工作，为打造电大持续高素质教师队伍提供强有力保障。</w:t>
      </w:r>
    </w:p>
    <w:p>
      <w:pPr>
        <w:spacing w:line="570" w:lineRule="exact"/>
        <w:ind w:firstLine="630"/>
        <w:rPr>
          <w:rFonts w:ascii="仿宋" w:hAnsi="仿宋" w:eastAsia="仿宋"/>
          <w:bCs/>
          <w:color w:val="000000"/>
          <w:sz w:val="32"/>
          <w:szCs w:val="32"/>
        </w:rPr>
      </w:pPr>
      <w:r>
        <w:rPr>
          <w:rFonts w:hint="eastAsia" w:ascii="仿宋" w:hAnsi="仿宋" w:eastAsia="仿宋"/>
          <w:bCs/>
          <w:sz w:val="32"/>
          <w:szCs w:val="32"/>
        </w:rPr>
        <w:t>绩效目标：</w:t>
      </w:r>
      <w:r>
        <w:rPr>
          <w:rFonts w:hint="eastAsia" w:ascii="仿宋" w:hAnsi="仿宋" w:eastAsia="仿宋" w:cs="方正仿宋_GBK"/>
          <w:sz w:val="32"/>
          <w:szCs w:val="32"/>
        </w:rPr>
        <w:t>以端正校风、教风、学风为重点，坚持不懈抓作风建设，组织开展各类教学评比和研讨交流活动，常态化的开展教学大比武、大练兵活动，提高教师教学水平，全方位打造一支高素质的教师队伍。</w:t>
      </w:r>
    </w:p>
    <w:p>
      <w:pPr>
        <w:spacing w:line="570" w:lineRule="exact"/>
        <w:ind w:firstLine="630"/>
        <w:rPr>
          <w:rFonts w:ascii="仿宋" w:hAnsi="仿宋" w:eastAsia="仿宋"/>
          <w:bCs/>
          <w:sz w:val="32"/>
          <w:szCs w:val="32"/>
        </w:rPr>
      </w:pPr>
      <w:r>
        <w:rPr>
          <w:rFonts w:hint="eastAsia" w:ascii="仿宋" w:hAnsi="仿宋" w:eastAsia="仿宋"/>
          <w:bCs/>
          <w:sz w:val="32"/>
          <w:szCs w:val="32"/>
        </w:rPr>
        <w:t>绩效指标：确保各项教学大比武、大练兵活动的顺利开展，以提高教师教学水平，打造高素质教师为最终任务。</w:t>
      </w:r>
    </w:p>
    <w:p>
      <w:pPr>
        <w:spacing w:line="570" w:lineRule="exact"/>
        <w:ind w:firstLine="643" w:firstLineChars="200"/>
        <w:rPr>
          <w:rFonts w:ascii="仿宋" w:hAnsi="仿宋" w:eastAsia="仿宋" w:cs="宋体"/>
          <w:color w:val="333333"/>
          <w:sz w:val="32"/>
          <w:szCs w:val="32"/>
        </w:rPr>
      </w:pPr>
      <w:r>
        <w:rPr>
          <w:rFonts w:hint="eastAsia" w:ascii="仿宋" w:hAnsi="仿宋" w:eastAsia="仿宋" w:cs="宋体"/>
          <w:b/>
          <w:color w:val="333333"/>
          <w:sz w:val="32"/>
          <w:szCs w:val="32"/>
        </w:rPr>
        <w:t>绩效</w:t>
      </w:r>
      <w:r>
        <w:rPr>
          <w:rFonts w:hint="eastAsia" w:ascii="仿宋" w:hAnsi="仿宋" w:eastAsia="仿宋" w:cs="宋体"/>
          <w:color w:val="333333"/>
          <w:sz w:val="32"/>
          <w:szCs w:val="32"/>
        </w:rPr>
        <w:t>指标满分20分。该项指标主要考核电大教师的教学水和素质，通过举行各项教学活动中领导、教师和学员评分为标准，对各项教学活动及教学评价非常满意为20分，对各项教学活动及教学评价满意为20-16分，对各项教学活动及教学评价为一般的为16-12分，对各项教学活动及教学评价为不合格或者存在较大漏洞的为12-0分。</w:t>
      </w:r>
    </w:p>
    <w:p>
      <w:pPr>
        <w:adjustRightInd w:val="0"/>
        <w:snapToGrid w:val="0"/>
        <w:spacing w:line="570" w:lineRule="exact"/>
        <w:ind w:firstLine="627" w:firstLineChars="196"/>
        <w:rPr>
          <w:rFonts w:ascii="仿宋" w:hAnsi="仿宋" w:eastAsia="仿宋"/>
          <w:bCs/>
          <w:sz w:val="32"/>
          <w:szCs w:val="32"/>
        </w:rPr>
      </w:pPr>
      <w:r>
        <w:rPr>
          <w:rFonts w:hint="eastAsia" w:ascii="仿宋" w:hAnsi="仿宋" w:eastAsia="仿宋"/>
          <w:bCs/>
          <w:sz w:val="32"/>
          <w:szCs w:val="32"/>
        </w:rPr>
        <w:t>（四）</w:t>
      </w:r>
      <w:r>
        <w:rPr>
          <w:rFonts w:hint="eastAsia" w:ascii="仿宋" w:hAnsi="仿宋" w:eastAsia="仿宋" w:cs="方正仿宋_GBK"/>
          <w:sz w:val="32"/>
          <w:szCs w:val="32"/>
        </w:rPr>
        <w:t>加强硬件设施建设，确保教育教学需求。</w:t>
      </w:r>
    </w:p>
    <w:p>
      <w:pPr>
        <w:spacing w:line="570" w:lineRule="exact"/>
        <w:ind w:left="547" w:leftChars="228" w:firstLine="144" w:firstLineChars="45"/>
        <w:rPr>
          <w:rFonts w:ascii="仿宋" w:hAnsi="仿宋" w:eastAsia="仿宋" w:cs="方正仿宋_GBK"/>
          <w:sz w:val="32"/>
          <w:szCs w:val="32"/>
        </w:rPr>
      </w:pPr>
      <w:r>
        <w:rPr>
          <w:rFonts w:hint="eastAsia" w:ascii="仿宋" w:hAnsi="仿宋" w:eastAsia="仿宋"/>
          <w:bCs/>
          <w:sz w:val="32"/>
          <w:szCs w:val="32"/>
        </w:rPr>
        <w:t>绩效目标：</w:t>
      </w:r>
      <w:r>
        <w:rPr>
          <w:rFonts w:hint="eastAsia" w:ascii="仿宋" w:hAnsi="仿宋" w:eastAsia="仿宋" w:cs="方正仿宋_GBK"/>
          <w:sz w:val="32"/>
          <w:szCs w:val="32"/>
        </w:rPr>
        <w:t>努力增加投入，加强硬件设施建设，确保教育教学需求。</w:t>
      </w:r>
    </w:p>
    <w:p>
      <w:pPr>
        <w:spacing w:line="570" w:lineRule="exact"/>
        <w:ind w:left="547" w:leftChars="228" w:firstLine="144" w:firstLineChars="45"/>
        <w:rPr>
          <w:rFonts w:ascii="仿宋" w:hAnsi="仿宋" w:eastAsia="仿宋" w:cs="方正仿宋_GBK"/>
          <w:sz w:val="32"/>
          <w:szCs w:val="32"/>
        </w:rPr>
      </w:pPr>
      <w:r>
        <w:rPr>
          <w:rFonts w:hint="eastAsia" w:ascii="仿宋" w:hAnsi="仿宋" w:eastAsia="仿宋"/>
          <w:bCs/>
          <w:sz w:val="32"/>
          <w:szCs w:val="32"/>
        </w:rPr>
        <w:t>绩效指标：</w:t>
      </w:r>
      <w:r>
        <w:rPr>
          <w:rFonts w:hint="eastAsia" w:ascii="仿宋" w:hAnsi="仿宋" w:eastAsia="仿宋" w:cs="方正仿宋_GBK"/>
          <w:sz w:val="32"/>
          <w:szCs w:val="32"/>
        </w:rPr>
        <w:t>积极争取资金，加强硬件设施建设，更新软件，确保教学、考试、各项办公需求。</w:t>
      </w:r>
    </w:p>
    <w:p>
      <w:pPr>
        <w:spacing w:line="570" w:lineRule="exact"/>
        <w:ind w:firstLine="643" w:firstLineChars="200"/>
        <w:rPr>
          <w:rFonts w:ascii="仿宋" w:hAnsi="仿宋" w:eastAsia="仿宋" w:cs="宋体"/>
          <w:color w:val="333333"/>
          <w:sz w:val="32"/>
          <w:szCs w:val="32"/>
        </w:rPr>
      </w:pPr>
      <w:r>
        <w:rPr>
          <w:rFonts w:hint="eastAsia" w:ascii="仿宋" w:hAnsi="仿宋" w:eastAsia="仿宋" w:cs="宋体"/>
          <w:b/>
          <w:color w:val="333333"/>
          <w:sz w:val="32"/>
          <w:szCs w:val="32"/>
        </w:rPr>
        <w:t>绩效</w:t>
      </w:r>
      <w:r>
        <w:rPr>
          <w:rFonts w:hint="eastAsia" w:ascii="仿宋" w:hAnsi="仿宋" w:eastAsia="仿宋" w:cs="宋体"/>
          <w:color w:val="333333"/>
          <w:sz w:val="32"/>
          <w:szCs w:val="32"/>
        </w:rPr>
        <w:t>指标满分20分。该项指标主要考核电大软硬件的配备，通过领导、教师和学员评分为标准，对办公、教学、考试等各项应用中对软硬件的满意程度为标准，非常满意为20分，满意为20-16分，一般的为16-12分，对软硬件不满意或者不能满足各项工作顺利开展的为12-0分。</w:t>
      </w:r>
    </w:p>
    <w:p>
      <w:pPr>
        <w:spacing w:line="570" w:lineRule="exact"/>
        <w:ind w:firstLine="640" w:firstLineChars="200"/>
        <w:rPr>
          <w:rFonts w:ascii="仿宋" w:hAnsi="仿宋" w:eastAsia="仿宋" w:cs="方正仿宋_GBK"/>
          <w:sz w:val="32"/>
          <w:szCs w:val="32"/>
        </w:rPr>
      </w:pPr>
      <w:r>
        <w:rPr>
          <w:rFonts w:hint="eastAsia" w:ascii="仿宋" w:hAnsi="仿宋" w:eastAsia="仿宋" w:cs="方正仿宋_GBK"/>
          <w:sz w:val="32"/>
          <w:szCs w:val="32"/>
        </w:rPr>
        <w:t>（五）严格财务制度，力求勤俭办事。</w:t>
      </w:r>
    </w:p>
    <w:p>
      <w:pPr>
        <w:spacing w:line="570" w:lineRule="exact"/>
        <w:ind w:firstLine="640" w:firstLineChars="200"/>
        <w:rPr>
          <w:rFonts w:ascii="仿宋" w:hAnsi="仿宋" w:eastAsia="仿宋" w:cs="方正仿宋_GBK"/>
          <w:sz w:val="32"/>
          <w:szCs w:val="32"/>
        </w:rPr>
      </w:pPr>
      <w:r>
        <w:rPr>
          <w:rFonts w:hint="eastAsia" w:ascii="仿宋" w:hAnsi="仿宋" w:eastAsia="仿宋" w:cs="方正仿宋_GBK"/>
          <w:sz w:val="32"/>
          <w:szCs w:val="32"/>
        </w:rPr>
        <w:t>绩效目标：坚持长远规划和实际需要相结合，严格财务制度，力求勤俭办事。</w:t>
      </w:r>
    </w:p>
    <w:p>
      <w:pPr>
        <w:spacing w:line="570" w:lineRule="exact"/>
        <w:ind w:firstLine="640" w:firstLineChars="200"/>
        <w:rPr>
          <w:rFonts w:ascii="仿宋" w:hAnsi="仿宋" w:eastAsia="仿宋" w:cs="方正仿宋_GBK"/>
          <w:sz w:val="32"/>
          <w:szCs w:val="32"/>
        </w:rPr>
      </w:pPr>
      <w:r>
        <w:rPr>
          <w:rFonts w:hint="eastAsia" w:ascii="仿宋" w:hAnsi="仿宋" w:eastAsia="仿宋" w:cs="方正仿宋_GBK"/>
          <w:sz w:val="32"/>
          <w:szCs w:val="32"/>
        </w:rPr>
        <w:t>绩效指标：严肃财经纪律，强化财务管理，认真配合监督和内控，发扬艰苦奋斗、勤俭节约的作风。</w:t>
      </w:r>
    </w:p>
    <w:p>
      <w:pPr>
        <w:spacing w:line="570" w:lineRule="exact"/>
        <w:ind w:firstLine="643" w:firstLineChars="200"/>
        <w:rPr>
          <w:rFonts w:ascii="仿宋" w:hAnsi="仿宋" w:eastAsia="仿宋" w:cs="宋体"/>
          <w:color w:val="333333"/>
          <w:sz w:val="32"/>
          <w:szCs w:val="32"/>
        </w:rPr>
      </w:pPr>
      <w:r>
        <w:rPr>
          <w:rFonts w:hint="eastAsia" w:ascii="仿宋" w:hAnsi="仿宋" w:eastAsia="仿宋" w:cs="宋体"/>
          <w:b/>
          <w:color w:val="333333"/>
          <w:sz w:val="32"/>
          <w:szCs w:val="32"/>
        </w:rPr>
        <w:t>绩效</w:t>
      </w:r>
      <w:r>
        <w:rPr>
          <w:rFonts w:hint="eastAsia" w:ascii="仿宋" w:hAnsi="仿宋" w:eastAsia="仿宋" w:cs="宋体"/>
          <w:color w:val="333333"/>
          <w:sz w:val="32"/>
          <w:szCs w:val="32"/>
        </w:rPr>
        <w:t>指标满分10分。该项指标主要考核电大财务管理及资金运行情况，通过监督和内控以资金运用是否合规合理为标准，另外考核年初预算是否满足年度资金需求，年度预算正好满足且资金运用合规且合理为10分，年度预算不满足但资金运用合规且合理为10-8分，年度预算满足、资金运用合规但不合理为8-6分，对双方都不满足的为6-0分。</w:t>
      </w:r>
    </w:p>
    <w:p>
      <w:pPr>
        <w:tabs>
          <w:tab w:val="left" w:pos="1923"/>
        </w:tabs>
        <w:spacing w:line="560" w:lineRule="exact"/>
        <w:ind w:firstLine="640" w:firstLineChars="200"/>
        <w:rPr>
          <w:rFonts w:ascii="仿宋" w:hAnsi="仿宋" w:eastAsia="仿宋" w:cs="方正仿宋_GBK"/>
          <w:sz w:val="32"/>
          <w:szCs w:val="32"/>
        </w:rPr>
      </w:pPr>
      <w:r>
        <w:rPr>
          <w:rFonts w:hint="eastAsia" w:ascii="仿宋" w:hAnsi="仿宋" w:eastAsia="仿宋" w:cs="方正仿宋_GBK"/>
          <w:sz w:val="32"/>
          <w:szCs w:val="32"/>
        </w:rPr>
        <w:t>（六）优化网络建设，打造一流的信息化平台。</w:t>
      </w:r>
    </w:p>
    <w:p>
      <w:pPr>
        <w:tabs>
          <w:tab w:val="left" w:pos="1923"/>
        </w:tabs>
        <w:spacing w:line="560" w:lineRule="exact"/>
        <w:ind w:firstLine="640" w:firstLineChars="200"/>
        <w:rPr>
          <w:rFonts w:ascii="仿宋" w:hAnsi="仿宋" w:eastAsia="仿宋" w:cs="方正仿宋_GBK"/>
          <w:sz w:val="32"/>
          <w:szCs w:val="32"/>
        </w:rPr>
      </w:pPr>
      <w:r>
        <w:rPr>
          <w:rFonts w:hint="eastAsia" w:ascii="仿宋" w:hAnsi="仿宋" w:eastAsia="仿宋" w:cs="方正仿宋_GBK"/>
          <w:sz w:val="32"/>
          <w:szCs w:val="32"/>
        </w:rPr>
        <w:t>绩效目标：不断筹措资金，优化校园网络建设，打造一流的信息化教学平台。</w:t>
      </w:r>
    </w:p>
    <w:p>
      <w:pPr>
        <w:tabs>
          <w:tab w:val="left" w:pos="1923"/>
        </w:tabs>
        <w:spacing w:line="560" w:lineRule="exact"/>
        <w:ind w:firstLine="640" w:firstLineChars="200"/>
        <w:rPr>
          <w:rFonts w:ascii="仿宋" w:hAnsi="仿宋" w:eastAsia="仿宋" w:cs="方正仿宋_GBK"/>
          <w:sz w:val="32"/>
          <w:szCs w:val="32"/>
        </w:rPr>
      </w:pPr>
      <w:r>
        <w:rPr>
          <w:rFonts w:hint="eastAsia" w:ascii="仿宋" w:hAnsi="仿宋" w:eastAsia="仿宋" w:cs="方正仿宋_GBK"/>
          <w:sz w:val="32"/>
          <w:szCs w:val="32"/>
        </w:rPr>
        <w:t>绩效指标：不断投入资金，确保我校网络高速运行及其维护，以确保各项信息化工作顺利开展，高效率完成教学、考试、办公、招生等各项工作。</w:t>
      </w:r>
    </w:p>
    <w:p>
      <w:pPr>
        <w:spacing w:line="570" w:lineRule="exact"/>
        <w:ind w:firstLine="643" w:firstLineChars="200"/>
        <w:rPr>
          <w:rFonts w:ascii="仿宋" w:hAnsi="仿宋" w:eastAsia="仿宋" w:cs="宋体"/>
          <w:color w:val="333333"/>
          <w:sz w:val="32"/>
          <w:szCs w:val="32"/>
          <w:lang w:eastAsia="zh-CN"/>
        </w:rPr>
      </w:pPr>
      <w:r>
        <w:rPr>
          <w:rFonts w:hint="eastAsia" w:ascii="仿宋" w:hAnsi="仿宋" w:eastAsia="仿宋" w:cs="宋体"/>
          <w:b/>
          <w:color w:val="333333"/>
          <w:sz w:val="32"/>
          <w:szCs w:val="32"/>
        </w:rPr>
        <w:t>绩效</w:t>
      </w:r>
      <w:r>
        <w:rPr>
          <w:rFonts w:hint="eastAsia" w:ascii="仿宋" w:hAnsi="仿宋" w:eastAsia="仿宋" w:cs="宋体"/>
          <w:color w:val="333333"/>
          <w:sz w:val="32"/>
          <w:szCs w:val="32"/>
        </w:rPr>
        <w:t>指标满分10分。该项指标主要考核网络运行及其维护情况，通过调查问卷为标准，以领导、教师、学员、及对外联系单位的评价为标准，非常满意为10分，满意为10-8分，一般为8-6分，不满意的为6-0分</w:t>
      </w:r>
      <w:r>
        <w:rPr>
          <w:rFonts w:hint="eastAsia" w:ascii="仿宋" w:hAnsi="仿宋" w:eastAsia="仿宋" w:cs="宋体"/>
          <w:color w:val="333333"/>
          <w:sz w:val="32"/>
          <w:szCs w:val="32"/>
          <w:lang w:eastAsia="zh-CN"/>
        </w:rPr>
        <w:t>。</w:t>
      </w:r>
    </w:p>
    <w:p>
      <w:pPr>
        <w:spacing w:before="10" w:after="10"/>
        <w:ind w:firstLine="560"/>
        <w:outlineLvl w:val="1"/>
      </w:pPr>
      <w:bookmarkStart w:id="2" w:name="_Toc_2_2_0000000003"/>
      <w:r>
        <w:rPr>
          <w:rFonts w:ascii="方正黑体_GBK" w:hAnsi="方正黑体_GBK" w:eastAsia="方正黑体_GBK" w:cs="方正黑体_GBK"/>
          <w:color w:val="000000"/>
          <w:sz w:val="28"/>
        </w:rPr>
        <w:t>三、工作保障措施</w:t>
      </w:r>
      <w:bookmarkEnd w:id="2"/>
    </w:p>
    <w:p>
      <w:pPr>
        <w:pBdr>
          <w:top w:val="none" w:color="000000" w:sz="0" w:space="0"/>
          <w:left w:val="none" w:color="000000" w:sz="0" w:space="0"/>
          <w:bottom w:val="none" w:color="000000" w:sz="0" w:space="23"/>
          <w:right w:val="none" w:color="000000" w:sz="0" w:space="0"/>
        </w:pBdr>
        <w:tabs>
          <w:tab w:val="left" w:pos="0"/>
        </w:tabs>
        <w:adjustRightInd w:val="0"/>
        <w:snapToGrid w:val="0"/>
        <w:spacing w:line="560" w:lineRule="exact"/>
        <w:ind w:firstLine="800" w:firstLineChars="250"/>
        <w:rPr>
          <w:rFonts w:ascii="仿宋_GB2312" w:hAnsi="仿宋_GB2312" w:eastAsia="仿宋_GB2312" w:cs="仿宋_GB2312"/>
          <w:sz w:val="32"/>
          <w:szCs w:val="32"/>
        </w:rPr>
      </w:pPr>
      <w:r>
        <w:rPr>
          <w:rFonts w:hint="eastAsia" w:ascii="仿宋_GB2312" w:hAnsi="仿宋_GB2312" w:eastAsia="仿宋_GB2312" w:cs="仿宋_GB2312"/>
          <w:sz w:val="32"/>
          <w:szCs w:val="32"/>
        </w:rPr>
        <w:t>（一）组织保障</w:t>
      </w:r>
    </w:p>
    <w:p>
      <w:pPr>
        <w:pBdr>
          <w:top w:val="none" w:color="000000" w:sz="0" w:space="0"/>
          <w:left w:val="none" w:color="000000" w:sz="0" w:space="0"/>
          <w:bottom w:val="none" w:color="000000" w:sz="0" w:space="23"/>
          <w:right w:val="none" w:color="000000" w:sz="0" w:space="0"/>
        </w:pBdr>
        <w:tabs>
          <w:tab w:val="left" w:pos="0"/>
        </w:tabs>
        <w:adjustRightInd w:val="0"/>
        <w:snapToGrid w:val="0"/>
        <w:spacing w:line="560" w:lineRule="exact"/>
        <w:ind w:firstLine="640" w:firstLineChars="200"/>
        <w:rPr>
          <w:rFonts w:ascii="仿宋_GB2312" w:hAnsi="仿宋_GB2312" w:eastAsia="仿宋_GB2312" w:cs="仿宋_GB2312"/>
          <w:b/>
          <w:color w:val="000000"/>
          <w:sz w:val="32"/>
          <w:szCs w:val="32"/>
        </w:rPr>
      </w:pPr>
      <w:r>
        <w:rPr>
          <w:rFonts w:hint="eastAsia" w:ascii="仿宋_GB2312" w:hAnsi="仿宋_GB2312" w:eastAsia="仿宋_GB2312" w:cs="仿宋_GB2312"/>
          <w:sz w:val="32"/>
          <w:szCs w:val="32"/>
        </w:rPr>
        <w:t>成立唐山市广播电视大学遵化电大领导小组，单位一把手任组长，副校长任副组长，各处室主任为领导小组成员，负责制定电大年度规划和工作方案、规章制度和标准，组织实施工作，统筹电大各项工作展示，确保工作顺利推进和正常运行。</w:t>
      </w:r>
    </w:p>
    <w:p>
      <w:pPr>
        <w:pBdr>
          <w:top w:val="none" w:color="000000" w:sz="0" w:space="0"/>
          <w:left w:val="none" w:color="000000" w:sz="0" w:space="0"/>
          <w:bottom w:val="none" w:color="000000" w:sz="0" w:space="23"/>
          <w:right w:val="none" w:color="000000" w:sz="0" w:space="0"/>
        </w:pBdr>
        <w:tabs>
          <w:tab w:val="left" w:pos="0"/>
        </w:tabs>
        <w:adjustRightInd w:val="0"/>
        <w:snapToGrid w:val="0"/>
        <w:spacing w:line="560" w:lineRule="exact"/>
        <w:ind w:firstLine="800" w:firstLineChars="250"/>
        <w:rPr>
          <w:rFonts w:ascii="仿宋_GB2312" w:hAnsi="仿宋_GB2312" w:eastAsia="仿宋_GB2312" w:cs="仿宋_GB2312"/>
          <w:sz w:val="32"/>
          <w:szCs w:val="32"/>
        </w:rPr>
      </w:pPr>
      <w:r>
        <w:rPr>
          <w:rFonts w:hint="eastAsia" w:ascii="仿宋_GB2312" w:hAnsi="仿宋_GB2312" w:eastAsia="仿宋_GB2312" w:cs="仿宋_GB2312"/>
          <w:sz w:val="32"/>
          <w:szCs w:val="32"/>
        </w:rPr>
        <w:t>（二）机制保障</w:t>
      </w:r>
    </w:p>
    <w:p>
      <w:pPr>
        <w:pBdr>
          <w:top w:val="none" w:color="000000" w:sz="0" w:space="0"/>
          <w:left w:val="none" w:color="000000" w:sz="0" w:space="0"/>
          <w:bottom w:val="none" w:color="000000" w:sz="0" w:space="23"/>
          <w:right w:val="none" w:color="000000" w:sz="0" w:space="0"/>
        </w:pBdr>
        <w:tabs>
          <w:tab w:val="left" w:pos="0"/>
        </w:tabs>
        <w:adjustRightInd w:val="0"/>
        <w:snapToGrid w:val="0"/>
        <w:spacing w:line="560" w:lineRule="exact"/>
        <w:ind w:firstLine="640" w:firstLineChars="200"/>
        <w:rPr>
          <w:rFonts w:ascii="仿宋_GB2312" w:hAnsi="仿宋_GB2312" w:eastAsia="仿宋_GB2312" w:cs="仿宋_GB2312"/>
          <w:b/>
          <w:color w:val="000000"/>
          <w:sz w:val="32"/>
          <w:szCs w:val="32"/>
        </w:rPr>
      </w:pPr>
      <w:r>
        <w:rPr>
          <w:rFonts w:hint="eastAsia" w:ascii="仿宋_GB2312" w:hAnsi="仿宋_GB2312" w:eastAsia="仿宋_GB2312" w:cs="仿宋_GB2312"/>
          <w:sz w:val="32"/>
          <w:szCs w:val="32"/>
        </w:rPr>
        <w:t>（1）建立电大工作运行体系。制定电大招生、教学、考试、办公等规划，建立和完善信息化检查和资源共建共享机制，统筹经费投入和资源配置，确保工作的可持续发展。</w:t>
      </w:r>
    </w:p>
    <w:p>
      <w:pPr>
        <w:pBdr>
          <w:top w:val="none" w:color="000000" w:sz="0" w:space="0"/>
          <w:left w:val="none" w:color="000000" w:sz="0" w:space="0"/>
          <w:bottom w:val="none" w:color="000000" w:sz="0" w:space="23"/>
          <w:right w:val="none" w:color="000000" w:sz="0" w:space="0"/>
        </w:pBdr>
        <w:tabs>
          <w:tab w:val="left" w:pos="0"/>
        </w:tabs>
        <w:adjustRightInd w:val="0"/>
        <w:snapToGrid w:val="0"/>
        <w:spacing w:line="560" w:lineRule="exact"/>
        <w:ind w:firstLine="640" w:firstLineChars="200"/>
        <w:rPr>
          <w:rFonts w:ascii="仿宋_GB2312" w:hAnsi="仿宋_GB2312" w:eastAsia="仿宋_GB2312" w:cs="仿宋_GB2312"/>
          <w:b/>
          <w:color w:val="000000"/>
          <w:sz w:val="32"/>
          <w:szCs w:val="32"/>
        </w:rPr>
      </w:pPr>
      <w:r>
        <w:rPr>
          <w:rFonts w:hint="eastAsia" w:ascii="仿宋_GB2312" w:hAnsi="仿宋_GB2312" w:eastAsia="仿宋_GB2312" w:cs="仿宋_GB2312"/>
          <w:sz w:val="32"/>
          <w:szCs w:val="32"/>
        </w:rPr>
        <w:t>（2）建立工作考评机制，对相关人员的配备，以及创建情况进行专项考评。</w:t>
      </w:r>
    </w:p>
    <w:p>
      <w:pPr>
        <w:pBdr>
          <w:top w:val="none" w:color="000000" w:sz="0" w:space="0"/>
          <w:left w:val="none" w:color="000000" w:sz="0" w:space="0"/>
          <w:bottom w:val="none" w:color="000000" w:sz="0" w:space="23"/>
          <w:right w:val="none" w:color="000000" w:sz="0" w:space="0"/>
        </w:pBdr>
        <w:tabs>
          <w:tab w:val="left" w:pos="0"/>
        </w:tabs>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（3）建立工作定期总结表彰制度。对电大各项工作进行总结和表彰。举办新形势下学科的课件、优秀评比、展示等活动。</w:t>
      </w:r>
    </w:p>
    <w:p>
      <w:pPr>
        <w:pBdr>
          <w:top w:val="none" w:color="000000" w:sz="0" w:space="0"/>
          <w:left w:val="none" w:color="000000" w:sz="0" w:space="0"/>
          <w:bottom w:val="none" w:color="000000" w:sz="0" w:space="23"/>
          <w:right w:val="none" w:color="000000" w:sz="0" w:space="0"/>
        </w:pBdr>
        <w:tabs>
          <w:tab w:val="left" w:pos="0"/>
        </w:tabs>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（4）建立激励机制。把招生、教学、业务处室工作能力作为考核、评优、晋升职务职称的内容之一，促进教师专业化发展，提高各处室业务能力水平。</w:t>
      </w:r>
    </w:p>
    <w:p>
      <w:pPr>
        <w:pBdr>
          <w:top w:val="none" w:color="000000" w:sz="0" w:space="0"/>
          <w:left w:val="none" w:color="000000" w:sz="0" w:space="0"/>
          <w:bottom w:val="none" w:color="000000" w:sz="0" w:space="23"/>
          <w:right w:val="none" w:color="000000" w:sz="0" w:space="0"/>
        </w:pBdr>
        <w:tabs>
          <w:tab w:val="left" w:pos="0"/>
        </w:tabs>
        <w:adjustRightInd w:val="0"/>
        <w:snapToGrid w:val="0"/>
        <w:spacing w:line="560" w:lineRule="exact"/>
        <w:ind w:firstLine="800" w:firstLineChars="250"/>
        <w:rPr>
          <w:rFonts w:ascii="仿宋_GB2312" w:hAnsi="仿宋_GB2312" w:eastAsia="仿宋_GB2312" w:cs="仿宋_GB2312"/>
          <w:sz w:val="32"/>
          <w:szCs w:val="32"/>
        </w:rPr>
      </w:pPr>
      <w:r>
        <w:rPr>
          <w:rFonts w:hint="eastAsia" w:ascii="仿宋_GB2312" w:hAnsi="仿宋_GB2312" w:eastAsia="仿宋_GB2312" w:cs="仿宋_GB2312"/>
          <w:sz w:val="32"/>
          <w:szCs w:val="32"/>
        </w:rPr>
        <w:t>（三）管理保障</w:t>
      </w:r>
    </w:p>
    <w:p>
      <w:pPr>
        <w:pBdr>
          <w:top w:val="none" w:color="000000" w:sz="0" w:space="0"/>
          <w:left w:val="none" w:color="000000" w:sz="0" w:space="0"/>
          <w:bottom w:val="none" w:color="000000" w:sz="0" w:space="23"/>
          <w:right w:val="none" w:color="000000" w:sz="0" w:space="0"/>
        </w:pBdr>
        <w:tabs>
          <w:tab w:val="left" w:pos="0"/>
        </w:tabs>
        <w:adjustRightInd w:val="0"/>
        <w:snapToGrid w:val="0"/>
        <w:spacing w:line="560" w:lineRule="exact"/>
        <w:ind w:firstLine="640" w:firstLineChars="200"/>
        <w:rPr>
          <w:rFonts w:ascii="仿宋_GB2312" w:hAnsi="仿宋_GB2312" w:eastAsia="仿宋_GB2312" w:cs="仿宋_GB2312"/>
          <w:b/>
          <w:color w:val="000000"/>
          <w:sz w:val="32"/>
          <w:szCs w:val="32"/>
        </w:rPr>
      </w:pPr>
      <w:r>
        <w:rPr>
          <w:rFonts w:hint="eastAsia" w:ascii="仿宋_GB2312" w:hAnsi="仿宋_GB2312" w:eastAsia="仿宋_GB2312" w:cs="仿宋_GB2312"/>
          <w:sz w:val="32"/>
          <w:szCs w:val="32"/>
        </w:rPr>
        <w:t>（1）加强设备购置质量把关，提高资金利用效率，满足教学实际需要。</w:t>
      </w:r>
    </w:p>
    <w:p>
      <w:pPr>
        <w:pBdr>
          <w:top w:val="none" w:color="000000" w:sz="0" w:space="0"/>
          <w:left w:val="none" w:color="000000" w:sz="0" w:space="0"/>
          <w:bottom w:val="none" w:color="000000" w:sz="0" w:space="23"/>
          <w:right w:val="none" w:color="000000" w:sz="0" w:space="0"/>
        </w:pBdr>
        <w:tabs>
          <w:tab w:val="left" w:pos="0"/>
        </w:tabs>
        <w:adjustRightInd w:val="0"/>
        <w:snapToGrid w:val="0"/>
        <w:spacing w:line="560" w:lineRule="exact"/>
        <w:ind w:firstLine="640" w:firstLineChars="200"/>
        <w:rPr>
          <w:rFonts w:ascii="仿宋_GB2312" w:hAnsi="仿宋_GB2312" w:eastAsia="仿宋_GB2312" w:cs="仿宋_GB2312"/>
          <w:b/>
          <w:color w:val="000000"/>
          <w:sz w:val="32"/>
          <w:szCs w:val="32"/>
        </w:rPr>
      </w:pPr>
      <w:r>
        <w:rPr>
          <w:rFonts w:hint="eastAsia" w:ascii="仿宋_GB2312" w:hAnsi="仿宋_GB2312" w:eastAsia="仿宋_GB2312" w:cs="仿宋_GB2312"/>
          <w:sz w:val="32"/>
          <w:szCs w:val="32"/>
        </w:rPr>
        <w:t>（2）严格执行预算管理规定，包括预算管理制度、招投标管理制度、专项资金管理办法。</w:t>
      </w:r>
    </w:p>
    <w:p>
      <w:pPr>
        <w:pBdr>
          <w:top w:val="none" w:color="000000" w:sz="0" w:space="0"/>
          <w:left w:val="none" w:color="000000" w:sz="0" w:space="0"/>
          <w:bottom w:val="none" w:color="000000" w:sz="0" w:space="23"/>
          <w:right w:val="none" w:color="000000" w:sz="0" w:space="0"/>
        </w:pBdr>
        <w:tabs>
          <w:tab w:val="left" w:pos="0"/>
        </w:tabs>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（3）强化进度管理，各责任落实到人，严格控制进度，确保按期完成建设任务。</w:t>
      </w:r>
    </w:p>
    <w:p>
      <w:pPr>
        <w:pBdr>
          <w:top w:val="none" w:color="000000" w:sz="0" w:space="0"/>
          <w:left w:val="none" w:color="000000" w:sz="0" w:space="0"/>
          <w:bottom w:val="none" w:color="000000" w:sz="0" w:space="23"/>
          <w:right w:val="none" w:color="000000" w:sz="0" w:space="0"/>
        </w:pBdr>
        <w:tabs>
          <w:tab w:val="left" w:pos="0"/>
        </w:tabs>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（四）经费保障</w:t>
      </w:r>
    </w:p>
    <w:p>
      <w:pPr>
        <w:pBdr>
          <w:top w:val="none" w:color="000000" w:sz="0" w:space="0"/>
          <w:left w:val="none" w:color="000000" w:sz="0" w:space="0"/>
          <w:bottom w:val="none" w:color="000000" w:sz="0" w:space="23"/>
          <w:right w:val="none" w:color="000000" w:sz="0" w:space="0"/>
        </w:pBdr>
        <w:tabs>
          <w:tab w:val="left" w:pos="0"/>
        </w:tabs>
        <w:adjustRightInd w:val="0"/>
        <w:snapToGrid w:val="0"/>
        <w:spacing w:line="560" w:lineRule="exact"/>
        <w:ind w:firstLine="640" w:firstLineChars="200"/>
        <w:rPr>
          <w:rFonts w:ascii="仿宋_GB2312" w:hAnsi="仿宋_GB2312" w:eastAsia="仿宋_GB2312" w:cs="仿宋_GB2312"/>
          <w:b/>
          <w:color w:val="000000"/>
          <w:sz w:val="32"/>
          <w:szCs w:val="32"/>
        </w:rPr>
      </w:pPr>
      <w:r>
        <w:rPr>
          <w:rFonts w:hint="eastAsia" w:ascii="仿宋_GB2312" w:hAnsi="仿宋_GB2312" w:eastAsia="仿宋_GB2312" w:cs="仿宋_GB2312"/>
          <w:sz w:val="32"/>
          <w:szCs w:val="32"/>
        </w:rPr>
        <w:t>落实电大可持续性发展所需的经费。学校每年安排本级资金，作为学校教育教学设备增添、更新和维护、网络运行维护及电大联合办学管理成本性支出费用，以确保教师教学的专业化，高素质教学，学员能够学到专业知识和技术能力。我校领导努力提高资金投入的效益，加强各项经费使用的监管和公开透明力度，杜绝重复投资和铺张浪费现象的出现，确保公开廉洁。</w:t>
      </w:r>
    </w:p>
    <w:p>
      <w:pPr>
        <w:pBdr>
          <w:top w:val="none" w:color="000000" w:sz="0" w:space="0"/>
          <w:left w:val="none" w:color="000000" w:sz="0" w:space="0"/>
          <w:bottom w:val="none" w:color="000000" w:sz="0" w:space="23"/>
          <w:right w:val="none" w:color="000000" w:sz="0" w:space="0"/>
        </w:pBdr>
        <w:tabs>
          <w:tab w:val="left" w:pos="0"/>
        </w:tabs>
        <w:adjustRightInd w:val="0"/>
        <w:snapToGrid w:val="0"/>
        <w:spacing w:line="560" w:lineRule="exact"/>
        <w:ind w:firstLine="640" w:firstLineChars="200"/>
        <w:rPr>
          <w:rFonts w:ascii="仿宋_GB2312" w:hAnsi="仿宋_GB2312" w:eastAsia="仿宋_GB2312" w:cs="仿宋_GB2312"/>
          <w:b/>
          <w:color w:val="000000"/>
          <w:sz w:val="32"/>
          <w:szCs w:val="32"/>
        </w:rPr>
      </w:pPr>
      <w:r>
        <w:rPr>
          <w:rFonts w:hint="eastAsia" w:ascii="仿宋" w:hAnsi="仿宋" w:eastAsia="仿宋"/>
          <w:bCs/>
          <w:sz w:val="32"/>
          <w:szCs w:val="32"/>
        </w:rPr>
        <w:t>完善制度建设。</w:t>
      </w:r>
      <w:r>
        <w:rPr>
          <w:rFonts w:hint="eastAsia" w:ascii="仿宋" w:hAnsi="仿宋" w:eastAsia="仿宋"/>
          <w:sz w:val="32"/>
          <w:szCs w:val="32"/>
        </w:rPr>
        <w:t>制定完善预算绩效管理制度、资金管理办法、工作保障制度等，为全年预算绩效目标的实现奠定制度基础。</w:t>
      </w:r>
    </w:p>
    <w:p>
      <w:pPr>
        <w:pBdr>
          <w:top w:val="none" w:color="000000" w:sz="0" w:space="0"/>
          <w:left w:val="none" w:color="000000" w:sz="0" w:space="0"/>
          <w:bottom w:val="none" w:color="000000" w:sz="0" w:space="23"/>
          <w:right w:val="none" w:color="000000" w:sz="0" w:space="0"/>
        </w:pBdr>
        <w:tabs>
          <w:tab w:val="left" w:pos="0"/>
        </w:tabs>
        <w:adjustRightInd w:val="0"/>
        <w:snapToGrid w:val="0"/>
        <w:spacing w:line="560" w:lineRule="exact"/>
        <w:ind w:firstLine="640" w:firstLineChars="200"/>
        <w:rPr>
          <w:rFonts w:ascii="仿宋" w:hAnsi="仿宋" w:eastAsia="仿宋"/>
          <w:sz w:val="32"/>
          <w:szCs w:val="32"/>
        </w:rPr>
      </w:pPr>
      <w:r>
        <w:rPr>
          <w:rFonts w:hint="eastAsia" w:ascii="仿宋" w:hAnsi="仿宋" w:eastAsia="仿宋"/>
          <w:bCs/>
          <w:sz w:val="32"/>
          <w:szCs w:val="32"/>
        </w:rPr>
        <w:t>加强支出管理。</w:t>
      </w:r>
      <w:r>
        <w:rPr>
          <w:rFonts w:hint="eastAsia" w:ascii="仿宋" w:hAnsi="仿宋" w:eastAsia="仿宋"/>
          <w:sz w:val="32"/>
          <w:szCs w:val="32"/>
        </w:rPr>
        <w:t>采取优化支出结构、编细编实预算、加快履行政府采购手续、尽快启动项目、及时支付资金、6月底前细化代编预算、按规定及时下达资金等多种措施，确保支出进度达标。</w:t>
      </w:r>
    </w:p>
    <w:p>
      <w:pPr>
        <w:pBdr>
          <w:top w:val="none" w:color="000000" w:sz="0" w:space="0"/>
          <w:left w:val="none" w:color="000000" w:sz="0" w:space="0"/>
          <w:bottom w:val="none" w:color="000000" w:sz="0" w:space="23"/>
          <w:right w:val="none" w:color="000000" w:sz="0" w:space="0"/>
        </w:pBdr>
        <w:tabs>
          <w:tab w:val="left" w:pos="0"/>
        </w:tabs>
        <w:adjustRightInd w:val="0"/>
        <w:snapToGrid w:val="0"/>
        <w:spacing w:line="560" w:lineRule="exact"/>
        <w:ind w:firstLine="640" w:firstLineChars="200"/>
        <w:rPr>
          <w:rFonts w:ascii="仿宋_GB2312" w:hAnsi="仿宋_GB2312" w:eastAsia="仿宋_GB2312" w:cs="仿宋_GB2312"/>
          <w:b/>
          <w:color w:val="000000"/>
          <w:sz w:val="32"/>
          <w:szCs w:val="32"/>
        </w:rPr>
      </w:pPr>
      <w:r>
        <w:rPr>
          <w:rFonts w:hint="eastAsia" w:ascii="仿宋" w:hAnsi="仿宋" w:eastAsia="仿宋"/>
          <w:bCs/>
          <w:sz w:val="32"/>
          <w:szCs w:val="32"/>
        </w:rPr>
        <w:t>加强绩效运行监控。</w:t>
      </w:r>
      <w:r>
        <w:rPr>
          <w:rFonts w:hint="eastAsia" w:ascii="仿宋" w:hAnsi="仿宋" w:eastAsia="仿宋"/>
          <w:sz w:val="32"/>
          <w:szCs w:val="32"/>
        </w:rPr>
        <w:t>按要求开展绩效运行监控，发现问题及时采取措施，确保绩效目标如期保质实现。</w:t>
      </w:r>
    </w:p>
    <w:p>
      <w:pPr>
        <w:pBdr>
          <w:top w:val="none" w:color="000000" w:sz="0" w:space="0"/>
          <w:left w:val="none" w:color="000000" w:sz="0" w:space="0"/>
          <w:bottom w:val="none" w:color="000000" w:sz="0" w:space="23"/>
          <w:right w:val="none" w:color="000000" w:sz="0" w:space="0"/>
        </w:pBdr>
        <w:tabs>
          <w:tab w:val="left" w:pos="0"/>
        </w:tabs>
        <w:adjustRightInd w:val="0"/>
        <w:snapToGrid w:val="0"/>
        <w:spacing w:line="560" w:lineRule="exact"/>
        <w:ind w:firstLine="640" w:firstLineChars="200"/>
        <w:rPr>
          <w:rFonts w:ascii="仿宋_GB2312" w:hAnsi="仿宋_GB2312" w:eastAsia="仿宋_GB2312" w:cs="仿宋_GB2312"/>
          <w:b/>
          <w:color w:val="000000"/>
          <w:sz w:val="32"/>
          <w:szCs w:val="32"/>
        </w:rPr>
      </w:pPr>
      <w:r>
        <w:rPr>
          <w:rFonts w:hint="eastAsia" w:ascii="仿宋" w:hAnsi="仿宋" w:eastAsia="仿宋"/>
          <w:bCs/>
          <w:sz w:val="32"/>
          <w:szCs w:val="32"/>
        </w:rPr>
        <w:t>做好绩效自评。</w:t>
      </w:r>
      <w:r>
        <w:rPr>
          <w:rFonts w:hint="eastAsia" w:ascii="仿宋" w:hAnsi="仿宋" w:eastAsia="仿宋"/>
          <w:sz w:val="32"/>
          <w:szCs w:val="32"/>
        </w:rPr>
        <w:t>按要求开展上年度部门预算绩效自评和重点评价工作，对评价中发现的问题及时整改，调整优化支出结构，提高财政资金使用效益。</w:t>
      </w:r>
    </w:p>
    <w:p>
      <w:pPr>
        <w:pBdr>
          <w:top w:val="none" w:color="000000" w:sz="0" w:space="0"/>
          <w:left w:val="none" w:color="000000" w:sz="0" w:space="0"/>
          <w:bottom w:val="none" w:color="000000" w:sz="0" w:space="23"/>
          <w:right w:val="none" w:color="000000" w:sz="0" w:space="0"/>
        </w:pBdr>
        <w:tabs>
          <w:tab w:val="left" w:pos="0"/>
        </w:tabs>
        <w:adjustRightInd w:val="0"/>
        <w:snapToGrid w:val="0"/>
        <w:spacing w:line="560" w:lineRule="exact"/>
        <w:ind w:firstLine="640" w:firstLineChars="200"/>
        <w:rPr>
          <w:rFonts w:ascii="仿宋_GB2312" w:hAnsi="仿宋_GB2312" w:eastAsia="仿宋_GB2312" w:cs="仿宋_GB2312"/>
          <w:b/>
          <w:color w:val="000000"/>
          <w:sz w:val="32"/>
          <w:szCs w:val="32"/>
        </w:rPr>
      </w:pPr>
      <w:r>
        <w:rPr>
          <w:rFonts w:hint="eastAsia" w:ascii="仿宋" w:hAnsi="仿宋" w:eastAsia="仿宋"/>
          <w:bCs/>
          <w:sz w:val="32"/>
          <w:szCs w:val="32"/>
        </w:rPr>
        <w:t>规范财务资产管理。</w:t>
      </w:r>
      <w:r>
        <w:rPr>
          <w:rFonts w:hint="eastAsia" w:ascii="仿宋" w:hAnsi="仿宋" w:eastAsia="仿宋"/>
          <w:sz w:val="32"/>
          <w:szCs w:val="32"/>
        </w:rPr>
        <w:t>完善财务管理制度，严格审批程序，加强固定资产登记、使用和报废处置管理，做到支出合理，物尽其用。</w:t>
      </w:r>
    </w:p>
    <w:p>
      <w:pPr>
        <w:pBdr>
          <w:top w:val="none" w:color="000000" w:sz="0" w:space="0"/>
          <w:left w:val="none" w:color="000000" w:sz="0" w:space="0"/>
          <w:bottom w:val="none" w:color="000000" w:sz="0" w:space="23"/>
          <w:right w:val="none" w:color="000000" w:sz="0" w:space="0"/>
        </w:pBdr>
        <w:tabs>
          <w:tab w:val="left" w:pos="0"/>
        </w:tabs>
        <w:adjustRightInd w:val="0"/>
        <w:snapToGrid w:val="0"/>
        <w:spacing w:line="560" w:lineRule="exact"/>
        <w:ind w:firstLine="640" w:firstLineChars="200"/>
        <w:rPr>
          <w:rFonts w:ascii="仿宋_GB2312" w:hAnsi="仿宋_GB2312" w:eastAsia="仿宋_GB2312" w:cs="仿宋_GB2312"/>
          <w:b/>
          <w:color w:val="000000"/>
          <w:sz w:val="32"/>
          <w:szCs w:val="32"/>
        </w:rPr>
      </w:pPr>
      <w:r>
        <w:rPr>
          <w:rFonts w:hint="eastAsia" w:ascii="仿宋" w:hAnsi="仿宋" w:eastAsia="仿宋"/>
          <w:bCs/>
          <w:sz w:val="32"/>
          <w:szCs w:val="32"/>
        </w:rPr>
        <w:t>加强内部监督。</w:t>
      </w:r>
      <w:r>
        <w:rPr>
          <w:rFonts w:hint="eastAsia" w:ascii="仿宋" w:hAnsi="仿宋" w:eastAsia="仿宋"/>
          <w:sz w:val="32"/>
          <w:szCs w:val="32"/>
        </w:rPr>
        <w:t>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pPr>
        <w:pBdr>
          <w:top w:val="none" w:color="000000" w:sz="0" w:space="0"/>
          <w:left w:val="none" w:color="000000" w:sz="0" w:space="0"/>
          <w:bottom w:val="none" w:color="000000" w:sz="0" w:space="23"/>
          <w:right w:val="none" w:color="000000" w:sz="0" w:space="0"/>
        </w:pBdr>
        <w:tabs>
          <w:tab w:val="left" w:pos="0"/>
        </w:tabs>
        <w:adjustRightInd w:val="0"/>
        <w:snapToGrid w:val="0"/>
        <w:spacing w:line="560" w:lineRule="exact"/>
        <w:ind w:firstLine="640" w:firstLineChars="200"/>
        <w:rPr>
          <w:rFonts w:ascii="仿宋_GB2312" w:hAnsi="仿宋_GB2312" w:eastAsia="仿宋_GB2312" w:cs="仿宋_GB2312"/>
          <w:b/>
          <w:color w:val="000000"/>
          <w:sz w:val="32"/>
          <w:szCs w:val="32"/>
        </w:rPr>
      </w:pPr>
      <w:r>
        <w:rPr>
          <w:rFonts w:hint="eastAsia" w:ascii="仿宋" w:hAnsi="仿宋" w:eastAsia="仿宋"/>
          <w:bCs/>
          <w:sz w:val="32"/>
          <w:szCs w:val="32"/>
        </w:rPr>
        <w:t>加强宣传培训调研等。</w:t>
      </w:r>
      <w:r>
        <w:rPr>
          <w:rFonts w:hint="eastAsia" w:ascii="仿宋" w:hAnsi="仿宋" w:eastAsia="仿宋"/>
          <w:sz w:val="32"/>
          <w:szCs w:val="32"/>
        </w:rPr>
        <w:t>加强人员培训，提高本部门职工业务素质；加强调研，提出优化财政资金配置、提高资金使用效益的意见</w:t>
      </w:r>
      <w:bookmarkStart w:id="4" w:name="_GoBack"/>
      <w:bookmarkEnd w:id="4"/>
      <w:r>
        <w:rPr>
          <w:rFonts w:hint="eastAsia" w:ascii="仿宋" w:hAnsi="仿宋" w:eastAsia="仿宋"/>
          <w:sz w:val="32"/>
          <w:szCs w:val="32"/>
        </w:rPr>
        <w:t>；加大宣传力度，强化预算绩效管理意识，促进预算绩效管理水平进一步提升。</w:t>
      </w:r>
    </w:p>
    <w:p>
      <w:pPr>
        <w:pStyle w:val="13"/>
      </w:pPr>
    </w:p>
    <w:p>
      <w:pPr>
        <w:jc w:val="center"/>
        <w:sectPr>
          <w:pgSz w:w="11900" w:h="16840"/>
          <w:pgMar w:top="1984" w:right="1304" w:bottom="1134" w:left="1304" w:header="720" w:footer="720" w:gutter="0"/>
          <w:cols w:space="720" w:num="1"/>
        </w:sectPr>
      </w:pPr>
      <w:r>
        <w:rPr>
          <w:rFonts w:ascii="方正书宋_GBK" w:hAnsi="方正书宋_GBK" w:eastAsia="方正书宋_GBK" w:cs="方正书宋_GBK"/>
          <w:color w:val="000000"/>
          <w:sz w:val="21"/>
        </w:rPr>
        <w:t xml:space="preserve"> </w:t>
      </w:r>
    </w:p>
    <w:p>
      <w:pPr>
        <w:jc w:val="center"/>
      </w:pPr>
      <w:r>
        <w:rPr>
          <w:rFonts w:ascii="方正小标宋_GBK" w:hAnsi="方正小标宋_GBK" w:eastAsia="方正小标宋_GBK" w:cs="方正小标宋_GBK"/>
          <w:color w:val="000000"/>
          <w:sz w:val="52"/>
        </w:rPr>
        <w:t xml:space="preserve"> </w:t>
      </w:r>
    </w:p>
    <w:p>
      <w:pPr>
        <w:jc w:val="center"/>
        <w:rPr>
          <w:rFonts w:ascii="方正小标宋_GBK" w:hAnsi="方正小标宋_GBK" w:eastAsia="方正小标宋_GBK" w:cs="方正小标宋_GBK"/>
          <w:color w:val="000000"/>
          <w:sz w:val="52"/>
          <w:lang w:eastAsia="zh-CN"/>
        </w:rPr>
      </w:pPr>
      <w:r>
        <w:rPr>
          <w:rFonts w:ascii="方正小标宋_GBK" w:hAnsi="方正小标宋_GBK" w:eastAsia="方正小标宋_GBK" w:cs="方正小标宋_GBK"/>
          <w:color w:val="000000"/>
          <w:sz w:val="52"/>
        </w:rPr>
        <w:t xml:space="preserve"> </w:t>
      </w:r>
    </w:p>
    <w:p>
      <w:pPr>
        <w:jc w:val="center"/>
        <w:rPr>
          <w:rFonts w:ascii="方正小标宋_GBK" w:hAnsi="方正小标宋_GBK" w:eastAsia="方正小标宋_GBK" w:cs="方正小标宋_GBK"/>
          <w:color w:val="000000"/>
          <w:sz w:val="52"/>
          <w:lang w:eastAsia="zh-CN"/>
        </w:rPr>
      </w:pPr>
    </w:p>
    <w:p>
      <w:pPr>
        <w:jc w:val="center"/>
        <w:rPr>
          <w:rFonts w:ascii="方正小标宋_GBK" w:hAnsi="方正小标宋_GBK" w:eastAsia="方正小标宋_GBK" w:cs="方正小标宋_GBK"/>
          <w:color w:val="000000"/>
          <w:sz w:val="52"/>
          <w:lang w:eastAsia="zh-CN"/>
        </w:rPr>
      </w:pPr>
    </w:p>
    <w:p>
      <w:pPr>
        <w:jc w:val="center"/>
        <w:rPr>
          <w:lang w:eastAsia="zh-CN"/>
        </w:rPr>
      </w:pPr>
    </w:p>
    <w:p>
      <w:pPr>
        <w:jc w:val="center"/>
      </w:pPr>
      <w:r>
        <w:rPr>
          <w:rFonts w:ascii="方正小标宋_GBK" w:hAnsi="方正小标宋_GBK" w:eastAsia="方正小标宋_GBK" w:cs="方正小标宋_GBK"/>
          <w:color w:val="000000"/>
          <w:sz w:val="52"/>
        </w:rPr>
        <w:t xml:space="preserve"> </w:t>
      </w:r>
    </w:p>
    <w:p>
      <w:pPr>
        <w:jc w:val="center"/>
      </w:pPr>
      <w:r>
        <w:rPr>
          <w:rFonts w:ascii="方正小标宋_GBK" w:hAnsi="方正小标宋_GBK" w:eastAsia="方正小标宋_GBK" w:cs="方正小标宋_GBK"/>
          <w:color w:val="000000"/>
          <w:sz w:val="44"/>
        </w:rPr>
        <w:t>第二部分</w:t>
      </w:r>
    </w:p>
    <w:p>
      <w:pPr>
        <w:jc w:val="center"/>
      </w:pPr>
      <w:r>
        <w:rPr>
          <w:rFonts w:ascii="方正小标宋_GBK" w:hAnsi="方正小标宋_GBK" w:eastAsia="方正小标宋_GBK" w:cs="方正小标宋_GBK"/>
          <w:color w:val="000000"/>
          <w:sz w:val="44"/>
        </w:rPr>
        <w:t xml:space="preserve"> </w:t>
      </w:r>
    </w:p>
    <w:p>
      <w:pPr>
        <w:jc w:val="center"/>
        <w:outlineLvl w:val="0"/>
      </w:pPr>
      <w:r>
        <w:rPr>
          <w:rFonts w:ascii="方正小标宋_GBK" w:hAnsi="方正小标宋_GBK" w:eastAsia="方正小标宋_GBK" w:cs="方正小标宋_GBK"/>
          <w:color w:val="000000"/>
          <w:sz w:val="44"/>
        </w:rPr>
        <w:t>预算项目绩效目标</w:t>
      </w:r>
    </w:p>
    <w:p>
      <w:pPr>
        <w:jc w:val="center"/>
        <w:sectPr>
          <w:pgSz w:w="11900" w:h="16840"/>
          <w:pgMar w:top="1984" w:right="1304" w:bottom="1134" w:left="1304" w:header="720" w:footer="720" w:gutter="0"/>
          <w:cols w:space="720" w:num="1"/>
        </w:sectPr>
      </w:pPr>
      <w:r>
        <w:rPr>
          <w:rFonts w:ascii="方正书宋_GBK" w:hAnsi="方正书宋_GBK" w:eastAsia="方正书宋_GBK" w:cs="方正书宋_GBK"/>
          <w:color w:val="000000"/>
          <w:sz w:val="21"/>
        </w:rPr>
        <w:t xml:space="preserve"> </w:t>
      </w:r>
    </w:p>
    <w:p>
      <w:pPr>
        <w:jc w:val="center"/>
      </w:pPr>
      <w:r>
        <w:rPr>
          <w:rFonts w:ascii="方正仿宋_GBK" w:hAnsi="方正仿宋_GBK" w:eastAsia="方正仿宋_GBK" w:cs="方正仿宋_GBK"/>
          <w:color w:val="000000"/>
          <w:sz w:val="28"/>
        </w:rPr>
        <w:t xml:space="preserve"> </w:t>
      </w:r>
    </w:p>
    <w:p>
      <w:pPr>
        <w:ind w:firstLine="560"/>
        <w:outlineLvl w:val="3"/>
      </w:pPr>
      <w:bookmarkStart w:id="3" w:name="_Toc_4_4_0000000004"/>
      <w:r>
        <w:rPr>
          <w:rFonts w:ascii="方正仿宋_GBK" w:hAnsi="方正仿宋_GBK" w:eastAsia="方正仿宋_GBK" w:cs="方正仿宋_GBK"/>
          <w:color w:val="000000"/>
          <w:sz w:val="28"/>
        </w:rPr>
        <w:t>1.广播电视大学多媒体教学工作经费绩效目标表</w:t>
      </w:r>
      <w:bookmarkEnd w:id="3"/>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5"/>
            </w:pPr>
            <w:r>
              <w:t>286001唐山市广播电视大学遵化分校本级</w:t>
            </w:r>
          </w:p>
        </w:tc>
        <w:tc>
          <w:tcPr>
            <w:tcW w:w="1843" w:type="dxa"/>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项目编码</w:t>
            </w:r>
          </w:p>
        </w:tc>
        <w:tc>
          <w:tcPr>
            <w:tcW w:w="2608" w:type="dxa"/>
            <w:gridSpan w:val="2"/>
            <w:vAlign w:val="center"/>
          </w:tcPr>
          <w:p>
            <w:pPr>
              <w:pStyle w:val="16"/>
            </w:pPr>
            <w:r>
              <w:t>13028122P00337910001F</w:t>
            </w:r>
          </w:p>
        </w:tc>
        <w:tc>
          <w:tcPr>
            <w:tcW w:w="1587" w:type="dxa"/>
            <w:vAlign w:val="center"/>
          </w:tcPr>
          <w:p>
            <w:pPr>
              <w:pStyle w:val="17"/>
            </w:pPr>
            <w:r>
              <w:t>项目名称</w:t>
            </w:r>
          </w:p>
        </w:tc>
        <w:tc>
          <w:tcPr>
            <w:tcW w:w="4422" w:type="dxa"/>
            <w:gridSpan w:val="3"/>
            <w:vAlign w:val="center"/>
          </w:tcPr>
          <w:p>
            <w:pPr>
              <w:pStyle w:val="16"/>
            </w:pPr>
            <w:r>
              <w:t>广播电视大学多媒体教学工作经费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预算规模及资金用途</w:t>
            </w:r>
          </w:p>
        </w:tc>
        <w:tc>
          <w:tcPr>
            <w:tcW w:w="1276" w:type="dxa"/>
            <w:vAlign w:val="center"/>
          </w:tcPr>
          <w:p>
            <w:pPr>
              <w:pStyle w:val="17"/>
            </w:pPr>
            <w:r>
              <w:t>预算数</w:t>
            </w:r>
          </w:p>
        </w:tc>
        <w:tc>
          <w:tcPr>
            <w:tcW w:w="1332" w:type="dxa"/>
            <w:vAlign w:val="center"/>
          </w:tcPr>
          <w:p>
            <w:pPr>
              <w:pStyle w:val="16"/>
            </w:pPr>
            <w:r>
              <w:t>10.00</w:t>
            </w:r>
          </w:p>
        </w:tc>
        <w:tc>
          <w:tcPr>
            <w:tcW w:w="1587" w:type="dxa"/>
            <w:vAlign w:val="center"/>
          </w:tcPr>
          <w:p>
            <w:pPr>
              <w:pStyle w:val="17"/>
            </w:pPr>
            <w:r>
              <w:t>其中：财政    资金</w:t>
            </w:r>
          </w:p>
        </w:tc>
        <w:tc>
          <w:tcPr>
            <w:tcW w:w="1304" w:type="dxa"/>
            <w:vAlign w:val="center"/>
          </w:tcPr>
          <w:p>
            <w:pPr>
              <w:pStyle w:val="16"/>
            </w:pPr>
            <w:r>
              <w:t>10.00</w:t>
            </w:r>
          </w:p>
        </w:tc>
        <w:tc>
          <w:tcPr>
            <w:tcW w:w="1276" w:type="dxa"/>
            <w:vAlign w:val="center"/>
          </w:tcPr>
          <w:p>
            <w:pPr>
              <w:pStyle w:val="17"/>
            </w:pPr>
            <w:r>
              <w:t>其他资金</w:t>
            </w:r>
          </w:p>
        </w:tc>
        <w:tc>
          <w:tcPr>
            <w:tcW w:w="1843" w:type="dxa"/>
            <w:vAlign w:val="center"/>
          </w:tcPr>
          <w:p>
            <w:pPr>
              <w:pStyle w:val="16"/>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6"/>
              <w:rPr>
                <w:lang w:eastAsia="zh-CN"/>
              </w:rPr>
            </w:pPr>
            <w:r>
              <w:t>根据年初工作计划安排，按时做好各项工作，包括招生、教学、考试、毕业等,资金到达后，按时支付各类费用，以保证各项教学工作顺利展开.</w:t>
            </w:r>
            <w:r>
              <w:tab/>
            </w:r>
            <w:r>
              <w:tab/>
            </w:r>
            <w:r>
              <w:tab/>
            </w:r>
            <w:r>
              <w:tab/>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资金支出计划（%）</w:t>
            </w:r>
          </w:p>
        </w:tc>
        <w:tc>
          <w:tcPr>
            <w:tcW w:w="2608" w:type="dxa"/>
            <w:gridSpan w:val="2"/>
            <w:vAlign w:val="center"/>
          </w:tcPr>
          <w:p>
            <w:pPr>
              <w:pStyle w:val="17"/>
            </w:pPr>
            <w:r>
              <w:t>3月底</w:t>
            </w:r>
          </w:p>
        </w:tc>
        <w:tc>
          <w:tcPr>
            <w:tcW w:w="1587" w:type="dxa"/>
            <w:vAlign w:val="center"/>
          </w:tcPr>
          <w:p>
            <w:pPr>
              <w:pStyle w:val="17"/>
            </w:pPr>
            <w:r>
              <w:t>6月底</w:t>
            </w:r>
          </w:p>
        </w:tc>
        <w:tc>
          <w:tcPr>
            <w:tcW w:w="1304" w:type="dxa"/>
            <w:vAlign w:val="center"/>
          </w:tcPr>
          <w:p>
            <w:pPr>
              <w:pStyle w:val="17"/>
            </w:pPr>
            <w:r>
              <w:t>10月底</w:t>
            </w:r>
          </w:p>
        </w:tc>
        <w:tc>
          <w:tcPr>
            <w:tcW w:w="3118" w:type="dxa"/>
            <w:gridSpan w:val="2"/>
            <w:vAlign w:val="center"/>
          </w:tcPr>
          <w:p>
            <w:pPr>
              <w:pStyle w:val="17"/>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8"/>
            </w:pPr>
            <w:r>
              <w:t>30%</w:t>
            </w:r>
          </w:p>
        </w:tc>
        <w:tc>
          <w:tcPr>
            <w:tcW w:w="1587" w:type="dxa"/>
            <w:vAlign w:val="center"/>
          </w:tcPr>
          <w:p>
            <w:pPr>
              <w:pStyle w:val="18"/>
            </w:pPr>
            <w:r>
              <w:t>60%</w:t>
            </w:r>
          </w:p>
        </w:tc>
        <w:tc>
          <w:tcPr>
            <w:tcW w:w="1304" w:type="dxa"/>
            <w:vAlign w:val="center"/>
          </w:tcPr>
          <w:p>
            <w:pPr>
              <w:pStyle w:val="18"/>
            </w:pPr>
            <w:r>
              <w:t>90%</w:t>
            </w:r>
          </w:p>
        </w:tc>
        <w:tc>
          <w:tcPr>
            <w:tcW w:w="3118" w:type="dxa"/>
            <w:gridSpan w:val="2"/>
            <w:vAlign w:val="center"/>
          </w:tcPr>
          <w:p>
            <w:pPr>
              <w:pStyle w:val="18"/>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绩效目标</w:t>
            </w:r>
          </w:p>
        </w:tc>
        <w:tc>
          <w:tcPr>
            <w:tcW w:w="8617" w:type="dxa"/>
            <w:gridSpan w:val="6"/>
            <w:vAlign w:val="center"/>
          </w:tcPr>
          <w:p>
            <w:pPr>
              <w:pStyle w:val="16"/>
            </w:pPr>
            <w:r>
              <w:t>1.资金到达后，按时支付各类费用，以保证各项教学工作顺利展开</w:t>
            </w:r>
            <w:r>
              <w:tab/>
            </w:r>
            <w:r>
              <w:tab/>
            </w:r>
            <w:r>
              <w:tab/>
            </w:r>
            <w:r>
              <w:tab/>
            </w:r>
            <w:r>
              <w:tab/>
            </w:r>
            <w:r>
              <w:tab/>
            </w:r>
          </w:p>
          <w:p>
            <w:pPr>
              <w:pStyle w:val="16"/>
            </w:pPr>
          </w:p>
          <w:p>
            <w:pPr>
              <w:pStyle w:val="16"/>
            </w:pPr>
            <w:r>
              <w:t>2.根据年初工作计划安排，按时做好各项工作，包括招生、教学、考试、毕业等。</w:t>
            </w:r>
          </w:p>
        </w:tc>
      </w:tr>
    </w:tbl>
    <w:p>
      <w:pPr>
        <w:spacing w:line="2" w:lineRule="exact"/>
        <w:jc w:val="center"/>
      </w:pPr>
      <w:r>
        <w:rPr>
          <w:rFonts w:ascii="方正书宋_GBK" w:hAnsi="方正书宋_GBK" w:eastAsia="方正书宋_GBK" w:cs="方正书宋_GBK"/>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7"/>
            </w:pPr>
            <w:r>
              <w:t>一级指标</w:t>
            </w:r>
          </w:p>
        </w:tc>
        <w:tc>
          <w:tcPr>
            <w:tcW w:w="1276" w:type="dxa"/>
            <w:vAlign w:val="center"/>
          </w:tcPr>
          <w:p>
            <w:pPr>
              <w:pStyle w:val="17"/>
            </w:pPr>
            <w:r>
              <w:t>二级指标</w:t>
            </w:r>
          </w:p>
        </w:tc>
        <w:tc>
          <w:tcPr>
            <w:tcW w:w="1332" w:type="dxa"/>
            <w:vAlign w:val="center"/>
          </w:tcPr>
          <w:p>
            <w:pPr>
              <w:pStyle w:val="17"/>
            </w:pPr>
            <w:r>
              <w:t>三级指标</w:t>
            </w:r>
          </w:p>
        </w:tc>
        <w:tc>
          <w:tcPr>
            <w:tcW w:w="2891" w:type="dxa"/>
            <w:vAlign w:val="center"/>
          </w:tcPr>
          <w:p>
            <w:pPr>
              <w:pStyle w:val="17"/>
            </w:pPr>
            <w:r>
              <w:t>绩效指标描述</w:t>
            </w:r>
          </w:p>
        </w:tc>
        <w:tc>
          <w:tcPr>
            <w:tcW w:w="1276" w:type="dxa"/>
            <w:vAlign w:val="center"/>
          </w:tcPr>
          <w:p>
            <w:pPr>
              <w:pStyle w:val="17"/>
            </w:pPr>
            <w:r>
              <w:t>指标值</w:t>
            </w:r>
          </w:p>
        </w:tc>
        <w:tc>
          <w:tcPr>
            <w:tcW w:w="1843" w:type="dxa"/>
            <w:vAlign w:val="center"/>
          </w:tcPr>
          <w:p>
            <w:pPr>
              <w:pStyle w:val="1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8"/>
            </w:pPr>
            <w:r>
              <w:t>产出指标</w:t>
            </w:r>
          </w:p>
        </w:tc>
        <w:tc>
          <w:tcPr>
            <w:tcW w:w="1276" w:type="dxa"/>
            <w:vAlign w:val="center"/>
          </w:tcPr>
          <w:p>
            <w:pPr>
              <w:pStyle w:val="16"/>
            </w:pPr>
            <w:r>
              <w:t>数量指标</w:t>
            </w:r>
          </w:p>
        </w:tc>
        <w:tc>
          <w:tcPr>
            <w:tcW w:w="1332" w:type="dxa"/>
            <w:vAlign w:val="center"/>
          </w:tcPr>
          <w:p>
            <w:pPr>
              <w:pStyle w:val="16"/>
            </w:pPr>
            <w:r>
              <w:t>学员数量</w:t>
            </w:r>
          </w:p>
        </w:tc>
        <w:tc>
          <w:tcPr>
            <w:tcW w:w="2891" w:type="dxa"/>
            <w:vAlign w:val="center"/>
          </w:tcPr>
          <w:p>
            <w:pPr>
              <w:pStyle w:val="16"/>
            </w:pPr>
            <w:r>
              <w:t>学员数量</w:t>
            </w:r>
          </w:p>
        </w:tc>
        <w:tc>
          <w:tcPr>
            <w:tcW w:w="1276" w:type="dxa"/>
            <w:vAlign w:val="center"/>
          </w:tcPr>
          <w:p>
            <w:pPr>
              <w:pStyle w:val="16"/>
            </w:pPr>
            <w:r>
              <w:t>≥300人</w:t>
            </w:r>
          </w:p>
        </w:tc>
        <w:tc>
          <w:tcPr>
            <w:tcW w:w="1843" w:type="dxa"/>
            <w:vAlign w:val="center"/>
          </w:tcPr>
          <w:p>
            <w:pPr>
              <w:pStyle w:val="16"/>
            </w:pPr>
            <w:r>
              <w:t>按照年初工作计划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质量指标</w:t>
            </w:r>
          </w:p>
        </w:tc>
        <w:tc>
          <w:tcPr>
            <w:tcW w:w="1332" w:type="dxa"/>
            <w:vAlign w:val="center"/>
          </w:tcPr>
          <w:p>
            <w:pPr>
              <w:pStyle w:val="16"/>
            </w:pPr>
            <w:r>
              <w:t>购置仪器设备合格率</w:t>
            </w:r>
          </w:p>
        </w:tc>
        <w:tc>
          <w:tcPr>
            <w:tcW w:w="2891" w:type="dxa"/>
            <w:vAlign w:val="center"/>
          </w:tcPr>
          <w:p>
            <w:pPr>
              <w:pStyle w:val="16"/>
            </w:pPr>
            <w:r>
              <w:t>购置新设备的合格率</w:t>
            </w:r>
          </w:p>
        </w:tc>
        <w:tc>
          <w:tcPr>
            <w:tcW w:w="1276" w:type="dxa"/>
            <w:vAlign w:val="center"/>
          </w:tcPr>
          <w:p>
            <w:pPr>
              <w:pStyle w:val="16"/>
            </w:pPr>
            <w:r>
              <w:t>≥90%</w:t>
            </w:r>
          </w:p>
        </w:tc>
        <w:tc>
          <w:tcPr>
            <w:tcW w:w="1843" w:type="dxa"/>
            <w:vAlign w:val="center"/>
          </w:tcPr>
          <w:p>
            <w:pPr>
              <w:pStyle w:val="16"/>
            </w:pPr>
            <w:r>
              <w:t>按照年初工作计划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时效指标</w:t>
            </w:r>
          </w:p>
        </w:tc>
        <w:tc>
          <w:tcPr>
            <w:tcW w:w="1332" w:type="dxa"/>
            <w:vAlign w:val="center"/>
          </w:tcPr>
          <w:p>
            <w:pPr>
              <w:pStyle w:val="16"/>
            </w:pPr>
            <w:r>
              <w:t>教学工作按时完成</w:t>
            </w:r>
          </w:p>
        </w:tc>
        <w:tc>
          <w:tcPr>
            <w:tcW w:w="2891" w:type="dxa"/>
            <w:vAlign w:val="center"/>
          </w:tcPr>
          <w:p>
            <w:pPr>
              <w:pStyle w:val="16"/>
            </w:pPr>
            <w:r>
              <w:t>确保一年的教学、办公、考试等各项工作按时完成</w:t>
            </w:r>
          </w:p>
        </w:tc>
        <w:tc>
          <w:tcPr>
            <w:tcW w:w="1276" w:type="dxa"/>
            <w:vAlign w:val="center"/>
          </w:tcPr>
          <w:p>
            <w:pPr>
              <w:pStyle w:val="16"/>
            </w:pPr>
            <w:r>
              <w:t>≥90%</w:t>
            </w:r>
          </w:p>
        </w:tc>
        <w:tc>
          <w:tcPr>
            <w:tcW w:w="1843" w:type="dxa"/>
            <w:vAlign w:val="center"/>
          </w:tcPr>
          <w:p>
            <w:pPr>
              <w:pStyle w:val="16"/>
            </w:pPr>
            <w:r>
              <w:t>按照年初工作计划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成本指标</w:t>
            </w:r>
          </w:p>
        </w:tc>
        <w:tc>
          <w:tcPr>
            <w:tcW w:w="1332" w:type="dxa"/>
            <w:vAlign w:val="center"/>
          </w:tcPr>
          <w:p>
            <w:pPr>
              <w:pStyle w:val="16"/>
            </w:pPr>
            <w:r>
              <w:t>年人均成本</w:t>
            </w:r>
          </w:p>
        </w:tc>
        <w:tc>
          <w:tcPr>
            <w:tcW w:w="2891" w:type="dxa"/>
            <w:vAlign w:val="center"/>
          </w:tcPr>
          <w:p>
            <w:pPr>
              <w:pStyle w:val="16"/>
            </w:pPr>
            <w:r>
              <w:t>年人均成本</w:t>
            </w:r>
          </w:p>
        </w:tc>
        <w:tc>
          <w:tcPr>
            <w:tcW w:w="1276" w:type="dxa"/>
            <w:vAlign w:val="center"/>
          </w:tcPr>
          <w:p>
            <w:pPr>
              <w:pStyle w:val="16"/>
            </w:pPr>
            <w:r>
              <w:t>≤167元/生</w:t>
            </w:r>
          </w:p>
        </w:tc>
        <w:tc>
          <w:tcPr>
            <w:tcW w:w="1843" w:type="dxa"/>
            <w:vAlign w:val="center"/>
          </w:tcPr>
          <w:p>
            <w:pPr>
              <w:pStyle w:val="16"/>
            </w:pPr>
            <w:r>
              <w:t>按照年初工作计划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8"/>
            </w:pPr>
            <w:r>
              <w:t>效益指标</w:t>
            </w:r>
          </w:p>
        </w:tc>
        <w:tc>
          <w:tcPr>
            <w:tcW w:w="1276" w:type="dxa"/>
            <w:vAlign w:val="center"/>
          </w:tcPr>
          <w:p>
            <w:pPr>
              <w:pStyle w:val="16"/>
            </w:pPr>
            <w:r>
              <w:t>可持续影响指标</w:t>
            </w:r>
          </w:p>
        </w:tc>
        <w:tc>
          <w:tcPr>
            <w:tcW w:w="1332" w:type="dxa"/>
            <w:vAlign w:val="center"/>
          </w:tcPr>
          <w:p>
            <w:pPr>
              <w:pStyle w:val="16"/>
            </w:pPr>
            <w:r>
              <w:t>可持续影响力</w:t>
            </w:r>
          </w:p>
        </w:tc>
        <w:tc>
          <w:tcPr>
            <w:tcW w:w="2891" w:type="dxa"/>
            <w:vAlign w:val="center"/>
          </w:tcPr>
          <w:p>
            <w:pPr>
              <w:pStyle w:val="16"/>
            </w:pPr>
            <w:r>
              <w:t>应用多媒体教学的趋势</w:t>
            </w:r>
          </w:p>
        </w:tc>
        <w:tc>
          <w:tcPr>
            <w:tcW w:w="1276" w:type="dxa"/>
            <w:vAlign w:val="center"/>
          </w:tcPr>
          <w:p>
            <w:pPr>
              <w:pStyle w:val="16"/>
            </w:pPr>
            <w:r>
              <w:t>≥80%</w:t>
            </w:r>
          </w:p>
        </w:tc>
        <w:tc>
          <w:tcPr>
            <w:tcW w:w="1843" w:type="dxa"/>
            <w:vAlign w:val="center"/>
          </w:tcPr>
          <w:p>
            <w:pPr>
              <w:pStyle w:val="16"/>
            </w:pPr>
            <w:r>
              <w:t>按照年初工作计划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经济效益指标</w:t>
            </w:r>
          </w:p>
        </w:tc>
        <w:tc>
          <w:tcPr>
            <w:tcW w:w="1332" w:type="dxa"/>
            <w:vAlign w:val="center"/>
          </w:tcPr>
          <w:p>
            <w:pPr>
              <w:pStyle w:val="16"/>
            </w:pPr>
            <w:r>
              <w:t>增加招生人数</w:t>
            </w:r>
          </w:p>
        </w:tc>
        <w:tc>
          <w:tcPr>
            <w:tcW w:w="2891" w:type="dxa"/>
            <w:vAlign w:val="center"/>
          </w:tcPr>
          <w:p>
            <w:pPr>
              <w:pStyle w:val="16"/>
            </w:pPr>
            <w:r>
              <w:t>高科技设备带动招生人数增加</w:t>
            </w:r>
          </w:p>
        </w:tc>
        <w:tc>
          <w:tcPr>
            <w:tcW w:w="1276" w:type="dxa"/>
            <w:vAlign w:val="center"/>
          </w:tcPr>
          <w:p>
            <w:pPr>
              <w:pStyle w:val="16"/>
            </w:pPr>
            <w:r>
              <w:t>≥90%</w:t>
            </w:r>
          </w:p>
        </w:tc>
        <w:tc>
          <w:tcPr>
            <w:tcW w:w="1843" w:type="dxa"/>
            <w:vAlign w:val="center"/>
          </w:tcPr>
          <w:p>
            <w:pPr>
              <w:pStyle w:val="16"/>
            </w:pPr>
            <w:r>
              <w:t>按照年初工作计划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社会效益指标</w:t>
            </w:r>
          </w:p>
        </w:tc>
        <w:tc>
          <w:tcPr>
            <w:tcW w:w="1332" w:type="dxa"/>
            <w:vAlign w:val="center"/>
          </w:tcPr>
          <w:p>
            <w:pPr>
              <w:pStyle w:val="16"/>
            </w:pPr>
            <w:r>
              <w:t>受益人数</w:t>
            </w:r>
          </w:p>
        </w:tc>
        <w:tc>
          <w:tcPr>
            <w:tcW w:w="2891" w:type="dxa"/>
            <w:vAlign w:val="center"/>
          </w:tcPr>
          <w:p>
            <w:pPr>
              <w:pStyle w:val="16"/>
            </w:pPr>
            <w:r>
              <w:t>在校学员享受多媒体教学人数</w:t>
            </w:r>
          </w:p>
        </w:tc>
        <w:tc>
          <w:tcPr>
            <w:tcW w:w="1276" w:type="dxa"/>
            <w:vAlign w:val="center"/>
          </w:tcPr>
          <w:p>
            <w:pPr>
              <w:pStyle w:val="16"/>
            </w:pPr>
            <w:r>
              <w:t>≥600人</w:t>
            </w:r>
          </w:p>
        </w:tc>
        <w:tc>
          <w:tcPr>
            <w:tcW w:w="1843" w:type="dxa"/>
            <w:vAlign w:val="center"/>
          </w:tcPr>
          <w:p>
            <w:pPr>
              <w:pStyle w:val="16"/>
            </w:pPr>
            <w:r>
              <w:t>按照年初工作计划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生态效益指标</w:t>
            </w:r>
          </w:p>
        </w:tc>
        <w:tc>
          <w:tcPr>
            <w:tcW w:w="1332" w:type="dxa"/>
            <w:vAlign w:val="center"/>
          </w:tcPr>
          <w:p>
            <w:pPr>
              <w:pStyle w:val="16"/>
            </w:pPr>
            <w:r>
              <w:t>生态效益指标</w:t>
            </w:r>
          </w:p>
        </w:tc>
        <w:tc>
          <w:tcPr>
            <w:tcW w:w="2891" w:type="dxa"/>
            <w:vAlign w:val="center"/>
          </w:tcPr>
          <w:p>
            <w:pPr>
              <w:pStyle w:val="16"/>
            </w:pPr>
            <w:r>
              <w:t>改善生态环境质量</w:t>
            </w:r>
          </w:p>
        </w:tc>
        <w:tc>
          <w:tcPr>
            <w:tcW w:w="1276" w:type="dxa"/>
            <w:vAlign w:val="center"/>
          </w:tcPr>
          <w:p>
            <w:pPr>
              <w:pStyle w:val="16"/>
            </w:pPr>
            <w:r>
              <w:t>≥80%</w:t>
            </w:r>
          </w:p>
        </w:tc>
        <w:tc>
          <w:tcPr>
            <w:tcW w:w="1843" w:type="dxa"/>
            <w:vAlign w:val="center"/>
          </w:tcPr>
          <w:p>
            <w:pPr>
              <w:pStyle w:val="16"/>
            </w:pPr>
            <w:r>
              <w:t>按照年初工作计划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8"/>
            </w:pPr>
            <w:r>
              <w:t>满意度指标</w:t>
            </w:r>
          </w:p>
        </w:tc>
        <w:tc>
          <w:tcPr>
            <w:tcW w:w="1276" w:type="dxa"/>
            <w:vAlign w:val="center"/>
          </w:tcPr>
          <w:p>
            <w:pPr>
              <w:pStyle w:val="16"/>
            </w:pPr>
            <w:r>
              <w:t>服务对象满意度指标</w:t>
            </w:r>
          </w:p>
        </w:tc>
        <w:tc>
          <w:tcPr>
            <w:tcW w:w="1332" w:type="dxa"/>
            <w:vAlign w:val="center"/>
          </w:tcPr>
          <w:p>
            <w:pPr>
              <w:pStyle w:val="16"/>
            </w:pPr>
            <w:r>
              <w:t>学生满意度</w:t>
            </w:r>
          </w:p>
        </w:tc>
        <w:tc>
          <w:tcPr>
            <w:tcW w:w="2891" w:type="dxa"/>
            <w:vAlign w:val="center"/>
          </w:tcPr>
          <w:p>
            <w:pPr>
              <w:pStyle w:val="16"/>
            </w:pPr>
            <w:r>
              <w:t>在校生</w:t>
            </w:r>
          </w:p>
        </w:tc>
        <w:tc>
          <w:tcPr>
            <w:tcW w:w="1276" w:type="dxa"/>
            <w:vAlign w:val="center"/>
          </w:tcPr>
          <w:p>
            <w:pPr>
              <w:pStyle w:val="16"/>
            </w:pPr>
            <w:r>
              <w:t>≥90%</w:t>
            </w:r>
          </w:p>
        </w:tc>
        <w:tc>
          <w:tcPr>
            <w:tcW w:w="1843" w:type="dxa"/>
            <w:vAlign w:val="center"/>
          </w:tcPr>
          <w:p>
            <w:pPr>
              <w:pStyle w:val="16"/>
            </w:pPr>
            <w:r>
              <w:t>按照年初工作计划</w:t>
            </w:r>
          </w:p>
        </w:tc>
      </w:tr>
    </w:tbl>
    <w:p/>
    <w:sectPr>
      <w:pgSz w:w="11900" w:h="16840"/>
      <w:pgMar w:top="1984" w:right="1304" w:bottom="1134" w:left="1304"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0000000000000000000"/>
    <w:charset w:val="86"/>
    <w:family w:val="script"/>
    <w:pitch w:val="default"/>
    <w:sig w:usb0="00000000" w:usb1="00000000" w:usb2="00000010" w:usb3="00000000" w:csb0="00040000" w:csb1="00000000"/>
  </w:font>
  <w:font w:name="方正书宋_GBK">
    <w:altName w:val="宋体"/>
    <w:panose1 w:val="00000000000000000000"/>
    <w:charset w:val="86"/>
    <w:family w:val="roman"/>
    <w:pitch w:val="default"/>
    <w:sig w:usb0="00000000" w:usb1="00000000" w:usb2="00000000" w:usb3="00000000" w:csb0="00000000" w:csb1="00000000"/>
  </w:font>
  <w:font w:name="方正小标宋_GBK">
    <w:altName w:val="微软雅黑"/>
    <w:panose1 w:val="00000000000000000000"/>
    <w:charset w:val="86"/>
    <w:family w:val="script"/>
    <w:pitch w:val="default"/>
    <w:sig w:usb0="00000000" w:usb1="00000000" w:usb2="00000010" w:usb3="00000000" w:csb0="00040000" w:csb1="00000000"/>
  </w:font>
  <w:font w:name="方正楷体_GBK">
    <w:altName w:val="微软雅黑"/>
    <w:panose1 w:val="00000000000000000000"/>
    <w:charset w:val="86"/>
    <w:family w:val="script"/>
    <w:pitch w:val="default"/>
    <w:sig w:usb0="00000000" w:usb1="00000000" w:usb2="00000010" w:usb3="00000000" w:csb0="00040000" w:csb1="00000000"/>
  </w:font>
  <w:font w:name="方正黑体_GBK">
    <w:altName w:val="微软雅黑"/>
    <w:panose1 w:val="00000000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楷体简体">
    <w:panose1 w:val="03000509000000000000"/>
    <w:charset w:val="86"/>
    <w:family w:val="script"/>
    <w:pitch w:val="default"/>
    <w:sig w:usb0="00000001" w:usb1="080E0000" w:usb2="0000000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rPr>
        <w:rFonts w:eastAsiaTheme="minorEastAsia"/>
        <w:lang w:eastAsia="zh-CN"/>
      </w:rPr>
    </w:pPr>
    <w:r>
      <w:fldChar w:fldCharType="begin"/>
    </w:r>
    <w:r>
      <w:instrText xml:space="preserve">PAGE "page number"</w:instrText>
    </w:r>
    <w:r>
      <w:fldChar w:fldCharType="separate"/>
    </w:r>
    <w:r>
      <w:t>9</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8</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UxY2QxYWIwZGQ5N2M5ZmUzOTI5NGQ0YmEzMzFkZjcifQ=="/>
  </w:docVars>
  <w:rsids>
    <w:rsidRoot w:val="00FE39EB"/>
    <w:rsid w:val="00213342"/>
    <w:rsid w:val="002A34B4"/>
    <w:rsid w:val="002A6190"/>
    <w:rsid w:val="00397341"/>
    <w:rsid w:val="00432A87"/>
    <w:rsid w:val="008B5EB3"/>
    <w:rsid w:val="009C5F9F"/>
    <w:rsid w:val="00A61213"/>
    <w:rsid w:val="00A92844"/>
    <w:rsid w:val="00B5136B"/>
    <w:rsid w:val="00BA2F83"/>
    <w:rsid w:val="00C4228C"/>
    <w:rsid w:val="00CD7928"/>
    <w:rsid w:val="00D71571"/>
    <w:rsid w:val="00FE39EB"/>
    <w:rsid w:val="21EB19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10">
    <w:name w:val="Default Paragraph Font"/>
    <w:semiHidden/>
    <w:unhideWhenUsed/>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2">
    <w:name w:val="Balloon Text"/>
    <w:basedOn w:val="1"/>
    <w:link w:val="21"/>
    <w:semiHidden/>
    <w:unhideWhenUsed/>
    <w:uiPriority w:val="99"/>
    <w:rPr>
      <w:sz w:val="18"/>
      <w:szCs w:val="18"/>
    </w:rPr>
  </w:style>
  <w:style w:type="paragraph" w:styleId="3">
    <w:name w:val="footer"/>
    <w:basedOn w:val="1"/>
    <w:link w:val="20"/>
    <w:unhideWhenUsed/>
    <w:uiPriority w:val="99"/>
    <w:pPr>
      <w:tabs>
        <w:tab w:val="center" w:pos="4153"/>
        <w:tab w:val="right" w:pos="8306"/>
      </w:tabs>
      <w:snapToGrid w:val="0"/>
    </w:pPr>
    <w:rPr>
      <w:sz w:val="18"/>
      <w:szCs w:val="18"/>
    </w:rPr>
  </w:style>
  <w:style w:type="paragraph" w:styleId="4">
    <w:name w:val="header"/>
    <w:basedOn w:val="1"/>
    <w:link w:val="19"/>
    <w:unhideWhenUsed/>
    <w:uiPriority w:val="99"/>
    <w:pPr>
      <w:pBdr>
        <w:bottom w:val="single" w:color="auto" w:sz="6" w:space="1"/>
      </w:pBdr>
      <w:tabs>
        <w:tab w:val="center" w:pos="4153"/>
        <w:tab w:val="right" w:pos="8306"/>
      </w:tabs>
      <w:snapToGrid w:val="0"/>
      <w:jc w:val="center"/>
    </w:pPr>
    <w:rPr>
      <w:sz w:val="18"/>
      <w:szCs w:val="18"/>
    </w:rPr>
  </w:style>
  <w:style w:type="paragraph" w:styleId="5">
    <w:name w:val="toc 1"/>
    <w:basedOn w:val="1"/>
    <w:qFormat/>
    <w:uiPriority w:val="0"/>
    <w:pPr>
      <w:spacing w:before="120"/>
    </w:pPr>
    <w:rPr>
      <w:rFonts w:eastAsia="方正仿宋_GBK"/>
      <w:color w:val="000000"/>
      <w:sz w:val="28"/>
    </w:rPr>
  </w:style>
  <w:style w:type="paragraph" w:styleId="6">
    <w:name w:val="toc 4"/>
    <w:basedOn w:val="1"/>
    <w:qFormat/>
    <w:uiPriority w:val="0"/>
    <w:pPr>
      <w:ind w:left="720"/>
    </w:pPr>
  </w:style>
  <w:style w:type="paragraph" w:styleId="7">
    <w:name w:val="toc 2"/>
    <w:basedOn w:val="1"/>
    <w:qFormat/>
    <w:uiPriority w:val="0"/>
    <w:pPr>
      <w:ind w:left="240"/>
    </w:pPr>
  </w:style>
  <w:style w:type="table" w:styleId="9">
    <w:name w:val="Table Grid"/>
    <w:basedOn w:val="8"/>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11">
    <w:name w:val="插入文本样式-插入总体目标文件"/>
    <w:basedOn w:val="1"/>
    <w:qFormat/>
    <w:uiPriority w:val="0"/>
    <w:pPr>
      <w:spacing w:line="500" w:lineRule="exact"/>
      <w:ind w:firstLine="560"/>
    </w:pPr>
    <w:rPr>
      <w:rFonts w:eastAsia="方正仿宋_GBK"/>
      <w:sz w:val="28"/>
    </w:rPr>
  </w:style>
  <w:style w:type="paragraph" w:customStyle="1" w:styleId="12">
    <w:name w:val="插入文本样式-插入职责分类绩效目标文件"/>
    <w:basedOn w:val="1"/>
    <w:qFormat/>
    <w:uiPriority w:val="0"/>
    <w:pPr>
      <w:spacing w:line="500" w:lineRule="exact"/>
      <w:ind w:firstLine="560"/>
    </w:pPr>
    <w:rPr>
      <w:rFonts w:eastAsia="方正仿宋_GBK"/>
      <w:sz w:val="28"/>
    </w:rPr>
  </w:style>
  <w:style w:type="paragraph" w:customStyle="1" w:styleId="13">
    <w:name w:val="插入文本样式-插入实现年度发展规划目标的保障措施文件"/>
    <w:basedOn w:val="1"/>
    <w:autoRedefine/>
    <w:qFormat/>
    <w:uiPriority w:val="0"/>
    <w:pPr>
      <w:spacing w:line="500" w:lineRule="exact"/>
      <w:ind w:firstLine="560"/>
    </w:pPr>
    <w:rPr>
      <w:rFonts w:eastAsia="方正仿宋_GBK"/>
      <w:sz w:val="28"/>
    </w:rPr>
  </w:style>
  <w:style w:type="paragraph" w:customStyle="1" w:styleId="14">
    <w:name w:val="单元格样式4"/>
    <w:basedOn w:val="1"/>
    <w:qFormat/>
    <w:uiPriority w:val="0"/>
    <w:pPr>
      <w:jc w:val="right"/>
    </w:pPr>
    <w:rPr>
      <w:rFonts w:ascii="方正书宋_GBK" w:hAnsi="方正书宋_GBK" w:eastAsia="方正书宋_GBK" w:cs="方正书宋_GBK"/>
      <w:sz w:val="21"/>
    </w:rPr>
  </w:style>
  <w:style w:type="paragraph" w:customStyle="1" w:styleId="15">
    <w:name w:val="单元格样式5"/>
    <w:basedOn w:val="1"/>
    <w:qFormat/>
    <w:uiPriority w:val="0"/>
    <w:rPr>
      <w:rFonts w:ascii="方正书宋_GBK" w:hAnsi="方正书宋_GBK" w:eastAsia="方正书宋_GBK" w:cs="方正书宋_GBK"/>
      <w:b/>
      <w:sz w:val="21"/>
    </w:rPr>
  </w:style>
  <w:style w:type="paragraph" w:customStyle="1" w:styleId="16">
    <w:name w:val="单元格样式2"/>
    <w:basedOn w:val="1"/>
    <w:qFormat/>
    <w:uiPriority w:val="0"/>
    <w:rPr>
      <w:rFonts w:ascii="方正书宋_GBK" w:hAnsi="方正书宋_GBK" w:eastAsia="方正书宋_GBK" w:cs="方正书宋_GBK"/>
      <w:sz w:val="21"/>
    </w:rPr>
  </w:style>
  <w:style w:type="paragraph" w:customStyle="1" w:styleId="17">
    <w:name w:val="单元格样式1"/>
    <w:basedOn w:val="1"/>
    <w:qFormat/>
    <w:uiPriority w:val="0"/>
    <w:pPr>
      <w:jc w:val="center"/>
    </w:pPr>
    <w:rPr>
      <w:rFonts w:ascii="方正书宋_GBK" w:hAnsi="方正书宋_GBK" w:eastAsia="方正书宋_GBK" w:cs="方正书宋_GBK"/>
      <w:b/>
      <w:sz w:val="21"/>
    </w:rPr>
  </w:style>
  <w:style w:type="paragraph" w:customStyle="1" w:styleId="18">
    <w:name w:val="单元格样式3"/>
    <w:basedOn w:val="1"/>
    <w:qFormat/>
    <w:uiPriority w:val="0"/>
    <w:pPr>
      <w:jc w:val="center"/>
    </w:pPr>
    <w:rPr>
      <w:rFonts w:ascii="方正书宋_GBK" w:hAnsi="方正书宋_GBK" w:eastAsia="方正书宋_GBK" w:cs="方正书宋_GBK"/>
      <w:sz w:val="21"/>
    </w:rPr>
  </w:style>
  <w:style w:type="character" w:customStyle="1" w:styleId="19">
    <w:name w:val="页眉 Char"/>
    <w:basedOn w:val="10"/>
    <w:link w:val="4"/>
    <w:uiPriority w:val="99"/>
    <w:rPr>
      <w:rFonts w:eastAsia="Times New Roman"/>
      <w:sz w:val="18"/>
      <w:szCs w:val="18"/>
      <w:lang w:eastAsia="uk-UA"/>
    </w:rPr>
  </w:style>
  <w:style w:type="character" w:customStyle="1" w:styleId="20">
    <w:name w:val="页脚 Char"/>
    <w:basedOn w:val="10"/>
    <w:link w:val="3"/>
    <w:uiPriority w:val="99"/>
    <w:rPr>
      <w:rFonts w:eastAsia="Times New Roman"/>
      <w:sz w:val="18"/>
      <w:szCs w:val="18"/>
      <w:lang w:eastAsia="uk-UA"/>
    </w:rPr>
  </w:style>
  <w:style w:type="character" w:customStyle="1" w:styleId="21">
    <w:name w:val="批注框文本 Char"/>
    <w:basedOn w:val="10"/>
    <w:link w:val="2"/>
    <w:semiHidden/>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2022-02-21T14:02:46Z</dcterms:created>
  <dcterms:modified xsi:type="dcterms:W3CDTF">2022-02-21T06:02:46Z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2022-02-21T14:02:46Z</dcterms:created>
  <dcterms:modified xsi:type="dcterms:W3CDTF">2022-02-21T06:02:46Z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2022-02-21T14:02:46Z</dcterms:created>
  <dcterms:modified xsi:type="dcterms:W3CDTF">2022-02-21T06:02:46Z</dcterms:modified>
</cp:coreProperties>
</file>

<file path=customXml/itemProps1.xml><?xml version="1.0" encoding="utf-8"?>
<ds:datastoreItem xmlns:ds="http://schemas.openxmlformats.org/officeDocument/2006/customXml" ds:itemID="{03444072-6FE2-4EB8-8B72-BCCA46C422D2}">
  <ds:schemaRefs/>
</ds:datastoreItem>
</file>

<file path=customXml/itemProps2.xml><?xml version="1.0" encoding="utf-8"?>
<ds:datastoreItem xmlns:ds="http://schemas.openxmlformats.org/officeDocument/2006/customXml" ds:itemID="{D9C0BABE-3F16-48D2-BB3D-F0EBD2B7A6EB}">
  <ds:schemaRefs/>
</ds:datastoreItem>
</file>

<file path=customXml/itemProps3.xml><?xml version="1.0" encoding="utf-8"?>
<ds:datastoreItem xmlns:ds="http://schemas.openxmlformats.org/officeDocument/2006/customXml" ds:itemID="{F60763C3-F977-452F-9762-CAE2D168F9E5}">
  <ds:schemaRefs/>
</ds:datastoreItem>
</file>

<file path=customXml/itemProps4.xml><?xml version="1.0" encoding="utf-8"?>
<ds:datastoreItem xmlns:ds="http://schemas.openxmlformats.org/officeDocument/2006/customXml" ds:itemID="{13C6C831-71BC-405B-8414-FE15FE3BA69C}">
  <ds:schemaRefs/>
</ds:datastoreItem>
</file>

<file path=customXml/itemProps5.xml><?xml version="1.0" encoding="utf-8"?>
<ds:datastoreItem xmlns:ds="http://schemas.openxmlformats.org/officeDocument/2006/customXml" ds:itemID="{C1815702-6FA8-4DA4-B87D-983831E4EBE9}">
  <ds:schemaRefs/>
</ds:datastoreItem>
</file>

<file path=customXml/itemProps6.xml><?xml version="1.0" encoding="utf-8"?>
<ds:datastoreItem xmlns:ds="http://schemas.openxmlformats.org/officeDocument/2006/customXml" ds:itemID="{D5D92868-55F3-459A-B6ED-6E06F6602D6C}">
  <ds:schemaRefs/>
</ds:datastoreItem>
</file>

<file path=docProps/app.xml><?xml version="1.0" encoding="utf-8"?>
<Properties xmlns="http://schemas.openxmlformats.org/officeDocument/2006/extended-properties" xmlns:vt="http://schemas.openxmlformats.org/officeDocument/2006/docPropsVTypes">
  <Template>Normal</Template>
  <Company>b</Company>
  <Pages>11</Pages>
  <Words>665</Words>
  <Characters>3796</Characters>
  <Lines>31</Lines>
  <Paragraphs>8</Paragraphs>
  <TotalTime>4</TotalTime>
  <ScaleCrop>false</ScaleCrop>
  <LinksUpToDate>false</LinksUpToDate>
  <CharactersWithSpaces>4453</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2022-03-02T02:12:00Z</dcterms:created>
  <dc:creator>Administrator</dc:creator>
  <cp:lastModifiedBy>Administrator</cp:lastModifiedBy>
  <cp:lastPrinted>2022-03-02T02:15:00Z</cp:lastPrinted>
  <dcterms:modified xsi:type="dcterms:W3CDTF">2024-03-19T06:43:43Z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5824BC510B9946A698A3F4C478A3B912_12</vt:lpwstr>
  </property>
</Properties>
</file>