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方正小标宋_GBK"/>
          <w:b/>
          <w:sz w:val="44"/>
          <w:szCs w:val="44"/>
        </w:rPr>
      </w:pPr>
      <w:bookmarkStart w:id="2" w:name="_GoBack"/>
      <w:bookmarkEnd w:id="2"/>
      <w:r>
        <w:rPr>
          <w:rFonts w:hint="eastAsia" w:ascii="Times New Roman" w:hAnsi="Times New Roman" w:eastAsia="方正小标宋_GBK" w:cs="方正小标宋_GBK"/>
          <w:b/>
          <w:sz w:val="44"/>
          <w:szCs w:val="44"/>
        </w:rPr>
        <w:t>遵化市民政局</w:t>
      </w:r>
      <w:r>
        <w:rPr>
          <w:rFonts w:ascii="Times New Roman" w:hAnsi="Times New Roman" w:eastAsia="方正小标宋_GBK"/>
          <w:b/>
          <w:sz w:val="44"/>
          <w:szCs w:val="44"/>
        </w:rPr>
        <w:t>2018</w:t>
      </w:r>
      <w:r>
        <w:rPr>
          <w:rFonts w:hint="eastAsia" w:ascii="Times New Roman" w:hAnsi="Times New Roman" w:eastAsia="方正小标宋_GBK" w:cs="方正小标宋_GBK"/>
          <w:b/>
          <w:sz w:val="44"/>
          <w:szCs w:val="44"/>
        </w:rPr>
        <w:t>年部门预算信息公开</w:t>
      </w:r>
    </w:p>
    <w:p>
      <w:pPr>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《中华人民共和国预算法》</w:t>
      </w:r>
      <w:r>
        <w:rPr>
          <w:rFonts w:hint="eastAsia" w:ascii="Times New Roman" w:hAnsi="Times New Roman" w:eastAsia="方正仿宋_GBK" w:cs="方正仿宋_GBK"/>
          <w:sz w:val="32"/>
          <w:szCs w:val="32"/>
        </w:rPr>
        <w:t>、《地方预决算公开操作规程》和《河北省省级预算公开办法》规定，现将遵化市民政局</w:t>
      </w: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年部门预算公开如下：</w:t>
      </w:r>
    </w:p>
    <w:p>
      <w:pPr>
        <w:ind w:firstLine="640"/>
        <w:rPr>
          <w:rFonts w:ascii="黑体" w:hAnsi="黑体" w:eastAsia="黑体"/>
          <w:b/>
          <w:bCs/>
          <w:sz w:val="32"/>
          <w:szCs w:val="32"/>
        </w:rPr>
      </w:pPr>
      <w:r>
        <w:rPr>
          <w:rFonts w:hint="eastAsia" w:ascii="黑体" w:hAnsi="黑体" w:eastAsia="黑体" w:cs="黑体"/>
          <w:b/>
          <w:bCs/>
          <w:sz w:val="32"/>
          <w:szCs w:val="32"/>
        </w:rPr>
        <w:t>一、部门职责及机构设置情况</w:t>
      </w:r>
    </w:p>
    <w:p>
      <w:pPr>
        <w:ind w:firstLine="643" w:firstLineChars="200"/>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部门职责：</w:t>
      </w:r>
    </w:p>
    <w:p>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（一）贯彻执行民政工作的方针政策和法律法规；拟定全市民政工作政府规章草案；拟定全市民政事业发展规划。</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（二）承担依法对社会团体、民办非企业单位的登记管理和监察责任；负责全市社团和民办非企业单位的申报、登记、管理，查处非法社团等。</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贯彻落实抚恤优待和烈士褒扬工作的法律法规，拟订有关政府规章草案和政策；组织、指导全市拥军优属活动；负责抚恤、优待和烈士褒扬工作；负责全市革命烈士资料的收集、整理、编纂工作，负责指导全市优抚事业单位的服务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（四）负责管理退伍义务兵、转业士官、复员干部和军队离退休干部的接收安置工作；负责军队无军籍退休退职职工接收安置工作；指导军队离退休干部休养所的服务管理工作。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拟订全市救灾工作政策；组织协调全市救灾工作；组织全市自然灾害救助应急体系建设；负责组织核查并统一发布全市灾情；管理、分配中央、省、市级救灾款物并监察监督使用；组织、指导全市救灾捐赠工作和救灾物资的仓储管理工作；负责国内外对本市救灾捐赠款物的接收管理和分配使用。</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牵头拟订社会救助规划、政策和标准，承担城乡社会救助体系建设；负责全市城乡社会救助和农村五保户供养政策的落实以及其他特殊救济对象的基本生活；负责全市困难户危房改造工作；负责城乡困难群众医疗救助工作；负责全市城乡最低生活保障工作的实施；参与拟订住房、教育、司法救助等相关办法。</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（七）提出加强和改进城乡基层政权建设的建议，推进基层民政政治建设；指导村（居）民委员会开展民政选举、民主决策、民主管理和民主监督工作；指导社区服务体系设置。</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拟订全市行政区划管理政策和地名、行政区域界线管理的方案；负责全市行政区域及乡镇、街道办事处的设立、命名、变更和政府驻地迁移的调查论证、审核上报有关工作；负责重要自然、人文地理实体命名、更名的申报、审批工作；负责全市地名管理工作，组织实施地名公共服务工程；负责编辑和审定全市行政区划和标准地名的书图资料；负责全市地名档案资料的管理；负责市级行政区域界线管理工作；组织、指导行政区域界线的勘定和管理工作，承办有关仲裁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（九）拟订全市社会福利事业发展规划及各类福利机构的管理办法和服务标准；负责全市福利彩票发行管理工作，管理市级福利资金；拟订福利企业扶持保护政策，负责全市社会福利企业认定管理工作。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（十）拟订促进全市慈善事业发展政策，组织指导社会捐助工作；贯彻落实有关老年人、孤儿和残疾人等特殊群体权益保护的法律法规；承担全市康复器具行业管理工作。指导慈善总会工作。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（十一）、贯彻落实婚姻管理、殡葬管理和儿童收养的法律法规并制定相关政策；负责推进婚俗和殡葬改革工作；指导全市婚姻、殡葬、收养、救助服务机构管理工作。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（十二）会同有关部门拟订社会发展规划和政策措施；推进全市社会工作人才队伍建设和相关志愿者队伍建设。</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（十三）负责老龄工作委员会办公室、扶贫工作委员会办公室、减灾委员会办公室的日常工作。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负责敬老院的监督管理工作；负责对新成立的老年公寓进行审批，对取得社会福利机构证书的老年公寓进行监督管理，协助各乡镇、街道办并会同相关部门对未取得社会福利机构证书的社会办老年公寓进行查处，并会同相关部门督促其完善相关手续。</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（十五）负责指导监督民政事业费的使用和管理，统计全市民政事业指标。</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（十六）负责民族宗教事务工作。</w:t>
      </w:r>
    </w:p>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（十七）承办市政府交办的其他事项。</w:t>
      </w:r>
    </w:p>
    <w:p>
      <w:pPr>
        <w:autoSpaceDE w:val="0"/>
        <w:autoSpaceDN w:val="0"/>
        <w:adjustRightInd w:val="0"/>
        <w:ind w:left="198" w:firstLine="643" w:firstLineChars="200"/>
        <w:jc w:val="left"/>
        <w:rPr>
          <w:rFonts w:ascii="方正仿宋_GBK" w:hAnsi="Times New Roman" w:eastAsia="方正仿宋_GBK"/>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4"/>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rPr>
            </w:pPr>
          </w:p>
        </w:tc>
        <w:tc>
          <w:tcPr>
            <w:tcW w:w="1134" w:type="dxa"/>
            <w:vMerge w:val="continue"/>
            <w:vAlign w:val="center"/>
          </w:tcPr>
          <w:p>
            <w:pPr>
              <w:spacing w:line="300" w:lineRule="exact"/>
              <w:jc w:val="left"/>
              <w:outlineLvl w:val="0"/>
              <w:rPr>
                <w:rFonts w:ascii="Times New Roman" w:hAnsi="Times New Roman"/>
              </w:rPr>
            </w:pPr>
          </w:p>
        </w:tc>
        <w:tc>
          <w:tcPr>
            <w:tcW w:w="1276" w:type="dxa"/>
            <w:vMerge w:val="continue"/>
            <w:vAlign w:val="center"/>
          </w:tcPr>
          <w:p>
            <w:pPr>
              <w:spacing w:line="300" w:lineRule="exact"/>
              <w:jc w:val="left"/>
              <w:outlineLvl w:val="0"/>
              <w:rPr>
                <w:rFonts w:ascii="Times New Roman" w:hAnsi="Times New Roman"/>
              </w:rPr>
            </w:pPr>
          </w:p>
        </w:tc>
        <w:tc>
          <w:tcPr>
            <w:tcW w:w="2902" w:type="dxa"/>
            <w:vMerge w:val="continue"/>
            <w:vAlign w:val="center"/>
          </w:tcPr>
          <w:p>
            <w:pPr>
              <w:spacing w:line="300" w:lineRule="exact"/>
              <w:jc w:val="left"/>
              <w:outlineLvl w:val="0"/>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b/>
                <w:bCs/>
              </w:rPr>
            </w:pPr>
          </w:p>
        </w:tc>
        <w:tc>
          <w:tcPr>
            <w:tcW w:w="1276" w:type="dxa"/>
            <w:vAlign w:val="center"/>
          </w:tcPr>
          <w:p>
            <w:pPr>
              <w:spacing w:line="300" w:lineRule="exact"/>
              <w:jc w:val="center"/>
              <w:rPr>
                <w:rFonts w:ascii="方正书宋_GBK" w:eastAsia="方正书宋_GBK"/>
                <w:b/>
                <w:bCs/>
              </w:rPr>
            </w:pPr>
          </w:p>
        </w:tc>
        <w:tc>
          <w:tcPr>
            <w:tcW w:w="2902" w:type="dxa"/>
            <w:vAlign w:val="center"/>
          </w:tcPr>
          <w:p>
            <w:pPr>
              <w:spacing w:line="300" w:lineRule="exact"/>
              <w:jc w:val="center"/>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正科级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遵化市民政局社会事业科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遵化市人民政局基层政权科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遵化市民政局优抚科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遵化市民政局救灾救助科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遵化市民政局民族宗教事务管理科</w:t>
            </w:r>
          </w:p>
        </w:tc>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遵化市民政局老龄委办公室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cs="方正书宋_GBK"/>
              </w:rPr>
              <w:t>遵化市地名办公室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遵化市民政局婚姻登记处</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遵化市民政局敬老机构管理服务中心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遵化市民政局社会福利企业管理中心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遵化市民政局低保核查认定中心</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遵化市光荣院</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遵化市烈士陵园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遵化市军队离退休干部休养所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遵化市殡葬管理所</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遵化市长城抗战烈士陵园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遵化市人民陵园</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遵化市老年公寓</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正股级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4443"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遵化市吉安园林陵园公司</w:t>
            </w:r>
          </w:p>
        </w:tc>
        <w:tc>
          <w:tcPr>
            <w:tcW w:w="1134"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事业</w:t>
            </w:r>
          </w:p>
        </w:tc>
        <w:tc>
          <w:tcPr>
            <w:tcW w:w="1276"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副科级</w:t>
            </w:r>
          </w:p>
        </w:tc>
        <w:tc>
          <w:tcPr>
            <w:tcW w:w="2902"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财政零补助</w:t>
            </w:r>
          </w:p>
        </w:tc>
      </w:tr>
    </w:tbl>
    <w:p>
      <w:pPr>
        <w:autoSpaceDE w:val="0"/>
        <w:autoSpaceDN w:val="0"/>
        <w:adjustRightInd w:val="0"/>
        <w:ind w:left="197" w:leftChars="94" w:firstLine="320" w:firstLineChars="100"/>
        <w:jc w:val="left"/>
        <w:rPr>
          <w:rFonts w:ascii="Times New Roman" w:hAnsi="Times New Roman" w:eastAsia="方正仿宋_GBK" w:cs="方正仿宋_GBK"/>
          <w:sz w:val="32"/>
          <w:szCs w:val="32"/>
        </w:rPr>
      </w:pPr>
    </w:p>
    <w:p>
      <w:pPr>
        <w:ind w:firstLine="640"/>
        <w:rPr>
          <w:rFonts w:ascii="黑体" w:hAnsi="黑体" w:eastAsia="黑体"/>
          <w:b/>
          <w:bCs/>
          <w:sz w:val="32"/>
          <w:szCs w:val="32"/>
        </w:rPr>
      </w:pPr>
      <w:r>
        <w:rPr>
          <w:rFonts w:hint="eastAsia" w:ascii="黑体" w:hAnsi="黑体" w:eastAsia="黑体" w:cs="黑体"/>
          <w:b/>
          <w:bCs/>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方正仿宋_GBK"/>
          <w:sz w:val="32"/>
          <w:szCs w:val="32"/>
        </w:rPr>
        <w:t>2018</w:t>
      </w:r>
      <w:r>
        <w:rPr>
          <w:rFonts w:hint="eastAsia" w:ascii="Times New Roman" w:hAnsi="Times New Roman" w:eastAsia="方正仿宋_GBK" w:cs="方正仿宋_GBK"/>
          <w:sz w:val="32"/>
          <w:szCs w:val="32"/>
        </w:rPr>
        <w:t>年预算总收入</w:t>
      </w:r>
      <w:r>
        <w:rPr>
          <w:rFonts w:ascii="Times New Roman" w:hAnsi="Times New Roman" w:eastAsia="方正仿宋_GBK" w:cs="方正仿宋_GBK"/>
          <w:sz w:val="32"/>
          <w:szCs w:val="32"/>
        </w:rPr>
        <w:t>15472.23</w:t>
      </w:r>
      <w:r>
        <w:rPr>
          <w:rFonts w:hint="eastAsia" w:ascii="Times New Roman" w:hAnsi="Times New Roman" w:eastAsia="方正仿宋_GBK" w:cs="方正仿宋_GBK"/>
          <w:sz w:val="32"/>
          <w:szCs w:val="32"/>
        </w:rPr>
        <w:t>万元，其中一般公共预算财政拨款</w:t>
      </w:r>
      <w:r>
        <w:rPr>
          <w:rFonts w:ascii="Times New Roman" w:hAnsi="Times New Roman" w:eastAsia="方正仿宋_GBK" w:cs="方正仿宋_GBK"/>
          <w:sz w:val="32"/>
          <w:szCs w:val="32"/>
        </w:rPr>
        <w:t>15446.23</w:t>
      </w:r>
      <w:r>
        <w:rPr>
          <w:rFonts w:hint="eastAsia" w:ascii="Times New Roman" w:hAnsi="Times New Roman" w:eastAsia="方正仿宋_GBK" w:cs="方正仿宋_GBK"/>
          <w:sz w:val="32"/>
          <w:szCs w:val="32"/>
        </w:rPr>
        <w:t>万元，政府性基金预算财政拨款</w:t>
      </w:r>
      <w:r>
        <w:rPr>
          <w:rFonts w:ascii="Times New Roman" w:hAnsi="Times New Roman" w:eastAsia="方正仿宋_GBK" w:cs="方正仿宋_GBK"/>
          <w:sz w:val="32"/>
          <w:szCs w:val="32"/>
        </w:rPr>
        <w:t>26</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cs="方正仿宋_GBK"/>
          <w:b/>
          <w:bCs/>
          <w:sz w:val="32"/>
          <w:szCs w:val="32"/>
        </w:rPr>
        <w:t>、支出说明</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收支预算总表支出栏、基本支出表、项目支出表按经济分类和支出功能分类科目编制，反映遵化市民政局</w:t>
      </w: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年度部门预算中支出预算的总体情况。</w:t>
      </w: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年支出预算</w:t>
      </w:r>
      <w:r>
        <w:rPr>
          <w:rFonts w:ascii="Times New Roman" w:hAnsi="Times New Roman" w:eastAsia="方正仿宋_GBK"/>
          <w:sz w:val="32"/>
          <w:szCs w:val="32"/>
        </w:rPr>
        <w:t>15472.23</w:t>
      </w:r>
      <w:r>
        <w:rPr>
          <w:rFonts w:hint="eastAsia" w:ascii="Times New Roman" w:hAnsi="Times New Roman" w:eastAsia="方正仿宋_GBK" w:cs="方正仿宋_GBK"/>
          <w:sz w:val="32"/>
          <w:szCs w:val="32"/>
        </w:rPr>
        <w:t>万元，其中基本支出</w:t>
      </w:r>
      <w:r>
        <w:rPr>
          <w:rFonts w:ascii="Times New Roman" w:hAnsi="Times New Roman" w:eastAsia="方正仿宋_GBK"/>
          <w:sz w:val="32"/>
          <w:szCs w:val="32"/>
        </w:rPr>
        <w:t>13</w:t>
      </w:r>
      <w:r>
        <w:rPr>
          <w:rFonts w:hint="eastAsia" w:ascii="Times New Roman" w:hAnsi="Times New Roman" w:eastAsia="方正仿宋_GBK"/>
          <w:sz w:val="32"/>
          <w:szCs w:val="32"/>
        </w:rPr>
        <w:t>19.33</w:t>
      </w:r>
      <w:r>
        <w:rPr>
          <w:rFonts w:hint="eastAsia" w:ascii="Times New Roman" w:hAnsi="Times New Roman" w:eastAsia="方正仿宋_GBK" w:cs="方正仿宋_GBK"/>
          <w:sz w:val="32"/>
          <w:szCs w:val="32"/>
        </w:rPr>
        <w:t>万元，包括人员经费</w:t>
      </w:r>
      <w:r>
        <w:rPr>
          <w:rFonts w:ascii="Times New Roman" w:hAnsi="Times New Roman" w:eastAsia="方正仿宋_GBK"/>
          <w:sz w:val="32"/>
          <w:szCs w:val="32"/>
        </w:rPr>
        <w:t>1</w:t>
      </w:r>
      <w:r>
        <w:rPr>
          <w:rFonts w:hint="eastAsia" w:ascii="Times New Roman" w:hAnsi="Times New Roman" w:eastAsia="方正仿宋_GBK"/>
          <w:sz w:val="32"/>
          <w:szCs w:val="32"/>
        </w:rPr>
        <w:t>274.6</w:t>
      </w:r>
      <w:r>
        <w:rPr>
          <w:rFonts w:hint="eastAsia" w:ascii="Times New Roman" w:hAnsi="Times New Roman" w:eastAsia="方正仿宋_GBK" w:cs="方正仿宋_GBK"/>
          <w:sz w:val="32"/>
          <w:szCs w:val="32"/>
        </w:rPr>
        <w:t>万元和日常公用经费</w:t>
      </w:r>
      <w:r>
        <w:rPr>
          <w:rFonts w:ascii="Times New Roman" w:hAnsi="Times New Roman" w:eastAsia="方正仿宋_GBK"/>
          <w:sz w:val="32"/>
          <w:szCs w:val="32"/>
        </w:rPr>
        <w:t>44.73</w:t>
      </w:r>
      <w:r>
        <w:rPr>
          <w:rFonts w:hint="eastAsia" w:ascii="Times New Roman" w:hAnsi="Times New Roman" w:eastAsia="方正仿宋_GBK" w:cs="方正仿宋_GBK"/>
          <w:sz w:val="32"/>
          <w:szCs w:val="32"/>
        </w:rPr>
        <w:t>万元；项目支出</w:t>
      </w:r>
      <w:r>
        <w:rPr>
          <w:rFonts w:ascii="Times New Roman" w:hAnsi="Times New Roman" w:eastAsia="方正仿宋_GBK"/>
          <w:sz w:val="32"/>
          <w:szCs w:val="32"/>
        </w:rPr>
        <w:t>14152.9</w:t>
      </w:r>
      <w:r>
        <w:rPr>
          <w:rFonts w:hint="eastAsia" w:ascii="Times New Roman" w:hAnsi="Times New Roman" w:eastAsia="方正仿宋_GBK" w:cs="方正仿宋_GBK"/>
          <w:sz w:val="32"/>
          <w:szCs w:val="32"/>
        </w:rPr>
        <w:t>万元，包括本级支出，主要为低保、五保、救灾、残疾人两补、优抚对象生活补助和抚恤金、退役安置等。</w:t>
      </w:r>
    </w:p>
    <w:p>
      <w:pPr>
        <w:ind w:firstLine="64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、比上年增减情况</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cs="方正仿宋_GBK"/>
          <w:sz w:val="32"/>
          <w:szCs w:val="32"/>
        </w:rPr>
        <w:t>2</w:t>
      </w:r>
      <w:r>
        <w:rPr>
          <w:rFonts w:ascii="Times New Roman" w:hAnsi="Times New Roman" w:eastAsia="方正仿宋_GBK"/>
          <w:sz w:val="32"/>
          <w:szCs w:val="32"/>
        </w:rPr>
        <w:t>018</w:t>
      </w:r>
      <w:r>
        <w:rPr>
          <w:rFonts w:hint="eastAsia" w:ascii="Times New Roman" w:hAnsi="Times New Roman" w:eastAsia="方正仿宋_GBK"/>
          <w:sz w:val="32"/>
          <w:szCs w:val="32"/>
        </w:rPr>
        <w:t>年预算总拨款</w:t>
      </w:r>
      <w:r>
        <w:rPr>
          <w:rFonts w:ascii="Times New Roman" w:hAnsi="Times New Roman" w:eastAsia="方正仿宋_GBK"/>
          <w:sz w:val="32"/>
          <w:szCs w:val="32"/>
        </w:rPr>
        <w:t>15472.23</w:t>
      </w:r>
      <w:r>
        <w:rPr>
          <w:rFonts w:hint="eastAsia" w:ascii="Times New Roman" w:hAnsi="Times New Roman" w:eastAsia="方正仿宋_GBK"/>
          <w:sz w:val="32"/>
          <w:szCs w:val="32"/>
        </w:rPr>
        <w:t>万元，比</w:t>
      </w:r>
      <w:r>
        <w:rPr>
          <w:rFonts w:ascii="Times New Roman" w:hAnsi="Times New Roman" w:eastAsia="方正仿宋_GBK"/>
          <w:sz w:val="32"/>
          <w:szCs w:val="32"/>
        </w:rPr>
        <w:t>2017</w:t>
      </w:r>
      <w:r>
        <w:rPr>
          <w:rFonts w:hint="eastAsia" w:ascii="Times New Roman" w:hAnsi="Times New Roman" w:eastAsia="方正仿宋_GBK"/>
          <w:sz w:val="32"/>
          <w:szCs w:val="32"/>
        </w:rPr>
        <w:t>年增加</w:t>
      </w:r>
      <w:r>
        <w:rPr>
          <w:rFonts w:ascii="Times New Roman" w:hAnsi="Times New Roman" w:eastAsia="方正仿宋_GBK"/>
          <w:sz w:val="32"/>
          <w:szCs w:val="32"/>
        </w:rPr>
        <w:t>2343.23</w:t>
      </w:r>
      <w:r>
        <w:rPr>
          <w:rFonts w:hint="eastAsia" w:ascii="Times New Roman" w:hAnsi="Times New Roman" w:eastAsia="方正仿宋_GBK"/>
          <w:sz w:val="32"/>
          <w:szCs w:val="32"/>
        </w:rPr>
        <w:t>万元，主要是项目支出增加</w:t>
      </w:r>
      <w:r>
        <w:rPr>
          <w:rFonts w:ascii="Times New Roman" w:hAnsi="Times New Roman" w:eastAsia="方正仿宋_GBK"/>
          <w:sz w:val="32"/>
          <w:szCs w:val="32"/>
        </w:rPr>
        <w:t>2091</w:t>
      </w:r>
      <w:r>
        <w:rPr>
          <w:rFonts w:hint="eastAsia" w:ascii="Times New Roman" w:hAnsi="Times New Roman" w:eastAsia="方正仿宋_GBK"/>
          <w:sz w:val="32"/>
          <w:szCs w:val="32"/>
        </w:rPr>
        <w:t>万元，</w:t>
      </w:r>
      <w:r>
        <w:rPr>
          <w:rFonts w:ascii="Times New Roman" w:hAnsi="Times New Roman" w:eastAsia="方正仿宋_GBK"/>
          <w:sz w:val="32"/>
          <w:szCs w:val="32"/>
        </w:rPr>
        <w:t>2018</w:t>
      </w:r>
      <w:r>
        <w:rPr>
          <w:rFonts w:hint="eastAsia" w:ascii="Times New Roman" w:hAnsi="Times New Roman" w:eastAsia="方正仿宋_GBK"/>
          <w:sz w:val="32"/>
          <w:szCs w:val="32"/>
        </w:rPr>
        <w:t>年项目支出包含上级转移支付资金。</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年，我部门机关运行经费共计安排</w:t>
      </w:r>
      <w:r>
        <w:rPr>
          <w:rFonts w:ascii="Times New Roman" w:hAnsi="Times New Roman" w:eastAsia="方正仿宋_GBK"/>
          <w:sz w:val="32"/>
          <w:szCs w:val="32"/>
        </w:rPr>
        <w:t>44.73</w:t>
      </w:r>
      <w:r>
        <w:rPr>
          <w:rFonts w:hint="eastAsia" w:ascii="Times New Roman" w:hAnsi="Times New Roman" w:eastAsia="方正仿宋_GBK" w:cs="方正仿宋_GBK"/>
          <w:sz w:val="32"/>
          <w:szCs w:val="32"/>
        </w:rPr>
        <w:t>万元，主要用于办公区的日常费用1.65万元、公务用车运行维护费4.1万元、公务员交通补贴11.16万元，差旅费0.66万元、办公用房取暖费18.18万元、邮电费0.7万元，工会经费福利费6.37万元，其他培训费、会议经费、老干部福利费等1.91万元。</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经费预算安排</w:t>
      </w:r>
      <w:r>
        <w:rPr>
          <w:rFonts w:ascii="Times New Roman" w:hAnsi="Times New Roman" w:eastAsia="方正仿宋_GBK"/>
          <w:sz w:val="32"/>
          <w:szCs w:val="32"/>
        </w:rPr>
        <w:t>4.48</w:t>
      </w:r>
      <w:r>
        <w:rPr>
          <w:rFonts w:hint="eastAsia" w:ascii="Times New Roman" w:hAnsi="Times New Roman" w:eastAsia="方正仿宋_GBK" w:cs="方正仿宋_GBK"/>
          <w:sz w:val="32"/>
          <w:szCs w:val="32"/>
        </w:rPr>
        <w:t>万元，较2017年预算相同，无增减变化，具体情况为：</w:t>
      </w:r>
    </w:p>
    <w:p>
      <w:pPr>
        <w:numPr>
          <w:ilvl w:val="0"/>
          <w:numId w:val="1"/>
        </w:num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公务用车购置及运行费</w:t>
      </w:r>
      <w:r>
        <w:rPr>
          <w:rFonts w:ascii="Times New Roman" w:hAnsi="Times New Roman" w:eastAsia="方正仿宋_GBK"/>
          <w:sz w:val="32"/>
          <w:szCs w:val="32"/>
        </w:rPr>
        <w:t>4.1</w:t>
      </w:r>
      <w:r>
        <w:rPr>
          <w:rFonts w:hint="eastAsia" w:ascii="Times New Roman" w:hAnsi="Times New Roman" w:eastAsia="方正仿宋_GBK" w:cs="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万元，公务用车运行费</w:t>
      </w:r>
      <w:r>
        <w:rPr>
          <w:rFonts w:ascii="Times New Roman" w:hAnsi="Times New Roman" w:eastAsia="方正仿宋_GBK"/>
          <w:sz w:val="32"/>
          <w:szCs w:val="32"/>
        </w:rPr>
        <w:t>4.1</w:t>
      </w:r>
      <w:r>
        <w:rPr>
          <w:rFonts w:hint="eastAsia" w:ascii="Times New Roman" w:hAnsi="Times New Roman" w:eastAsia="方正仿宋_GBK" w:cs="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，与</w:t>
      </w:r>
      <w:r>
        <w:rPr>
          <w:rFonts w:ascii="Times New Roman" w:hAnsi="Times New Roman" w:eastAsia="方正仿宋_GBK"/>
          <w:sz w:val="32"/>
          <w:szCs w:val="32"/>
        </w:rPr>
        <w:t>2017</w:t>
      </w:r>
      <w:r>
        <w:rPr>
          <w:rFonts w:hint="eastAsia" w:ascii="Times New Roman" w:hAnsi="Times New Roman" w:eastAsia="方正仿宋_GBK" w:cs="方正仿宋_GBK"/>
          <w:sz w:val="32"/>
          <w:szCs w:val="32"/>
        </w:rPr>
        <w:t>年相比持平，无增减变化；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公务接待费</w:t>
      </w:r>
      <w:r>
        <w:rPr>
          <w:rFonts w:ascii="Times New Roman" w:hAnsi="Times New Roman" w:eastAsia="方正仿宋_GBK"/>
          <w:sz w:val="32"/>
          <w:szCs w:val="32"/>
        </w:rPr>
        <w:t>0.38</w:t>
      </w:r>
      <w:r>
        <w:rPr>
          <w:rFonts w:hint="eastAsia" w:ascii="Times New Roman" w:hAnsi="Times New Roman" w:eastAsia="方正仿宋_GBK" w:cs="方正仿宋_GBK"/>
          <w:sz w:val="32"/>
          <w:szCs w:val="32"/>
        </w:rPr>
        <w:t>万元。与</w:t>
      </w:r>
      <w:r>
        <w:rPr>
          <w:rFonts w:ascii="Times New Roman" w:hAnsi="Times New Roman" w:eastAsia="方正仿宋_GBK"/>
          <w:sz w:val="32"/>
          <w:szCs w:val="32"/>
        </w:rPr>
        <w:t>2017</w:t>
      </w:r>
      <w:r>
        <w:rPr>
          <w:rFonts w:hint="eastAsia" w:ascii="Times New Roman" w:hAnsi="Times New Roman" w:eastAsia="方正仿宋_GBK" w:cs="方正仿宋_GBK"/>
          <w:sz w:val="32"/>
          <w:szCs w:val="32"/>
        </w:rPr>
        <w:t>年相比持平，无增减变化。</w:t>
      </w:r>
    </w:p>
    <w:p>
      <w:pPr>
        <w:numPr>
          <w:ilvl w:val="0"/>
          <w:numId w:val="1"/>
        </w:num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因公出国（境）费</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sz w:val="32"/>
          <w:szCs w:val="32"/>
        </w:rPr>
        <w:t>2017</w:t>
      </w:r>
      <w:r>
        <w:rPr>
          <w:rFonts w:hint="eastAsia" w:ascii="Times New Roman" w:hAnsi="Times New Roman" w:eastAsia="方正仿宋_GBK" w:cs="方正仿宋_GBK"/>
          <w:sz w:val="32"/>
          <w:szCs w:val="32"/>
        </w:rPr>
        <w:t>年相比持平，无增减变化；</w:t>
      </w:r>
    </w:p>
    <w:p>
      <w:pPr>
        <w:ind w:firstLine="961" w:firstLineChars="299"/>
        <w:rPr>
          <w:rFonts w:ascii="黑体" w:hAnsi="黑体" w:eastAsia="黑体"/>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（一）总体绩效目标：</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根据遵政办</w:t>
      </w:r>
      <w:r>
        <w:rPr>
          <w:rFonts w:ascii="Times New Roman" w:hAnsi="Times New Roman" w:eastAsia="方正仿宋_GBK" w:cs="方正仿宋_GBK"/>
          <w:sz w:val="32"/>
          <w:szCs w:val="32"/>
        </w:rPr>
        <w:t>[2015]63</w:t>
      </w:r>
      <w:r>
        <w:rPr>
          <w:rFonts w:hint="eastAsia" w:ascii="Times New Roman" w:hAnsi="Times New Roman" w:eastAsia="方正仿宋_GBK" w:cs="方正仿宋_GBK"/>
          <w:sz w:val="32"/>
          <w:szCs w:val="32"/>
        </w:rPr>
        <w:t>号文件民政局的主要职责是：贯彻执行民政工作的方针政策和法律法规；拟定全市民政工作政府规章草案；拟定全市民政事业发展规划。</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立足全市经济社会发展，以改革创新为动力，着力构建充满活力、富有效率，保障基本、拓展服务，管理规范、更加开放的民政事业科学发展的体制机制，为建设“经济强市、美丽遵化”做出新的贡献。</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（二）职责分类绩效目标：</w:t>
      </w:r>
    </w:p>
    <w:p>
      <w:pPr>
        <w:autoSpaceDE w:val="0"/>
        <w:autoSpaceDN w:val="0"/>
        <w:adjustRightInd w:val="0"/>
        <w:ind w:left="198"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遵化市民政局按职责分类绩效目标情况说明</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健全基本民生保障，增强托底功能。进一步健全以城乡低保、农村五保、城乡医疗救助为基础，以临时救助和慈善救助为补充的社会救助保障体系。</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、健全防灾减灾救灾体系</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、推进扶贫开发工作</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、加强双拥优抚安置工作</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、推进基层民主政治建设和城乡社区建设</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6</w:t>
      </w:r>
      <w:r>
        <w:rPr>
          <w:rFonts w:hint="eastAsia" w:ascii="Times New Roman" w:hAnsi="Times New Roman" w:eastAsia="方正仿宋_GBK" w:cs="方正仿宋_GBK"/>
          <w:sz w:val="32"/>
          <w:szCs w:val="32"/>
        </w:rPr>
        <w:t>、推进老龄事业发展，加快社会养老体系建设</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7</w:t>
      </w:r>
      <w:r>
        <w:rPr>
          <w:rFonts w:hint="eastAsia" w:ascii="Times New Roman" w:hAnsi="Times New Roman" w:eastAsia="方正仿宋_GBK" w:cs="方正仿宋_GBK"/>
          <w:sz w:val="32"/>
          <w:szCs w:val="32"/>
        </w:rPr>
        <w:t>、加强社会事务管理工作</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8</w:t>
      </w:r>
      <w:r>
        <w:rPr>
          <w:rFonts w:hint="eastAsia" w:ascii="Times New Roman" w:hAnsi="Times New Roman" w:eastAsia="方正仿宋_GBK" w:cs="方正仿宋_GBK"/>
          <w:sz w:val="32"/>
          <w:szCs w:val="32"/>
        </w:rPr>
        <w:t>、积极发展慈善事业</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、全面落实民族宗教政策</w:t>
      </w:r>
    </w:p>
    <w:p>
      <w:pPr>
        <w:jc w:val="center"/>
        <w:outlineLvl w:val="0"/>
        <w:rPr>
          <w:rFonts w:ascii="方正小标宋_GBK" w:eastAsia="方正小标宋_GBK"/>
          <w:sz w:val="32"/>
        </w:rPr>
      </w:pPr>
      <w:bookmarkStart w:id="0" w:name="_Toc506341043"/>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7"/>
        <w:gridCol w:w="1275"/>
        <w:gridCol w:w="2974"/>
        <w:gridCol w:w="2974"/>
        <w:gridCol w:w="1416"/>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314</w:t>
            </w:r>
            <w:r>
              <w:rPr>
                <w:rFonts w:hint="eastAsia" w:ascii="方正小标宋_GBK" w:eastAsia="方正小标宋_GBK"/>
                <w:sz w:val="24"/>
              </w:rPr>
              <w:t>遵化市民政局部门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7"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4"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7"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2974" w:type="dxa"/>
            <w:vMerge w:val="continue"/>
            <w:vAlign w:val="center"/>
          </w:tcPr>
          <w:p>
            <w:pPr>
              <w:spacing w:line="300" w:lineRule="exact"/>
              <w:jc w:val="left"/>
              <w:outlineLvl w:val="0"/>
            </w:pPr>
          </w:p>
        </w:tc>
        <w:tc>
          <w:tcPr>
            <w:tcW w:w="2974" w:type="dxa"/>
            <w:vMerge w:val="continue"/>
            <w:vAlign w:val="center"/>
          </w:tcPr>
          <w:p>
            <w:pPr>
              <w:spacing w:line="300" w:lineRule="exact"/>
              <w:jc w:val="left"/>
              <w:outlineLvl w:val="0"/>
            </w:pPr>
          </w:p>
        </w:tc>
        <w:tc>
          <w:tcPr>
            <w:tcW w:w="1416"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一、社会救助、救灾管理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3471.00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、城乡居民低保保障</w:t>
            </w:r>
          </w:p>
        </w:tc>
        <w:tc>
          <w:tcPr>
            <w:tcW w:w="1275" w:type="dxa"/>
            <w:vAlign w:val="center"/>
          </w:tcPr>
          <w:p>
            <w:pPr>
              <w:spacing w:line="300" w:lineRule="exact"/>
              <w:jc w:val="left"/>
              <w:rPr>
                <w:rFonts w:ascii="方正书宋_GBK" w:eastAsia="方正书宋_GBK"/>
              </w:rPr>
            </w:pPr>
            <w:r>
              <w:rPr>
                <w:rFonts w:ascii="方正书宋_GBK" w:eastAsia="方正书宋_GBK"/>
              </w:rPr>
              <w:t>3471.00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城乡居民低保保障率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1350.00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、特困群众生活保障</w:t>
            </w:r>
          </w:p>
        </w:tc>
        <w:tc>
          <w:tcPr>
            <w:tcW w:w="1275" w:type="dxa"/>
            <w:vAlign w:val="center"/>
          </w:tcPr>
          <w:p>
            <w:pPr>
              <w:spacing w:line="300" w:lineRule="exact"/>
              <w:jc w:val="left"/>
              <w:rPr>
                <w:rFonts w:ascii="方正书宋_GBK" w:eastAsia="方正书宋_GBK"/>
              </w:rPr>
            </w:pPr>
            <w:r>
              <w:rPr>
                <w:rFonts w:ascii="方正书宋_GBK" w:eastAsia="方正书宋_GBK"/>
              </w:rPr>
              <w:t>1350.00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五保供养保障率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三、社会救助、救灾管理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112.07</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、孤儿基本生活保障</w:t>
            </w:r>
          </w:p>
        </w:tc>
        <w:tc>
          <w:tcPr>
            <w:tcW w:w="1275" w:type="dxa"/>
            <w:vAlign w:val="center"/>
          </w:tcPr>
          <w:p>
            <w:pPr>
              <w:spacing w:line="300" w:lineRule="exact"/>
              <w:jc w:val="left"/>
              <w:rPr>
                <w:rFonts w:ascii="方正书宋_GBK" w:eastAsia="方正书宋_GBK"/>
              </w:rPr>
            </w:pPr>
            <w:r>
              <w:rPr>
                <w:rFonts w:ascii="方正书宋_GBK" w:eastAsia="方正书宋_GBK"/>
              </w:rPr>
              <w:t>112.07</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孤儿基本生活保障率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四、社会救助、救灾管理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、流浪应救人员的救助</w:t>
            </w:r>
          </w:p>
        </w:tc>
        <w:tc>
          <w:tcPr>
            <w:tcW w:w="1275" w:type="dxa"/>
            <w:vAlign w:val="center"/>
          </w:tcPr>
          <w:p>
            <w:pPr>
              <w:spacing w:line="300" w:lineRule="exact"/>
              <w:jc w:val="left"/>
              <w:rPr>
                <w:rFonts w:ascii="方正书宋_GBK" w:eastAsia="方正书宋_GBK"/>
              </w:rPr>
            </w:pPr>
            <w:r>
              <w:rPr>
                <w:rFonts w:ascii="方正书宋_GBK" w:eastAsia="方正书宋_GBK"/>
              </w:rPr>
              <w:t>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流浪应救人员的救助率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五、社会救助、救灾管理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470.00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、残疾人两项补贴</w:t>
            </w:r>
          </w:p>
        </w:tc>
        <w:tc>
          <w:tcPr>
            <w:tcW w:w="1275" w:type="dxa"/>
            <w:vAlign w:val="center"/>
          </w:tcPr>
          <w:p>
            <w:pPr>
              <w:spacing w:line="300" w:lineRule="exact"/>
              <w:jc w:val="left"/>
              <w:rPr>
                <w:rFonts w:ascii="方正书宋_GBK" w:eastAsia="方正书宋_GBK"/>
              </w:rPr>
            </w:pPr>
            <w:r>
              <w:rPr>
                <w:rFonts w:ascii="方正书宋_GBK" w:eastAsia="方正书宋_GBK"/>
              </w:rPr>
              <w:t>470.00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残疾人两项补贴的发放率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六、社会救助、救灾管理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、流浪救助设施完好</w:t>
            </w:r>
          </w:p>
        </w:tc>
        <w:tc>
          <w:tcPr>
            <w:tcW w:w="1275" w:type="dxa"/>
            <w:vAlign w:val="center"/>
          </w:tcPr>
          <w:p>
            <w:pPr>
              <w:spacing w:line="300" w:lineRule="exact"/>
              <w:jc w:val="left"/>
              <w:rPr>
                <w:rFonts w:ascii="方正书宋_GBK" w:eastAsia="方正书宋_GBK"/>
              </w:rPr>
            </w:pPr>
            <w:r>
              <w:rPr>
                <w:rFonts w:ascii="方正书宋_GBK" w:eastAsia="方正书宋_GBK"/>
              </w:rPr>
              <w:t>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流浪救助设施完好率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七、社会救助、救灾管理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、患病孤残儿童救助治愈</w:t>
            </w:r>
          </w:p>
        </w:tc>
        <w:tc>
          <w:tcPr>
            <w:tcW w:w="1275" w:type="dxa"/>
            <w:vAlign w:val="center"/>
          </w:tcPr>
          <w:p>
            <w:pPr>
              <w:spacing w:line="300" w:lineRule="exact"/>
              <w:jc w:val="left"/>
              <w:rPr>
                <w:rFonts w:ascii="方正书宋_GBK" w:eastAsia="方正书宋_GBK"/>
              </w:rPr>
            </w:pPr>
            <w:r>
              <w:rPr>
                <w:rFonts w:ascii="方正书宋_GBK" w:eastAsia="方正书宋_GBK"/>
              </w:rPr>
              <w:t>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患病孤残儿童救助治愈率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八、社会救助、救灾管理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25.00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、精简退职人员定期定量补助</w:t>
            </w:r>
          </w:p>
        </w:tc>
        <w:tc>
          <w:tcPr>
            <w:tcW w:w="1275" w:type="dxa"/>
            <w:vAlign w:val="center"/>
          </w:tcPr>
          <w:p>
            <w:pPr>
              <w:spacing w:line="300" w:lineRule="exact"/>
              <w:jc w:val="left"/>
              <w:rPr>
                <w:rFonts w:ascii="方正书宋_GBK" w:eastAsia="方正书宋_GBK"/>
              </w:rPr>
            </w:pPr>
            <w:r>
              <w:rPr>
                <w:rFonts w:ascii="方正书宋_GBK" w:eastAsia="方正书宋_GBK"/>
              </w:rPr>
              <w:t>25.00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精简退职人员补助发放率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九、社会救助、救灾管理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、两节慰问</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两节慰问覆盖率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20.00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、城乡社会救助体系经费</w:t>
            </w:r>
          </w:p>
        </w:tc>
        <w:tc>
          <w:tcPr>
            <w:tcW w:w="1275" w:type="dxa"/>
            <w:vAlign w:val="center"/>
          </w:tcPr>
          <w:p>
            <w:pPr>
              <w:spacing w:line="300" w:lineRule="exact"/>
              <w:jc w:val="left"/>
              <w:rPr>
                <w:rFonts w:ascii="方正书宋_GBK" w:eastAsia="方正书宋_GBK"/>
              </w:rPr>
            </w:pPr>
            <w:r>
              <w:rPr>
                <w:rFonts w:ascii="方正书宋_GBK" w:eastAsia="方正书宋_GBK"/>
              </w:rPr>
              <w:t>20.00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城乡社会救助工作完成率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十一、社会救助、救灾管理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590.00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、城乡居民医疗救助</w:t>
            </w:r>
          </w:p>
        </w:tc>
        <w:tc>
          <w:tcPr>
            <w:tcW w:w="1275" w:type="dxa"/>
            <w:vAlign w:val="center"/>
          </w:tcPr>
          <w:p>
            <w:pPr>
              <w:spacing w:line="300" w:lineRule="exact"/>
              <w:jc w:val="left"/>
              <w:rPr>
                <w:rFonts w:ascii="方正书宋_GBK" w:eastAsia="方正书宋_GBK"/>
              </w:rPr>
            </w:pPr>
            <w:r>
              <w:rPr>
                <w:rFonts w:ascii="方正书宋_GBK" w:eastAsia="方正书宋_GBK"/>
              </w:rPr>
              <w:t>590.00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负责城乡居民、优抚对象医疗救助、重特大疾病救助工作。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报销比例</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十二、社会救助、救灾管理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296.57</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、参保资助</w:t>
            </w:r>
          </w:p>
        </w:tc>
        <w:tc>
          <w:tcPr>
            <w:tcW w:w="1275" w:type="dxa"/>
            <w:vAlign w:val="center"/>
          </w:tcPr>
          <w:p>
            <w:pPr>
              <w:spacing w:line="300" w:lineRule="exact"/>
              <w:jc w:val="left"/>
              <w:rPr>
                <w:rFonts w:ascii="方正书宋_GBK" w:eastAsia="方正书宋_GBK"/>
              </w:rPr>
            </w:pPr>
            <w:r>
              <w:rPr>
                <w:rFonts w:ascii="方正书宋_GBK" w:eastAsia="方正书宋_GBK"/>
              </w:rPr>
              <w:t>296.57</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负责城乡居民、优抚对象医疗救助、重特大疾病救助工作。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参保资助率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十三、社会救助、救灾管理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551.96</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、优抚对象医疗补助</w:t>
            </w:r>
          </w:p>
        </w:tc>
        <w:tc>
          <w:tcPr>
            <w:tcW w:w="1275" w:type="dxa"/>
            <w:vAlign w:val="center"/>
          </w:tcPr>
          <w:p>
            <w:pPr>
              <w:spacing w:line="300" w:lineRule="exact"/>
              <w:jc w:val="left"/>
              <w:rPr>
                <w:rFonts w:ascii="方正书宋_GBK" w:eastAsia="方正书宋_GBK"/>
              </w:rPr>
            </w:pPr>
            <w:r>
              <w:rPr>
                <w:rFonts w:ascii="方正书宋_GBK" w:eastAsia="方正书宋_GBK"/>
              </w:rPr>
              <w:t>551.96</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负责城乡居民、优抚对象医疗救助、重特大疾病救助工作。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保障困难群众获得医疗救助，降低困难居民医疗负担。优抚对象的医疗困难得到有效解决。</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优抚对象医疗补助到位率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十四、社会救助、救灾管理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、救灾捐赠资金</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救灾捐赠资金到位率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十五、社会救助、救灾管理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72.00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、农村住房保险理赔</w:t>
            </w:r>
          </w:p>
        </w:tc>
        <w:tc>
          <w:tcPr>
            <w:tcW w:w="1275" w:type="dxa"/>
            <w:vAlign w:val="center"/>
          </w:tcPr>
          <w:p>
            <w:pPr>
              <w:spacing w:line="300" w:lineRule="exact"/>
              <w:jc w:val="left"/>
              <w:rPr>
                <w:rFonts w:ascii="方正书宋_GBK" w:eastAsia="方正书宋_GBK"/>
              </w:rPr>
            </w:pPr>
            <w:r>
              <w:rPr>
                <w:rFonts w:ascii="方正书宋_GBK" w:eastAsia="方正书宋_GBK"/>
              </w:rPr>
              <w:t>72.00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农村住房保险理赔率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十六、社会救助、救灾管理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、自然灾害救助应急资金</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自然灾害救助应急资金发放率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十七、社会救助、救灾管理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、突发灾害报灾时效性和准确性</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突发灾害报灾时效性和准确性</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十八、社会救助、救灾管理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、县级救灾物资运达灾区时间</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县级救灾物资运达灾区时间</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十九、社会救助、救灾管理</w:t>
            </w:r>
          </w:p>
        </w:tc>
        <w:tc>
          <w:tcPr>
            <w:tcW w:w="1275" w:type="dxa"/>
            <w:vAlign w:val="center"/>
          </w:tcPr>
          <w:p>
            <w:pPr>
              <w:spacing w:line="300" w:lineRule="exact"/>
              <w:jc w:val="left"/>
              <w:rPr>
                <w:rFonts w:ascii="方正书宋_GBK" w:eastAsia="方正书宋_GBK"/>
              </w:rPr>
            </w:pPr>
            <w:r>
              <w:rPr>
                <w:rFonts w:ascii="方正书宋_GBK" w:eastAsia="方正书宋_GBK"/>
              </w:rPr>
              <w:t>72.00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负责城乡居民最低生活保障、五保供养、医疗救助。组织协调全县防灾减灾救灾工作。组织核查并统一发布灾情。组织指导救灾捐赠工作，负责国内外救灾捐赠款物的接收管理和分配使用。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动态管理。完善全县自然灾害救助应急体系。实施分类救助，保障受灾群众基本生活。</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、物资保障受灾群众人数覆盖</w:t>
            </w:r>
          </w:p>
        </w:tc>
        <w:tc>
          <w:tcPr>
            <w:tcW w:w="1275" w:type="dxa"/>
            <w:vAlign w:val="center"/>
          </w:tcPr>
          <w:p>
            <w:pPr>
              <w:spacing w:line="300" w:lineRule="exact"/>
              <w:jc w:val="left"/>
              <w:rPr>
                <w:rFonts w:ascii="方正书宋_GBK" w:eastAsia="方正书宋_GBK"/>
              </w:rPr>
            </w:pPr>
            <w:r>
              <w:rPr>
                <w:rFonts w:ascii="方正书宋_GBK" w:eastAsia="方正书宋_GBK"/>
              </w:rPr>
              <w:t>72.00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县救灾捐赠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物资保障受灾群众人数覆盖率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、农村互助幸福院建设奖补</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落实国家和县老龄事业发展规划，加快养老服务设施建设，落实全县养老机构设立和管理工作；加快养老服务业发展，推进老年人福利健康快速发展。建立全县贫困失能老人护理补贴制度，实施爱心护理工程。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农村互助幸福院建设奖补率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二十一、社会福利政策及管理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、城乡居家养老服务中心建设奖补</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城乡居家养老服务中心建设奖补率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二十二、社会福利政策及管理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、养老机构一次性建设和运营奖补</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养老机构一次性建设和运营奖补率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二十三、社会福利政策及管理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62.50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、敬老院各类支出</w:t>
            </w:r>
          </w:p>
        </w:tc>
        <w:tc>
          <w:tcPr>
            <w:tcW w:w="1275" w:type="dxa"/>
            <w:vAlign w:val="center"/>
          </w:tcPr>
          <w:p>
            <w:pPr>
              <w:spacing w:line="300" w:lineRule="exact"/>
              <w:jc w:val="left"/>
              <w:rPr>
                <w:rFonts w:ascii="方正书宋_GBK" w:eastAsia="方正书宋_GBK"/>
              </w:rPr>
            </w:pPr>
            <w:r>
              <w:rPr>
                <w:rFonts w:ascii="方正书宋_GBK" w:eastAsia="方正书宋_GBK"/>
              </w:rPr>
              <w:t>62.50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养老机构一次性建设和运营奖补率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二十四、社会福利政策及管理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、困难高龄老人重阳节慰问</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困难高龄老人重阳节慰问发放率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二十五、社会福利政策及管理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330.00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、高龄老人津贴</w:t>
            </w:r>
          </w:p>
        </w:tc>
        <w:tc>
          <w:tcPr>
            <w:tcW w:w="1275" w:type="dxa"/>
            <w:vAlign w:val="center"/>
          </w:tcPr>
          <w:p>
            <w:pPr>
              <w:spacing w:line="300" w:lineRule="exact"/>
              <w:jc w:val="left"/>
              <w:rPr>
                <w:rFonts w:ascii="方正书宋_GBK" w:eastAsia="方正书宋_GBK"/>
              </w:rPr>
            </w:pPr>
            <w:r>
              <w:rPr>
                <w:rFonts w:ascii="方正书宋_GBK" w:eastAsia="方正书宋_GBK"/>
              </w:rPr>
              <w:t>330.00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高龄老人津贴发放率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7" w:type="dxa"/>
            <w:vAlign w:val="center"/>
          </w:tcPr>
          <w:p>
            <w:pPr>
              <w:spacing w:line="300" w:lineRule="exact"/>
              <w:jc w:val="left"/>
              <w:rPr>
                <w:rFonts w:ascii="方正书宋_GBK" w:eastAsia="方正书宋_GBK"/>
                <w:b/>
              </w:rPr>
            </w:pPr>
            <w:r>
              <w:rPr>
                <w:rFonts w:hint="eastAsia" w:ascii="方正书宋_GBK" w:eastAsia="方正书宋_GBK"/>
                <w:b/>
              </w:rPr>
              <w:t>二十六、社会福利政策及管理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7.92</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、百岁老人生活补贴</w:t>
            </w:r>
          </w:p>
        </w:tc>
        <w:tc>
          <w:tcPr>
            <w:tcW w:w="1275" w:type="dxa"/>
            <w:vAlign w:val="center"/>
          </w:tcPr>
          <w:p>
            <w:pPr>
              <w:spacing w:line="300" w:lineRule="exact"/>
              <w:jc w:val="left"/>
              <w:rPr>
                <w:rFonts w:ascii="方正书宋_GBK" w:eastAsia="方正书宋_GBK"/>
              </w:rPr>
            </w:pPr>
            <w:r>
              <w:rPr>
                <w:rFonts w:ascii="方正书宋_GBK" w:eastAsia="方正书宋_GBK"/>
              </w:rPr>
              <w:t>7.92</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百岁老人生活补贴发放率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二十七、社会福利政策及管理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、老龄工作经费</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落实国家和省老龄事业发展规划，加快养老服务设施建设；指导全省养老机构设立和管理工作；加快养老服务业发展，推进老年人福利健康快速发展。建立全省贫困失能老人护理补贴制度，实施爱心护理工程。</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全面建成以居家为基础、社区为依托、机构为支撑，功能完善、规模适度、覆盖城乡的养老服务体系，实现我县老人老有所养，老有所依，老有所乐，老有所为的目标。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老龄工作经费发放率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二十八、社会福利政策及管理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、福利企业认定数量</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推进全县慈善事业发展；负责全县福利企业认定初审、上报工作；指导全县开展精神病福利机构建设。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切实保障福利企业残疾职工基本权益，为残障人提供优质矫形器。</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福利企业认定数量</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二十九、社会福利政策及管理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、假肢假矫形器生产装配企业资格认定合格</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推进全县慈善事业发展；负责全县福利企业认定初审、上报工作；指导全县开展精神病福利机构建设。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切实保障福利企业残疾职工基本权益，为残障人提供优质矫形器。</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假肢假矫形器生产装配企业资格认定合格率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、殡葬设施设备年更新改造</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殡葬设施和设备现代、节能、节地、环保，能够满足群众需求，改善生态环境；惠民殡葬政策普及全县特殊困难群体；生态安葬形式逐步提高；群众办理丧事文明节俭；全县使用统一规范的火化证和骨灰安放证。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殡葬设施设备年更新改造率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三十一、社会福利政策及管理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、殡葬设备环保更新</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殡葬设备环保更新率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三十二、社会福利政策及管理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、火化证及骨灰安放证统一规范</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火化证及骨灰安放证统一规范率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三十三、社会福利政策及管理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、火化</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火化率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三十四、社会福利政策及管理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对残疾人、孤儿、流浪乞讨人员、未成年人等特殊群体权益保护，发展慈善事业，推进殡葬改革，发行福利彩票，促进老龄事业发展。</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省特殊困难群体，群众办理丧事文明节俭。维护老年人合法权益。</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、惠民殡葬政策覆盖特殊困难群体百分比</w:t>
            </w:r>
          </w:p>
        </w:tc>
        <w:tc>
          <w:tcPr>
            <w:tcW w:w="1275" w:type="dxa"/>
            <w:vAlign w:val="center"/>
          </w:tcPr>
          <w:p>
            <w:pPr>
              <w:spacing w:line="300" w:lineRule="exact"/>
              <w:jc w:val="left"/>
              <w:rPr>
                <w:rFonts w:ascii="方正书宋_GBK" w:eastAsia="方正书宋_GBK"/>
              </w:rPr>
            </w:pPr>
            <w:r>
              <w:rPr>
                <w:rFonts w:ascii="方正书宋_GBK" w:eastAsia="方正书宋_GBK"/>
              </w:rPr>
              <w:t>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推进殡葬设施更新改造；推进殡葬设备环保更新；推进惠民殡葬政策实施；推行生态安葬形式；规范殡仪服务管理；推进丧事简办；推行火化和丧俗改革；统一规范火化证和骨灰安放证。</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殡葬设施和设备现代、节能、节地、环保，能够满足群众需求，改善生态环境；惠民殡葬政策普及全省特殊困难群体；生态安葬形式逐步提高；群众办理丧事文明节俭；全省使用统一规范的火化证和骨灰安放证。</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惠民殡葬政策覆盖特殊困难群体百分比</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三十五、双拥优抚安置政策及管理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、残疾军人假肢等器具配备</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残疾军人假肢等器具配备率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三十六、双拥优抚安置政策及管理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3019.98</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、优抚对象抚恤和生活补助</w:t>
            </w:r>
          </w:p>
        </w:tc>
        <w:tc>
          <w:tcPr>
            <w:tcW w:w="1275" w:type="dxa"/>
            <w:vAlign w:val="center"/>
          </w:tcPr>
          <w:p>
            <w:pPr>
              <w:spacing w:line="300" w:lineRule="exact"/>
              <w:jc w:val="left"/>
              <w:rPr>
                <w:rFonts w:ascii="方正书宋_GBK" w:eastAsia="方正书宋_GBK"/>
              </w:rPr>
            </w:pPr>
            <w:r>
              <w:rPr>
                <w:rFonts w:ascii="方正书宋_GBK" w:eastAsia="方正书宋_GBK"/>
              </w:rPr>
              <w:t>3019.98</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优抚对象抚恤和生活补助足额兑现率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三十七、双拥优抚安置政策及管理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w:t>
            </w:r>
            <w:r>
              <w:rPr>
                <w:rFonts w:ascii="方正书宋_GBK" w:eastAsia="方正书宋_GBK"/>
                <w:b/>
              </w:rPr>
              <w:t>1-4</w:t>
            </w:r>
            <w:r>
              <w:rPr>
                <w:rFonts w:hint="eastAsia" w:ascii="方正书宋_GBK" w:eastAsia="方正书宋_GBK"/>
                <w:b/>
              </w:rPr>
              <w:t>级残疾军人护理费</w:t>
            </w:r>
          </w:p>
        </w:tc>
        <w:tc>
          <w:tcPr>
            <w:tcW w:w="1275" w:type="dxa"/>
            <w:vAlign w:val="center"/>
          </w:tcPr>
          <w:p>
            <w:pPr>
              <w:spacing w:line="300" w:lineRule="exact"/>
              <w:jc w:val="left"/>
              <w:rPr>
                <w:rFonts w:ascii="方正书宋_GBK" w:eastAsia="方正书宋_GBK"/>
              </w:rPr>
            </w:pPr>
            <w:r>
              <w:rPr>
                <w:rFonts w:ascii="方正书宋_GBK" w:eastAsia="方正书宋_GBK"/>
              </w:rPr>
              <w:t>50.00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残疾军人护理费发放率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三十八、双拥优抚安置政策及管理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20.80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、重点优抚对象取暖补助</w:t>
            </w:r>
          </w:p>
        </w:tc>
        <w:tc>
          <w:tcPr>
            <w:tcW w:w="1275" w:type="dxa"/>
            <w:vAlign w:val="center"/>
          </w:tcPr>
          <w:p>
            <w:pPr>
              <w:spacing w:line="300" w:lineRule="exact"/>
              <w:jc w:val="left"/>
              <w:rPr>
                <w:rFonts w:ascii="方正书宋_GBK" w:eastAsia="方正书宋_GBK"/>
              </w:rPr>
            </w:pPr>
            <w:r>
              <w:rPr>
                <w:rFonts w:ascii="方正书宋_GBK" w:eastAsia="方正书宋_GBK"/>
              </w:rPr>
              <w:t>20.80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重点优抚对象取暖补助发放率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三十九、双拥优抚安置政策及管理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200.00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、一次性抚恤金</w:t>
            </w:r>
          </w:p>
        </w:tc>
        <w:tc>
          <w:tcPr>
            <w:tcW w:w="1275" w:type="dxa"/>
            <w:vAlign w:val="center"/>
          </w:tcPr>
          <w:p>
            <w:pPr>
              <w:spacing w:line="300" w:lineRule="exact"/>
              <w:jc w:val="left"/>
              <w:rPr>
                <w:rFonts w:ascii="方正书宋_GBK" w:eastAsia="方正书宋_GBK"/>
              </w:rPr>
            </w:pPr>
            <w:r>
              <w:rPr>
                <w:rFonts w:ascii="方正书宋_GBK" w:eastAsia="方正书宋_GBK"/>
              </w:rPr>
              <w:t>200.00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一次性抚恤金发放率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、优抚工作经费</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四十一、双拥优抚安置政策及管理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0.96</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、涉核人员农村养老保险补助</w:t>
            </w:r>
          </w:p>
        </w:tc>
        <w:tc>
          <w:tcPr>
            <w:tcW w:w="1275" w:type="dxa"/>
            <w:vAlign w:val="center"/>
          </w:tcPr>
          <w:p>
            <w:pPr>
              <w:spacing w:line="300" w:lineRule="exact"/>
              <w:jc w:val="left"/>
              <w:rPr>
                <w:rFonts w:ascii="方正书宋_GBK" w:eastAsia="方正书宋_GBK"/>
              </w:rPr>
            </w:pPr>
            <w:r>
              <w:rPr>
                <w:rFonts w:ascii="方正书宋_GBK" w:eastAsia="方正书宋_GBK"/>
              </w:rPr>
              <w:t>0.96</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四十二、双拥优抚安置政策及管理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、优抚对象解三难</w:t>
            </w:r>
          </w:p>
        </w:tc>
        <w:tc>
          <w:tcPr>
            <w:tcW w:w="1275" w:type="dxa"/>
            <w:vAlign w:val="center"/>
          </w:tcPr>
          <w:p>
            <w:pPr>
              <w:spacing w:line="300" w:lineRule="exact"/>
              <w:jc w:val="left"/>
              <w:rPr>
                <w:rFonts w:ascii="方正书宋_GBK" w:eastAsia="方正书宋_GBK"/>
              </w:rPr>
            </w:pPr>
            <w:r>
              <w:rPr>
                <w:rFonts w:ascii="方正书宋_GBK" w:eastAsia="方正书宋_GBK"/>
              </w:rPr>
              <w:t>30.00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优抚对象解三难覆盖率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四十三、双拥优抚安置政策及管理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、八一慰问双拥慰问</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八一慰问双拥慰问率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四十四、双拥优抚安置政策及管理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9.00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、涉核人员体检费</w:t>
            </w:r>
          </w:p>
        </w:tc>
        <w:tc>
          <w:tcPr>
            <w:tcW w:w="1275" w:type="dxa"/>
            <w:vAlign w:val="center"/>
          </w:tcPr>
          <w:p>
            <w:pPr>
              <w:spacing w:line="300" w:lineRule="exact"/>
              <w:jc w:val="left"/>
              <w:rPr>
                <w:rFonts w:ascii="方正书宋_GBK" w:eastAsia="方正书宋_GBK"/>
              </w:rPr>
            </w:pPr>
            <w:r>
              <w:rPr>
                <w:rFonts w:ascii="方正书宋_GBK" w:eastAsia="方正书宋_GBK"/>
              </w:rPr>
              <w:t>9.00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负责全县优抚对象优待、抚恤工作；负责优抚对象数据更新管理；承担优抚对象巡诊、残疾军人康复辅助器械配备工作。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确保优抚对象的生活水平不低于当地军民居民平均生活水平，义务兵家庭优待金及时足额兑现。</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涉核人员体检率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四十五、双拥优抚安置政策及管理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、军队无军籍退休职工地方性津补贴到位</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县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军队无军籍退休职工地方性津补贴到位率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四十六、双拥优抚安置政策及管理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136.00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、城镇退役士兵自谋职业补助</w:t>
            </w:r>
          </w:p>
        </w:tc>
        <w:tc>
          <w:tcPr>
            <w:tcW w:w="1275" w:type="dxa"/>
            <w:vAlign w:val="center"/>
          </w:tcPr>
          <w:p>
            <w:pPr>
              <w:spacing w:line="300" w:lineRule="exact"/>
              <w:jc w:val="left"/>
              <w:rPr>
                <w:rFonts w:ascii="方正书宋_GBK" w:eastAsia="方正书宋_GBK"/>
              </w:rPr>
            </w:pPr>
            <w:r>
              <w:rPr>
                <w:rFonts w:ascii="方正书宋_GBK" w:eastAsia="方正书宋_GBK"/>
              </w:rPr>
              <w:t>136.00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城镇退役士兵自谋职业补助率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四十七、双拥优抚安置政策及管理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1155.53</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、自主就业退役士兵补助</w:t>
            </w:r>
          </w:p>
        </w:tc>
        <w:tc>
          <w:tcPr>
            <w:tcW w:w="1275" w:type="dxa"/>
            <w:vAlign w:val="center"/>
          </w:tcPr>
          <w:p>
            <w:pPr>
              <w:spacing w:line="300" w:lineRule="exact"/>
              <w:jc w:val="left"/>
              <w:rPr>
                <w:rFonts w:ascii="方正书宋_GBK" w:eastAsia="方正书宋_GBK"/>
              </w:rPr>
            </w:pPr>
            <w:r>
              <w:rPr>
                <w:rFonts w:ascii="方正书宋_GBK" w:eastAsia="方正书宋_GBK"/>
              </w:rPr>
              <w:t>1155.53</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自主就业退役士兵补助率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四十八、双拥优抚安置政策及管理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13.00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、教育培训补助</w:t>
            </w:r>
          </w:p>
        </w:tc>
        <w:tc>
          <w:tcPr>
            <w:tcW w:w="1275" w:type="dxa"/>
            <w:vAlign w:val="center"/>
          </w:tcPr>
          <w:p>
            <w:pPr>
              <w:spacing w:line="300" w:lineRule="exact"/>
              <w:jc w:val="left"/>
              <w:rPr>
                <w:rFonts w:ascii="方正书宋_GBK" w:eastAsia="方正书宋_GBK"/>
              </w:rPr>
            </w:pPr>
            <w:r>
              <w:rPr>
                <w:rFonts w:ascii="方正书宋_GBK" w:eastAsia="方正书宋_GBK"/>
              </w:rPr>
              <w:t>13.00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教育培训补助率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四十九、双拥优抚安置政策及管理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454.00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、义务兵家属优待金</w:t>
            </w:r>
          </w:p>
        </w:tc>
        <w:tc>
          <w:tcPr>
            <w:tcW w:w="1275" w:type="dxa"/>
            <w:vAlign w:val="center"/>
          </w:tcPr>
          <w:p>
            <w:pPr>
              <w:spacing w:line="300" w:lineRule="exact"/>
              <w:jc w:val="left"/>
              <w:rPr>
                <w:rFonts w:ascii="方正书宋_GBK" w:eastAsia="方正书宋_GBK"/>
              </w:rPr>
            </w:pPr>
            <w:r>
              <w:rPr>
                <w:rFonts w:ascii="方正书宋_GBK" w:eastAsia="方正书宋_GBK"/>
              </w:rPr>
              <w:t>454.00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义务兵家属优待金发放率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1085.30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、退役士兵待安置期间生活费</w:t>
            </w:r>
          </w:p>
        </w:tc>
        <w:tc>
          <w:tcPr>
            <w:tcW w:w="1275" w:type="dxa"/>
            <w:vAlign w:val="center"/>
          </w:tcPr>
          <w:p>
            <w:pPr>
              <w:spacing w:line="300" w:lineRule="exact"/>
              <w:jc w:val="left"/>
              <w:rPr>
                <w:rFonts w:ascii="方正书宋_GBK" w:eastAsia="方正书宋_GBK"/>
              </w:rPr>
            </w:pPr>
            <w:r>
              <w:rPr>
                <w:rFonts w:ascii="方正书宋_GBK" w:eastAsia="方正书宋_GBK"/>
              </w:rPr>
              <w:t>1085.30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退役士兵待安置期间生活费的发放率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五十一、双拥优抚安置政策及管理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、军休干部家属遗属医疗生活补助到位</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军休干部家属遗属医疗生活补助到位率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五十二、双拥优抚安置政策及管理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、军供站设施设备完好</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加快全县优抚医院、光荣院建设和维修改造，提高服务保障水平，确保优抚对象基本生活和医疗；承担县级烈士纪念设施的审核报批工作，负责烈士纪念设施的保护和管理；负责全县军供站的建设与管理工作。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军供站设施设备完好率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五十三、双拥优抚安置政策及管理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、烈士陵园基础设施及配套设施完好</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加快全省优抚医院、光荣院建设和维修改造，提高服务保障水平，确保优抚对象基本生活和医疗；承担国家级、省级烈士纪念设施的审核报批工作，负责烈士纪念设施的保护和管理；负责全省军供站的建设与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烈士陵园基础设施及配套设施完好率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五十四、双拥优抚安置政策及管理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51.05</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、优抚院、光荣院、烈士陵园支出</w:t>
            </w:r>
          </w:p>
        </w:tc>
        <w:tc>
          <w:tcPr>
            <w:tcW w:w="1275" w:type="dxa"/>
            <w:vAlign w:val="center"/>
          </w:tcPr>
          <w:p>
            <w:pPr>
              <w:spacing w:line="300" w:lineRule="exact"/>
              <w:jc w:val="left"/>
              <w:rPr>
                <w:rFonts w:ascii="方正书宋_GBK" w:eastAsia="方正书宋_GBK"/>
              </w:rPr>
            </w:pPr>
            <w:r>
              <w:rPr>
                <w:rFonts w:ascii="方正书宋_GBK" w:eastAsia="方正书宋_GBK"/>
              </w:rPr>
              <w:t>51.05</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加快全省优抚医院、光荣院建设和维修改造，提高服务保障水平，确保优抚对象基本生活和医疗；承担国家级、省级烈士纪念设施的审核报批工作，负责烈士纪念设施的保护和管理；负责全省军供站的建设与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优抚医院、光荣院、军供站达到国家建设标准；在院休病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优抚院、光荣院、军供站建设标准</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五十五、双拥优抚安置政策及管理</w:t>
            </w:r>
          </w:p>
        </w:tc>
        <w:tc>
          <w:tcPr>
            <w:tcW w:w="1275" w:type="dxa"/>
            <w:vAlign w:val="center"/>
          </w:tcPr>
          <w:p>
            <w:pPr>
              <w:spacing w:line="300" w:lineRule="exact"/>
              <w:jc w:val="left"/>
              <w:rPr>
                <w:rFonts w:ascii="方正书宋_GBK" w:eastAsia="方正书宋_GBK"/>
              </w:rPr>
            </w:pPr>
            <w:r>
              <w:rPr>
                <w:rFonts w:ascii="方正书宋_GBK" w:eastAsia="方正书宋_GBK"/>
              </w:rPr>
              <w:t>4.24</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、双拥活动参与群体满意度</w:t>
            </w:r>
          </w:p>
        </w:tc>
        <w:tc>
          <w:tcPr>
            <w:tcW w:w="1275" w:type="dxa"/>
            <w:vAlign w:val="center"/>
          </w:tcPr>
          <w:p>
            <w:pPr>
              <w:spacing w:line="300" w:lineRule="exact"/>
              <w:jc w:val="left"/>
              <w:rPr>
                <w:rFonts w:ascii="方正书宋_GBK" w:eastAsia="方正书宋_GBK"/>
              </w:rPr>
            </w:pPr>
            <w:r>
              <w:rPr>
                <w:rFonts w:ascii="方正书宋_GBK" w:eastAsia="方正书宋_GBK"/>
              </w:rPr>
              <w:t>4.24</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组织开展全县拥军优属慰问工作、积极开展双拥活动。慰问全县驻军和重点优抚对象</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开展双拥系列活动，宣传双拥成果，积极营造全县双拥工作氛围。慰问驻军和部分重点优抚对象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双拥活动参与群体满意度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五十六、双拥优抚安置政策及管理</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指导全县拥军优属活动。组织对优抚对象的优待、抚恤的政策落实，负责全县转业士官、退役士兵及军队离退休干部、退休士官和军队无军籍退休退职职工接收工作。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、双拥系列活动开展次数</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组织开展全县拥军优属慰问工作、积极开展双拥活动。慰问全县驻军和重点优抚对象</w:t>
            </w:r>
          </w:p>
        </w:tc>
        <w:tc>
          <w:tcPr>
            <w:tcW w:w="2974" w:type="dxa"/>
            <w:vAlign w:val="center"/>
          </w:tcPr>
          <w:p>
            <w:pPr>
              <w:spacing w:line="300" w:lineRule="exact"/>
              <w:jc w:val="left"/>
              <w:rPr>
                <w:rFonts w:ascii="方正书宋_GBK" w:eastAsia="方正书宋_GBK"/>
              </w:rPr>
            </w:pPr>
          </w:p>
        </w:tc>
        <w:tc>
          <w:tcPr>
            <w:tcW w:w="1416" w:type="dxa"/>
            <w:vAlign w:val="center"/>
          </w:tcPr>
          <w:p>
            <w:pPr>
              <w:spacing w:line="300" w:lineRule="exact"/>
              <w:jc w:val="left"/>
              <w:rPr>
                <w:rFonts w:ascii="方正书宋_GBK" w:eastAsia="方正书宋_GBK"/>
              </w:rPr>
            </w:pPr>
            <w:r>
              <w:rPr>
                <w:rFonts w:hint="eastAsia" w:ascii="方正书宋_GBK" w:eastAsia="方正书宋_GBK"/>
              </w:rPr>
              <w:t>双拥系列活动开展次数</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五十七、社会管理与服务</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、社会组织登记、年检完成</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依法对社会组织进行登记管理和监察。</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推进全县社会组织健康发展，提高社会组织的社会公信力，增强社会组织服务社会的能力。</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社会组织登记、年检完成率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五十八、社会管理与服务</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、第二次全国地名普查数据准确</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第二次全国地名普查数据准确率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五十九、社会管理与服务</w:t>
            </w:r>
          </w:p>
        </w:tc>
        <w:tc>
          <w:tcPr>
            <w:tcW w:w="1275" w:type="dxa"/>
            <w:vAlign w:val="center"/>
          </w:tcPr>
          <w:p>
            <w:pPr>
              <w:spacing w:line="300" w:lineRule="exact"/>
              <w:jc w:val="left"/>
              <w:rPr>
                <w:rFonts w:ascii="方正书宋_GBK" w:eastAsia="方正书宋_GBK"/>
              </w:rPr>
            </w:pPr>
            <w:r>
              <w:rPr>
                <w:rFonts w:ascii="方正书宋_GBK" w:eastAsia="方正书宋_GBK"/>
              </w:rPr>
              <w:t>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、婚姻、收养登记合格及五保、低保、优抚、老年证、孤儿证等各类证书</w:t>
            </w:r>
          </w:p>
        </w:tc>
        <w:tc>
          <w:tcPr>
            <w:tcW w:w="1275" w:type="dxa"/>
            <w:vAlign w:val="center"/>
          </w:tcPr>
          <w:p>
            <w:pPr>
              <w:spacing w:line="300" w:lineRule="exact"/>
              <w:jc w:val="left"/>
              <w:rPr>
                <w:rFonts w:ascii="方正书宋_GBK" w:eastAsia="方正书宋_GBK"/>
              </w:rPr>
            </w:pPr>
            <w:r>
              <w:rPr>
                <w:rFonts w:ascii="方正书宋_GBK" w:eastAsia="方正书宋_GBK"/>
              </w:rPr>
              <w:t>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婚姻、收养登记合格率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六十、社会管理与服务</w:t>
            </w:r>
          </w:p>
        </w:tc>
        <w:tc>
          <w:tcPr>
            <w:tcW w:w="1275" w:type="dxa"/>
            <w:vAlign w:val="center"/>
          </w:tcPr>
          <w:p>
            <w:pPr>
              <w:spacing w:line="300" w:lineRule="exact"/>
              <w:jc w:val="left"/>
              <w:rPr>
                <w:rFonts w:ascii="方正书宋_GBK" w:eastAsia="方正书宋_GBK"/>
              </w:rPr>
            </w:pPr>
            <w:r>
              <w:rPr>
                <w:rFonts w:ascii="方正书宋_GBK" w:eastAsia="方正书宋_GBK"/>
              </w:rPr>
              <w:t>8.00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、市区新增街巷路牌</w:t>
            </w:r>
          </w:p>
        </w:tc>
        <w:tc>
          <w:tcPr>
            <w:tcW w:w="1275" w:type="dxa"/>
            <w:vAlign w:val="center"/>
          </w:tcPr>
          <w:p>
            <w:pPr>
              <w:spacing w:line="300" w:lineRule="exact"/>
              <w:jc w:val="left"/>
              <w:rPr>
                <w:rFonts w:ascii="方正书宋_GBK" w:eastAsia="方正书宋_GBK"/>
              </w:rPr>
            </w:pPr>
            <w:r>
              <w:rPr>
                <w:rFonts w:ascii="方正书宋_GBK" w:eastAsia="方正书宋_GBK"/>
              </w:rPr>
              <w:t>8.00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市区新增街巷路牌完成率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六十一、社会管理与服务</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、区划调整（撤乡设镇）街巷路牌</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区划调整（撤乡设镇）街巷路牌完成率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六十二、社会管理与服务</w:t>
            </w:r>
          </w:p>
        </w:tc>
        <w:tc>
          <w:tcPr>
            <w:tcW w:w="1275" w:type="dxa"/>
            <w:vAlign w:val="center"/>
          </w:tcPr>
          <w:p>
            <w:pPr>
              <w:spacing w:line="300" w:lineRule="exact"/>
              <w:jc w:val="left"/>
              <w:rPr>
                <w:rFonts w:ascii="方正书宋_GBK" w:eastAsia="方正书宋_GBK"/>
              </w:rPr>
            </w:pPr>
            <w:r>
              <w:rPr>
                <w:rFonts w:ascii="方正书宋_GBK" w:eastAsia="方正书宋_GBK"/>
              </w:rPr>
              <w:t>27.02</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、编辑出版遵化市地名志</w:t>
            </w:r>
          </w:p>
        </w:tc>
        <w:tc>
          <w:tcPr>
            <w:tcW w:w="1275" w:type="dxa"/>
            <w:vAlign w:val="center"/>
          </w:tcPr>
          <w:p>
            <w:pPr>
              <w:spacing w:line="300" w:lineRule="exact"/>
              <w:jc w:val="left"/>
              <w:rPr>
                <w:rFonts w:ascii="方正书宋_GBK" w:eastAsia="方正书宋_GBK"/>
              </w:rPr>
            </w:pPr>
            <w:r>
              <w:rPr>
                <w:rFonts w:ascii="方正书宋_GBK" w:eastAsia="方正书宋_GBK"/>
              </w:rPr>
              <w:t>27.02</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编辑出版遵化市地名志完成率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六十三、社会管理与服务</w:t>
            </w:r>
          </w:p>
        </w:tc>
        <w:tc>
          <w:tcPr>
            <w:tcW w:w="1275" w:type="dxa"/>
            <w:vAlign w:val="center"/>
          </w:tcPr>
          <w:p>
            <w:pPr>
              <w:spacing w:line="300" w:lineRule="exact"/>
              <w:jc w:val="left"/>
              <w:rPr>
                <w:rFonts w:ascii="方正书宋_GBK" w:eastAsia="方正书宋_GBK"/>
              </w:rPr>
            </w:pPr>
            <w:r>
              <w:rPr>
                <w:rFonts w:ascii="方正书宋_GBK" w:eastAsia="方正书宋_GBK"/>
              </w:rPr>
              <w:t>16.00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、村民委员会换届选举</w:t>
            </w:r>
          </w:p>
        </w:tc>
        <w:tc>
          <w:tcPr>
            <w:tcW w:w="1275" w:type="dxa"/>
            <w:vAlign w:val="center"/>
          </w:tcPr>
          <w:p>
            <w:pPr>
              <w:spacing w:line="300" w:lineRule="exact"/>
              <w:jc w:val="left"/>
              <w:rPr>
                <w:rFonts w:ascii="方正书宋_GBK" w:eastAsia="方正书宋_GBK"/>
              </w:rPr>
            </w:pPr>
            <w:r>
              <w:rPr>
                <w:rFonts w:ascii="方正书宋_GBK" w:eastAsia="方正书宋_GBK"/>
              </w:rPr>
              <w:t>16.00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开展乡镇、街道办事处和基层群众自治组织、社区干部培训；指导村（居）民委员会民主选举、民主决策、民主管理和民主监督，村（居）务公开；指导城乡社区建设及服务管理工作。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cs/>
              </w:rPr>
              <w:t>“</w:t>
            </w:r>
            <w:r>
              <w:rPr>
                <w:rFonts w:hint="eastAsia" w:ascii="方正书宋_GBK" w:eastAsia="方正书宋_GBK"/>
              </w:rPr>
              <w:t>四个民主</w:t>
            </w:r>
            <w:r>
              <w:rPr>
                <w:cs/>
              </w:rPr>
              <w:t>”</w:t>
            </w:r>
            <w:r>
              <w:rPr>
                <w:rFonts w:hint="eastAsia" w:ascii="方正书宋_GBK" w:eastAsia="方正书宋_GBK"/>
              </w:rPr>
              <w:t>；按照</w:t>
            </w:r>
            <w:r>
              <w:rPr>
                <w:cs/>
              </w:rPr>
              <w:t>“</w:t>
            </w:r>
            <w:r>
              <w:rPr>
                <w:rFonts w:hint="eastAsia" w:ascii="方正书宋_GBK" w:eastAsia="方正书宋_GBK"/>
              </w:rPr>
              <w:t>四有一创</w:t>
            </w:r>
            <w:r>
              <w:rPr>
                <w:cs/>
              </w:rPr>
              <w:t>”</w:t>
            </w:r>
            <w:r>
              <w:rPr>
                <w:rFonts w:hint="eastAsia" w:ascii="方正书宋_GBK" w:eastAsia="方正书宋_GBK"/>
              </w:rPr>
              <w:t>标准开展城市社区建设，按照农村社区建设实验全覆盖创建标准开展农村社区建设。</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村民委员会换届选举率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六十四、社会管理与服务</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、社区建设工作经费</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cs/>
              </w:rPr>
              <w:t>“</w:t>
            </w:r>
            <w:r>
              <w:rPr>
                <w:rFonts w:hint="eastAsia" w:ascii="方正书宋_GBK" w:eastAsia="方正书宋_GBK"/>
              </w:rPr>
              <w:t>四个民主</w:t>
            </w:r>
            <w:r>
              <w:rPr>
                <w:cs/>
              </w:rPr>
              <w:t>”</w:t>
            </w:r>
            <w:r>
              <w:rPr>
                <w:rFonts w:hint="eastAsia" w:ascii="方正书宋_GBK" w:eastAsia="方正书宋_GBK"/>
              </w:rPr>
              <w:t>；按照</w:t>
            </w:r>
            <w:r>
              <w:rPr>
                <w:cs/>
              </w:rPr>
              <w:t>“</w:t>
            </w:r>
            <w:r>
              <w:rPr>
                <w:rFonts w:hint="eastAsia" w:ascii="方正书宋_GBK" w:eastAsia="方正书宋_GBK"/>
              </w:rPr>
              <w:t>四有一创</w:t>
            </w:r>
            <w:r>
              <w:rPr>
                <w:cs/>
              </w:rPr>
              <w:t>”</w:t>
            </w:r>
            <w:r>
              <w:rPr>
                <w:rFonts w:hint="eastAsia" w:ascii="方正书宋_GBK" w:eastAsia="方正书宋_GBK"/>
              </w:rPr>
              <w:t>标准开展城市社区建设，按照农村社区建设试点工作指导意见开展农村社区建设试点工作。</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农村社区建设试点单位试点情况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六十五、社会管理与服务</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承担对社会组织的登记管理；负责执行落实有关行政区划和地名管理政策；负责全县婚姻登记、涉外儿童收养登记和管理工作；组织指导基层政权和社区建设；推进社会工作人员队伍建设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推进全县社会组织健康发展，优化行政区划空间布局，提高登记质量，规范婚姻登记、收养登记业务，建立健全城乡基层群众自治组织，逐步实现社会工作者专业化、职业化。</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、美丽乡村建设</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cs/>
              </w:rPr>
              <w:t>“</w:t>
            </w:r>
            <w:r>
              <w:rPr>
                <w:rFonts w:hint="eastAsia" w:ascii="方正书宋_GBK" w:eastAsia="方正书宋_GBK"/>
              </w:rPr>
              <w:t>四个民主</w:t>
            </w:r>
            <w:r>
              <w:rPr>
                <w:cs/>
              </w:rPr>
              <w:t>”</w:t>
            </w:r>
            <w:r>
              <w:rPr>
                <w:rFonts w:hint="eastAsia" w:ascii="方正书宋_GBK" w:eastAsia="方正书宋_GBK"/>
              </w:rPr>
              <w:t>；按照</w:t>
            </w:r>
            <w:r>
              <w:rPr>
                <w:cs/>
              </w:rPr>
              <w:t>“</w:t>
            </w:r>
            <w:r>
              <w:rPr>
                <w:rFonts w:hint="eastAsia" w:ascii="方正书宋_GBK" w:eastAsia="方正书宋_GBK"/>
              </w:rPr>
              <w:t>四有一创</w:t>
            </w:r>
            <w:r>
              <w:rPr>
                <w:cs/>
              </w:rPr>
              <w:t>”</w:t>
            </w:r>
            <w:r>
              <w:rPr>
                <w:rFonts w:hint="eastAsia" w:ascii="方正书宋_GBK" w:eastAsia="方正书宋_GBK"/>
              </w:rPr>
              <w:t>标准开展城市社区建设，按照农村社区建设试点工作指导意见开展农村社区建设试点工作。</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美丽乡村建设完成率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六十六、民政政务管理</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建立和维护县民政系统政务公开平台，推进民政政府信息公开、政务公开，完成在县委、县政府系统信息考核任务；搞好群众来信来访工作，杜绝群体上访事件；民主行风评议保持全县领先地位。</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、民政工作会议及经费</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组织开展全县民政行政执法监督检查工作；负责行政许可、行政处罚听证工作；组织民政政务公开和新闻宣传。</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建立和维护县民政系统政务公开平台，推进民政政府信息公开、政务公开；搞好群众来信来访工作，杜绝群体上访事件。促进贫困地区的社会经济发展</w:t>
            </w:r>
            <w:r>
              <w:rPr>
                <w:rFonts w:ascii="方正书宋_GBK" w:eastAsia="方正书宋_GBK"/>
              </w:rPr>
              <w:t>,</w:t>
            </w:r>
            <w:r>
              <w:rPr>
                <w:rFonts w:hint="eastAsia" w:ascii="方正书宋_GBK" w:eastAsia="方正书宋_GBK"/>
              </w:rPr>
              <w:t>人民生活水平得到提高。</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六十七、民政政务管理</w:t>
            </w:r>
          </w:p>
        </w:tc>
        <w:tc>
          <w:tcPr>
            <w:tcW w:w="1275" w:type="dxa"/>
            <w:vAlign w:val="center"/>
          </w:tcPr>
          <w:p>
            <w:pPr>
              <w:spacing w:line="300" w:lineRule="exact"/>
              <w:jc w:val="left"/>
              <w:rPr>
                <w:rFonts w:ascii="方正书宋_GBK" w:eastAsia="方正书宋_GBK"/>
              </w:rPr>
            </w:pPr>
            <w:r>
              <w:rPr>
                <w:rFonts w:ascii="方正书宋_GBK" w:eastAsia="方正书宋_GBK"/>
              </w:rPr>
              <w:t>260.00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拟定全省民政事业发展规划、民政工作地方性法规、政府规章草案及相关政策；组织民政政策理论研究；负责民政事业资金管理、国有资产管理、内部审计、统计管理工作；组织和指导民政系统干部培训教育等工作；指导全省民政系统信息化建设工作；负责本级政务公开、新闻宣传工作；承办群众的来信来访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成民政规划和立法项目；依法按时办理行政复议案件；向社会发布民政研究课题，组织评审指导，课题成果为政策提供咨询服务，通过评估保证重大决策科学、准确；建立和维护全省民政系统政务公开平台，推进民政政府信息公开、政务公开，完成在省委、省政府民政部系统信息考核任务；搞好群众来信来访工作，杜绝群体上访事件；民主行风评议保持全省领先地位。负责少数民族地区、贫困地区对口支援工作。</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、综合事务管理工作完成</w:t>
            </w:r>
          </w:p>
        </w:tc>
        <w:tc>
          <w:tcPr>
            <w:tcW w:w="1275" w:type="dxa"/>
            <w:vAlign w:val="center"/>
          </w:tcPr>
          <w:p>
            <w:pPr>
              <w:spacing w:line="300" w:lineRule="exact"/>
              <w:jc w:val="left"/>
              <w:rPr>
                <w:rFonts w:ascii="方正书宋_GBK" w:eastAsia="方正书宋_GBK"/>
              </w:rPr>
            </w:pPr>
            <w:r>
              <w:rPr>
                <w:rFonts w:ascii="方正书宋_GBK" w:eastAsia="方正书宋_GBK"/>
              </w:rPr>
              <w:t>260.00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负责民政事业资金监督管理、国有资产管理、内部审计、统计管理工作；组织开展民政系统干部教育培训，组织全县民政信息平台建设。</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民政干部队伍素质有所提高；民政行业管理服务的专业化、科学化水平进一步提升。做好现有网站、系统、设备的维护、升级，对新建信息化项目进行科学规划和高效实施。</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六十八、民族事务管理</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贯彻执行国家关于少数民族工作的方针政策；实施有关民族问题的地方性法规和政策；协调处理涉及民族关系的有关事宜，监督办理少数民族权益保障事宜；帮扶民族地方经济发展；研究少数民族文教体艺等方面的特殊问题，开展相关保护开发活动。</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加强民族事务管理工作</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、民族基本事务管理</w:t>
            </w:r>
          </w:p>
        </w:tc>
        <w:tc>
          <w:tcPr>
            <w:tcW w:w="1275" w:type="dxa"/>
            <w:vAlign w:val="center"/>
          </w:tcPr>
          <w:p>
            <w:pPr>
              <w:spacing w:line="300" w:lineRule="exact"/>
              <w:jc w:val="left"/>
              <w:rPr>
                <w:rFonts w:ascii="方正书宋_GBK" w:eastAsia="方正书宋_GBK"/>
              </w:rPr>
            </w:pPr>
            <w:r>
              <w:rPr>
                <w:rFonts w:ascii="方正书宋_GBK" w:eastAsia="方正书宋_GBK"/>
              </w:rPr>
              <w:t>4.00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贯彻执行国家关于少数民族工作的方针政策，实施有关民族问题的地方性法规和具体政策，协调处理涉及民族关系的有关事宜</w:t>
            </w:r>
            <w:r>
              <w:rPr>
                <w:rFonts w:ascii="方正书宋_GBK" w:eastAsia="方正书宋_GBK"/>
              </w:rPr>
              <w:t>,</w:t>
            </w:r>
            <w:r>
              <w:rPr>
                <w:rFonts w:hint="eastAsia" w:ascii="方正书宋_GBK" w:eastAsia="方正书宋_GBK"/>
              </w:rPr>
              <w:t>监督办理少数民族权益保障事宜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加强民族事务管理工作</w:t>
            </w:r>
          </w:p>
        </w:tc>
        <w:tc>
          <w:tcPr>
            <w:tcW w:w="1416" w:type="dxa"/>
            <w:vAlign w:val="center"/>
          </w:tcPr>
          <w:p>
            <w:pPr>
              <w:spacing w:line="300" w:lineRule="exact"/>
              <w:jc w:val="left"/>
              <w:rPr>
                <w:rFonts w:ascii="方正书宋_GBK" w:eastAsia="方正书宋_GBK"/>
              </w:rPr>
            </w:pPr>
            <w:r>
              <w:rPr>
                <w:rFonts w:hint="eastAsia" w:ascii="方正书宋_GBK" w:eastAsia="方正书宋_GBK"/>
              </w:rPr>
              <w:t>民族法律政策宣传次数、民族法律政策宣传普及率、涉及民族关系的问题、案件解决率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六十九、干休所管理机构经费</w:t>
            </w:r>
          </w:p>
        </w:tc>
        <w:tc>
          <w:tcPr>
            <w:tcW w:w="1275" w:type="dxa"/>
            <w:vAlign w:val="center"/>
          </w:tcPr>
          <w:p>
            <w:pPr>
              <w:spacing w:line="300" w:lineRule="exact"/>
              <w:jc w:val="left"/>
              <w:rPr>
                <w:rFonts w:ascii="方正书宋_GBK" w:eastAsia="方正书宋_GBK"/>
              </w:rPr>
            </w:pPr>
            <w:r>
              <w:rPr>
                <w:rFonts w:ascii="方正书宋_GBK" w:eastAsia="方正书宋_GBK"/>
              </w:rPr>
              <w:t>73.00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、干休所管理机构经费</w:t>
            </w:r>
          </w:p>
        </w:tc>
        <w:tc>
          <w:tcPr>
            <w:tcW w:w="1275" w:type="dxa"/>
            <w:vAlign w:val="center"/>
          </w:tcPr>
          <w:p>
            <w:pPr>
              <w:spacing w:line="300" w:lineRule="exact"/>
              <w:jc w:val="left"/>
              <w:rPr>
                <w:rFonts w:ascii="方正书宋_GBK" w:eastAsia="方正书宋_GBK"/>
              </w:rPr>
            </w:pPr>
            <w:r>
              <w:rPr>
                <w:rFonts w:ascii="方正书宋_GBK" w:eastAsia="方正书宋_GBK"/>
              </w:rPr>
              <w:t>73.00</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工作人员工资、保险、车辆经费</w:t>
            </w:r>
            <w:r>
              <w:rPr>
                <w:rFonts w:hint="eastAsia" w:ascii="方正书宋_GBK" w:eastAsia="方正书宋_GBK"/>
                <w:lang w:eastAsia="zh-CN"/>
              </w:rPr>
              <w:t>以及</w:t>
            </w:r>
            <w:r>
              <w:rPr>
                <w:rFonts w:hint="eastAsia" w:ascii="方正书宋_GBK" w:eastAsia="方正书宋_GBK"/>
              </w:rPr>
              <w:t>无军籍退休退职职工开展活动和管理经费等</w:t>
            </w:r>
          </w:p>
        </w:tc>
        <w:tc>
          <w:tcPr>
            <w:tcW w:w="2974" w:type="dxa"/>
            <w:vAlign w:val="center"/>
          </w:tcPr>
          <w:p>
            <w:pPr>
              <w:spacing w:line="300" w:lineRule="exact"/>
              <w:jc w:val="left"/>
              <w:rPr>
                <w:rFonts w:ascii="方正书宋_GBK" w:eastAsia="方正书宋_GBK"/>
              </w:rPr>
            </w:pP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七十、干休所管理人员经费</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负责军队离退休干部、退休士官和军队无军籍退休退职职工接收安置和服务管理工作；负责军队离退休干部服务管理机构的建设和管理工作。</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阳光安置，保障退役士兵合法权益；加强职业教育和技能培训；按时足额发放各类经济补助。全面落实军队离退休干部、退休士官和军队无军籍退休退职职工的政治和生活待遇。</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七十一、待安置期间养老保险</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负责城镇退役士兵待安置期间养老保险</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完成城镇退役士兵待安置期间养老保险</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2" w:type="dxa"/>
            <w:vAlign w:val="center"/>
          </w:tcPr>
          <w:p>
            <w:pPr>
              <w:spacing w:line="300" w:lineRule="exact"/>
              <w:jc w:val="left"/>
              <w:rPr>
                <w:rFonts w:ascii="方正书宋_GBK" w:eastAsia="方正书宋_GBK"/>
                <w:b/>
              </w:rPr>
            </w:pPr>
            <w:r>
              <w:rPr>
                <w:rFonts w:hint="eastAsia" w:ascii="方正书宋_GBK" w:eastAsia="方正书宋_GBK"/>
                <w:b/>
              </w:rPr>
              <w:t>七十二、扶贫资金</w:t>
            </w:r>
          </w:p>
        </w:tc>
        <w:tc>
          <w:tcPr>
            <w:tcW w:w="1275" w:type="dxa"/>
            <w:vAlign w:val="center"/>
          </w:tcPr>
          <w:p>
            <w:pPr>
              <w:spacing w:line="300" w:lineRule="exact"/>
              <w:jc w:val="left"/>
              <w:rPr>
                <w:rFonts w:ascii="方正书宋_GBK" w:eastAsia="方正书宋_GBK"/>
              </w:rPr>
            </w:pPr>
          </w:p>
        </w:tc>
        <w:tc>
          <w:tcPr>
            <w:tcW w:w="2974" w:type="dxa"/>
            <w:vAlign w:val="center"/>
          </w:tcPr>
          <w:p>
            <w:pPr>
              <w:spacing w:line="300" w:lineRule="exact"/>
              <w:jc w:val="left"/>
              <w:rPr>
                <w:rFonts w:ascii="方正书宋_GBK" w:eastAsia="方正书宋_GBK"/>
              </w:rPr>
            </w:pPr>
            <w:r>
              <w:rPr>
                <w:rFonts w:hint="eastAsia" w:ascii="方正书宋_GBK" w:eastAsia="方正书宋_GBK"/>
              </w:rPr>
              <w:t>相对贫困建档立卡人员补助资金</w:t>
            </w:r>
          </w:p>
        </w:tc>
        <w:tc>
          <w:tcPr>
            <w:tcW w:w="2974" w:type="dxa"/>
            <w:vAlign w:val="center"/>
          </w:tcPr>
          <w:p>
            <w:pPr>
              <w:spacing w:line="300" w:lineRule="exact"/>
              <w:jc w:val="left"/>
              <w:rPr>
                <w:rFonts w:ascii="方正书宋_GBK" w:eastAsia="方正书宋_GBK"/>
              </w:rPr>
            </w:pPr>
            <w:r>
              <w:rPr>
                <w:rFonts w:hint="eastAsia" w:ascii="方正书宋_GBK" w:eastAsia="方正书宋_GBK"/>
              </w:rPr>
              <w:t>完成相对贫困建档立卡人员补助资金</w:t>
            </w:r>
          </w:p>
        </w:tc>
        <w:tc>
          <w:tcPr>
            <w:tcW w:w="1416"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40%</w:t>
            </w:r>
          </w:p>
        </w:tc>
      </w:tr>
    </w:tbl>
    <w:p>
      <w:pPr>
        <w:spacing w:line="300" w:lineRule="exact"/>
        <w:jc w:val="left"/>
        <w:outlineLvl w:val="0"/>
      </w:pPr>
    </w:p>
    <w:p>
      <w:pPr>
        <w:spacing w:line="300" w:lineRule="exact"/>
        <w:jc w:val="left"/>
        <w:outlineLvl w:val="0"/>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sz w:val="32"/>
          <w:szCs w:val="32"/>
        </w:rPr>
      </w:pP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年，我部门安排政府采购预算</w:t>
      </w:r>
      <w:r>
        <w:rPr>
          <w:rFonts w:ascii="Times New Roman" w:hAnsi="Times New Roman" w:eastAsia="方正仿宋_GBK"/>
          <w:sz w:val="32"/>
          <w:szCs w:val="32"/>
        </w:rPr>
        <w:t>2.7</w:t>
      </w:r>
      <w:r>
        <w:rPr>
          <w:rFonts w:hint="eastAsia" w:ascii="Times New Roman" w:hAnsi="Times New Roman" w:eastAsia="方正仿宋_GBK" w:cs="方正仿宋_GBK"/>
          <w:sz w:val="32"/>
          <w:szCs w:val="32"/>
        </w:rPr>
        <w:t>万元，较</w:t>
      </w:r>
      <w:r>
        <w:rPr>
          <w:rFonts w:ascii="Times New Roman" w:hAnsi="Times New Roman" w:eastAsia="方正仿宋_GBK"/>
          <w:sz w:val="32"/>
          <w:szCs w:val="32"/>
        </w:rPr>
        <w:t>2017</w:t>
      </w:r>
      <w:r>
        <w:rPr>
          <w:rFonts w:hint="eastAsia" w:ascii="Times New Roman" w:hAnsi="Times New Roman" w:eastAsia="方正仿宋_GBK" w:cs="方正仿宋_GBK"/>
          <w:sz w:val="32"/>
          <w:szCs w:val="32"/>
        </w:rPr>
        <w:t>年基本持平，具体内容见下表。</w:t>
      </w:r>
    </w:p>
    <w:p>
      <w:pPr>
        <w:jc w:val="center"/>
        <w:outlineLvl w:val="0"/>
        <w:rPr>
          <w:rFonts w:ascii="方正黑体简体" w:eastAsia="方正黑体简体"/>
          <w:sz w:val="32"/>
          <w:szCs w:val="32"/>
        </w:rPr>
      </w:pPr>
      <w:bookmarkStart w:id="1" w:name="_Toc504489153"/>
      <w:r>
        <w:rPr>
          <w:rFonts w:hint="eastAsia" w:ascii="方正黑体简体" w:eastAsia="方正黑体简体" w:cs="方正小标宋_GBK"/>
          <w:sz w:val="32"/>
          <w:szCs w:val="32"/>
        </w:rPr>
        <w:t>部门政府采购预算</w:t>
      </w:r>
      <w:bookmarkEnd w:id="1"/>
    </w:p>
    <w:p>
      <w:pPr>
        <w:spacing w:line="300" w:lineRule="exact"/>
        <w:jc w:val="left"/>
        <w:outlineLvl w:val="0"/>
      </w:pPr>
    </w:p>
    <w:tbl>
      <w:tblPr>
        <w:tblStyle w:val="4"/>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cs="方正小标宋_GBK"/>
                <w:sz w:val="24"/>
              </w:rPr>
              <w:t>151</w:t>
            </w:r>
            <w:r>
              <w:rPr>
                <w:rFonts w:hint="eastAsia" w:ascii="方正小标宋_GBK" w:eastAsia="方正小标宋_GBK" w:cs="方正小标宋_GBK"/>
                <w:sz w:val="24"/>
              </w:rPr>
              <w:t>遵化市民政局部门</w:t>
            </w:r>
          </w:p>
        </w:tc>
        <w:tc>
          <w:tcPr>
            <w:tcW w:w="51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20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37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829"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数量单位</w:t>
            </w:r>
          </w:p>
        </w:tc>
        <w:tc>
          <w:tcPr>
            <w:tcW w:w="94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74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512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74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365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42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vAlign w:val="center"/>
          </w:tcPr>
          <w:p>
            <w:pPr>
              <w:spacing w:line="300" w:lineRule="exact"/>
              <w:jc w:val="left"/>
              <w:outlineLvl w:val="0"/>
            </w:pPr>
          </w:p>
        </w:tc>
        <w:tc>
          <w:tcPr>
            <w:tcW w:w="742" w:type="dxa"/>
            <w:vMerge w:val="continue"/>
            <w:vAlign w:val="center"/>
          </w:tcPr>
          <w:p>
            <w:pPr>
              <w:spacing w:line="300" w:lineRule="exact"/>
              <w:jc w:val="left"/>
              <w:outlineLvl w:val="0"/>
            </w:pPr>
          </w:p>
        </w:tc>
        <w:tc>
          <w:tcPr>
            <w:tcW w:w="2071"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829" w:type="dxa"/>
            <w:vMerge w:val="continue"/>
            <w:vAlign w:val="center"/>
          </w:tcPr>
          <w:p>
            <w:pPr>
              <w:spacing w:line="300" w:lineRule="exact"/>
              <w:jc w:val="left"/>
              <w:outlineLvl w:val="0"/>
            </w:pPr>
          </w:p>
        </w:tc>
        <w:tc>
          <w:tcPr>
            <w:tcW w:w="946"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1045" w:type="dxa"/>
            <w:vMerge w:val="continue"/>
            <w:vAlign w:val="center"/>
          </w:tcPr>
          <w:p>
            <w:pPr>
              <w:spacing w:line="300" w:lineRule="exact"/>
              <w:jc w:val="left"/>
              <w:outlineLvl w:val="0"/>
            </w:pPr>
          </w:p>
        </w:tc>
        <w:tc>
          <w:tcPr>
            <w:tcW w:w="94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99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65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47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427"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656"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72"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583"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遵化市民政局（系统）小计</w:t>
            </w:r>
          </w:p>
        </w:tc>
        <w:tc>
          <w:tcPr>
            <w:tcW w:w="742" w:type="dxa"/>
            <w:vAlign w:val="center"/>
          </w:tcPr>
          <w:p>
            <w:pPr>
              <w:spacing w:line="300" w:lineRule="exact"/>
              <w:jc w:val="right"/>
              <w:rPr>
                <w:rFonts w:ascii="方正书宋_GBK" w:eastAsia="方正书宋_GBK"/>
                <w:b/>
                <w:bCs/>
              </w:rPr>
            </w:pPr>
          </w:p>
        </w:tc>
        <w:tc>
          <w:tcPr>
            <w:tcW w:w="2071" w:type="dxa"/>
            <w:vAlign w:val="center"/>
          </w:tcPr>
          <w:p>
            <w:pPr>
              <w:spacing w:line="300" w:lineRule="exact"/>
              <w:jc w:val="left"/>
              <w:rPr>
                <w:rFonts w:ascii="方正书宋_GBK" w:eastAsia="方正书宋_GBK"/>
                <w:b/>
                <w:bCs/>
              </w:rPr>
            </w:pPr>
          </w:p>
        </w:tc>
        <w:tc>
          <w:tcPr>
            <w:tcW w:w="1371" w:type="dxa"/>
            <w:vAlign w:val="center"/>
          </w:tcPr>
          <w:p>
            <w:pPr>
              <w:spacing w:line="300" w:lineRule="exact"/>
              <w:jc w:val="left"/>
              <w:rPr>
                <w:rFonts w:ascii="方正书宋_GBK" w:eastAsia="方正书宋_GBK"/>
                <w:b/>
                <w:bCs/>
              </w:rPr>
            </w:pPr>
          </w:p>
        </w:tc>
        <w:tc>
          <w:tcPr>
            <w:tcW w:w="829" w:type="dxa"/>
            <w:vAlign w:val="center"/>
          </w:tcPr>
          <w:p>
            <w:pPr>
              <w:spacing w:line="300" w:lineRule="exact"/>
              <w:jc w:val="left"/>
              <w:rPr>
                <w:rFonts w:ascii="方正书宋_GBK" w:eastAsia="方正书宋_GBK"/>
                <w:b/>
                <w:bCs/>
              </w:rPr>
            </w:pPr>
          </w:p>
        </w:tc>
        <w:tc>
          <w:tcPr>
            <w:tcW w:w="946" w:type="dxa"/>
            <w:vAlign w:val="center"/>
          </w:tcPr>
          <w:p>
            <w:pPr>
              <w:spacing w:line="300" w:lineRule="exact"/>
              <w:jc w:val="right"/>
              <w:rPr>
                <w:rFonts w:ascii="方正书宋_GBK" w:eastAsia="方正书宋_GBK"/>
                <w:b/>
                <w:bCs/>
              </w:rPr>
            </w:pPr>
          </w:p>
        </w:tc>
        <w:tc>
          <w:tcPr>
            <w:tcW w:w="741" w:type="dxa"/>
            <w:vAlign w:val="center"/>
          </w:tcPr>
          <w:p>
            <w:pPr>
              <w:spacing w:line="300" w:lineRule="exact"/>
              <w:jc w:val="right"/>
              <w:rPr>
                <w:rFonts w:ascii="方正书宋_GBK" w:eastAsia="方正书宋_GBK"/>
                <w:b/>
                <w:bCs/>
              </w:rPr>
            </w:pPr>
          </w:p>
        </w:tc>
        <w:tc>
          <w:tcPr>
            <w:tcW w:w="1045" w:type="dxa"/>
            <w:vAlign w:val="center"/>
          </w:tcPr>
          <w:p>
            <w:pPr>
              <w:spacing w:line="300" w:lineRule="exact"/>
              <w:jc w:val="right"/>
              <w:rPr>
                <w:rFonts w:ascii="方正书宋_GBK" w:eastAsia="方正书宋_GBK"/>
                <w:b/>
                <w:bCs/>
              </w:rPr>
            </w:pPr>
          </w:p>
        </w:tc>
        <w:tc>
          <w:tcPr>
            <w:tcW w:w="94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99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2.7</w:t>
            </w:r>
          </w:p>
        </w:tc>
        <w:tc>
          <w:tcPr>
            <w:tcW w:w="656" w:type="dxa"/>
            <w:vAlign w:val="center"/>
          </w:tcPr>
          <w:p>
            <w:pPr>
              <w:spacing w:line="300" w:lineRule="exact"/>
              <w:jc w:val="right"/>
              <w:rPr>
                <w:rFonts w:ascii="方正书宋_GBK" w:eastAsia="方正书宋_GBK" w:cs="方正书宋_GBK"/>
                <w:b/>
                <w:bCs/>
              </w:rPr>
            </w:pPr>
          </w:p>
        </w:tc>
        <w:tc>
          <w:tcPr>
            <w:tcW w:w="472" w:type="dxa"/>
            <w:vAlign w:val="center"/>
          </w:tcPr>
          <w:p>
            <w:pPr>
              <w:spacing w:line="300" w:lineRule="exact"/>
              <w:jc w:val="right"/>
              <w:rPr>
                <w:rFonts w:ascii="方正书宋_GBK" w:eastAsia="方正书宋_GBK" w:cs="方正书宋_GBK"/>
                <w:b/>
                <w:bCs/>
              </w:rPr>
            </w:pPr>
          </w:p>
        </w:tc>
        <w:tc>
          <w:tcPr>
            <w:tcW w:w="583" w:type="dxa"/>
            <w:vAlign w:val="center"/>
          </w:tcPr>
          <w:p>
            <w:pPr>
              <w:spacing w:line="300" w:lineRule="exact"/>
              <w:jc w:val="right"/>
              <w:rPr>
                <w:rFonts w:ascii="方正书宋_GBK" w:eastAsia="方正书宋_GBK" w:cs="方正书宋_GBK"/>
                <w:b/>
                <w:bCs/>
              </w:rPr>
            </w:pPr>
          </w:p>
        </w:tc>
        <w:tc>
          <w:tcPr>
            <w:tcW w:w="4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汽车维修费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车辆设备维修和保养服务</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741"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1045" w:type="dxa"/>
            <w:vAlign w:val="center"/>
          </w:tcPr>
          <w:p>
            <w:pPr>
              <w:spacing w:line="300" w:lineRule="exact"/>
              <w:jc w:val="right"/>
              <w:rPr>
                <w:rFonts w:ascii="方正书宋_GBK" w:eastAsia="方正书宋_GBK"/>
              </w:rPr>
            </w:pPr>
            <w:r>
              <w:rPr>
                <w:rFonts w:ascii="方正书宋_GBK" w:eastAsia="方正书宋_GBK" w:cs="方正书宋_GBK"/>
              </w:rPr>
              <w:t>20</w:t>
            </w:r>
          </w:p>
        </w:tc>
        <w:tc>
          <w:tcPr>
            <w:tcW w:w="947" w:type="dxa"/>
            <w:vAlign w:val="center"/>
          </w:tcPr>
          <w:p>
            <w:pPr>
              <w:spacing w:line="300" w:lineRule="exact"/>
              <w:jc w:val="right"/>
              <w:rPr>
                <w:rFonts w:ascii="方正书宋_GBK" w:eastAsia="方正书宋_GBK"/>
              </w:rPr>
            </w:pPr>
            <w:r>
              <w:rPr>
                <w:rFonts w:ascii="方正书宋_GBK" w:eastAsia="方正书宋_GBK"/>
              </w:rPr>
              <w:t>2</w:t>
            </w:r>
          </w:p>
        </w:tc>
        <w:tc>
          <w:tcPr>
            <w:tcW w:w="994"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vAlign w:val="center"/>
          </w:tcPr>
          <w:p>
            <w:pPr>
              <w:spacing w:line="300" w:lineRule="exact"/>
              <w:jc w:val="left"/>
              <w:rPr>
                <w:rFonts w:ascii="宋体"/>
                <w:sz w:val="18"/>
                <w:szCs w:val="18"/>
              </w:rPr>
            </w:pPr>
            <w:r>
              <w:rPr>
                <w:rFonts w:hint="eastAsia" w:ascii="方正书宋_GBK" w:eastAsia="方正书宋_GBK" w:cs="方正书宋_GBK"/>
              </w:rPr>
              <w:t>汽车保险费</w:t>
            </w:r>
          </w:p>
        </w:tc>
        <w:tc>
          <w:tcPr>
            <w:tcW w:w="742"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2071" w:type="dxa"/>
            <w:vAlign w:val="center"/>
          </w:tcPr>
          <w:p>
            <w:pPr>
              <w:spacing w:line="300" w:lineRule="exact"/>
              <w:jc w:val="left"/>
              <w:rPr>
                <w:rFonts w:ascii="方正书宋_GBK" w:eastAsia="方正书宋_GBK"/>
              </w:rPr>
            </w:pPr>
            <w:r>
              <w:rPr>
                <w:rFonts w:hint="eastAsia" w:ascii="方正书宋_GBK" w:eastAsia="方正书宋_GBK" w:cs="方正书宋_GBK"/>
              </w:rPr>
              <w:t>车辆保险</w:t>
            </w:r>
          </w:p>
        </w:tc>
        <w:tc>
          <w:tcPr>
            <w:tcW w:w="1371" w:type="dxa"/>
            <w:vAlign w:val="center"/>
          </w:tcPr>
          <w:p>
            <w:pPr>
              <w:spacing w:line="300" w:lineRule="exact"/>
              <w:jc w:val="left"/>
              <w:rPr>
                <w:rFonts w:ascii="方正书宋_GBK" w:eastAsia="方正书宋_GBK"/>
              </w:rPr>
            </w:pPr>
            <w:r>
              <w:rPr>
                <w:rFonts w:ascii="方正书宋_GBK" w:eastAsia="方正书宋_GBK" w:cs="方正书宋_GBK"/>
              </w:rPr>
              <w:t>A0203</w:t>
            </w:r>
          </w:p>
        </w:tc>
        <w:tc>
          <w:tcPr>
            <w:tcW w:w="829" w:type="dxa"/>
            <w:vAlign w:val="center"/>
          </w:tcPr>
          <w:p>
            <w:pPr>
              <w:spacing w:line="300" w:lineRule="exact"/>
              <w:jc w:val="left"/>
              <w:rPr>
                <w:rFonts w:ascii="方正书宋_GBK" w:eastAsia="方正书宋_GBK"/>
              </w:rPr>
            </w:pPr>
          </w:p>
        </w:tc>
        <w:tc>
          <w:tcPr>
            <w:tcW w:w="946" w:type="dxa"/>
            <w:vAlign w:val="center"/>
          </w:tcPr>
          <w:p>
            <w:pPr>
              <w:spacing w:line="300" w:lineRule="exact"/>
              <w:jc w:val="right"/>
              <w:rPr>
                <w:rFonts w:ascii="方正书宋_GBK" w:eastAsia="方正书宋_GBK"/>
              </w:rPr>
            </w:pPr>
            <w:r>
              <w:rPr>
                <w:rFonts w:ascii="方正书宋_GBK" w:eastAsia="方正书宋_GBK" w:cs="方正书宋_GBK"/>
              </w:rPr>
              <w:t>0.35</w:t>
            </w:r>
          </w:p>
        </w:tc>
        <w:tc>
          <w:tcPr>
            <w:tcW w:w="741" w:type="dxa"/>
            <w:vAlign w:val="center"/>
          </w:tcPr>
          <w:p>
            <w:pPr>
              <w:spacing w:line="300" w:lineRule="exact"/>
              <w:jc w:val="right"/>
              <w:rPr>
                <w:rFonts w:ascii="方正书宋_GBK" w:eastAsia="方正书宋_GBK"/>
              </w:rPr>
            </w:pPr>
            <w:r>
              <w:rPr>
                <w:rFonts w:ascii="方正书宋_GBK" w:eastAsia="方正书宋_GBK" w:cs="方正书宋_GBK"/>
              </w:rPr>
              <w:t>2</w:t>
            </w:r>
          </w:p>
        </w:tc>
        <w:tc>
          <w:tcPr>
            <w:tcW w:w="1045"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947"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994" w:type="dxa"/>
            <w:vAlign w:val="center"/>
          </w:tcPr>
          <w:p>
            <w:pPr>
              <w:spacing w:line="300" w:lineRule="exact"/>
              <w:jc w:val="right"/>
              <w:rPr>
                <w:rFonts w:ascii="方正书宋_GBK" w:eastAsia="方正书宋_GBK"/>
              </w:rPr>
            </w:pPr>
            <w:r>
              <w:rPr>
                <w:rFonts w:ascii="方正书宋_GBK" w:eastAsia="方正书宋_GBK" w:cs="方正书宋_GBK"/>
              </w:rPr>
              <w:t>0.7</w:t>
            </w:r>
          </w:p>
        </w:tc>
        <w:tc>
          <w:tcPr>
            <w:tcW w:w="656" w:type="dxa"/>
            <w:vAlign w:val="center"/>
          </w:tcPr>
          <w:p>
            <w:pPr>
              <w:spacing w:line="300" w:lineRule="exact"/>
              <w:jc w:val="right"/>
              <w:rPr>
                <w:rFonts w:ascii="方正书宋_GBK" w:eastAsia="方正书宋_GBK"/>
              </w:rPr>
            </w:pPr>
          </w:p>
        </w:tc>
        <w:tc>
          <w:tcPr>
            <w:tcW w:w="472"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427" w:type="dxa"/>
            <w:vAlign w:val="center"/>
          </w:tcPr>
          <w:p>
            <w:pPr>
              <w:spacing w:line="300" w:lineRule="exact"/>
              <w:jc w:val="right"/>
              <w:rPr>
                <w:rFonts w:ascii="方正书宋_GBK" w:eastAsia="方正书宋_GBK"/>
              </w:rPr>
            </w:pPr>
          </w:p>
        </w:tc>
      </w:tr>
    </w:tbl>
    <w:p>
      <w:pPr>
        <w:spacing w:line="300" w:lineRule="exact"/>
        <w:jc w:val="left"/>
        <w:outlineLvl w:val="0"/>
        <w:sectPr>
          <w:headerReference r:id="rId3" w:type="default"/>
          <w:pgSz w:w="16839" w:h="11907" w:orient="landscape"/>
          <w:pgMar w:top="1020" w:right="1361" w:bottom="1020" w:left="1361" w:header="851" w:footer="992" w:gutter="0"/>
          <w:cols w:space="720" w:num="1"/>
          <w:docGrid w:type="lines" w:linePitch="312" w:charSpace="0"/>
        </w:sectPr>
      </w:pPr>
    </w:p>
    <w:p>
      <w:pPr>
        <w:ind w:firstLine="560"/>
        <w:rPr>
          <w:rFonts w:ascii="仿宋_GB2312" w:hAnsi="仿宋_GB2312" w:eastAsia="仿宋_GB2312" w:cs="仿宋_GB2312"/>
          <w:sz w:val="32"/>
          <w:szCs w:val="32"/>
        </w:rPr>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cs="黑体"/>
          <w:b/>
          <w:bCs/>
          <w:sz w:val="32"/>
          <w:szCs w:val="32"/>
        </w:rPr>
        <w:t>七、国有资产信息</w:t>
      </w:r>
    </w:p>
    <w:p>
      <w:pPr>
        <w:ind w:firstLine="630"/>
        <w:outlineLvl w:val="0"/>
        <w:rPr>
          <w:rFonts w:ascii="Times New Roman" w:hAnsi="Times New Roman" w:eastAsia="方正仿宋_GBK"/>
          <w:sz w:val="32"/>
          <w:szCs w:val="32"/>
        </w:rPr>
      </w:pPr>
      <w:r>
        <w:rPr>
          <w:rFonts w:hint="eastAsia" w:ascii="Times New Roman" w:hAnsi="Times New Roman" w:eastAsia="方正仿宋_GBK"/>
          <w:sz w:val="32"/>
          <w:szCs w:val="32"/>
        </w:rPr>
        <w:t>遵化市民政局部门上年末固定资产金额为</w:t>
      </w:r>
      <w:r>
        <w:rPr>
          <w:rFonts w:ascii="Times New Roman" w:hAnsi="Times New Roman" w:eastAsia="方正仿宋_GBK"/>
          <w:sz w:val="32"/>
          <w:szCs w:val="32"/>
        </w:rPr>
        <w:t>932.14</w:t>
      </w:r>
      <w:r>
        <w:rPr>
          <w:rFonts w:hint="eastAsia" w:ascii="Times New Roman" w:hAnsi="Times New Roman" w:eastAsia="方正仿宋_GBK"/>
          <w:sz w:val="32"/>
          <w:szCs w:val="32"/>
        </w:rPr>
        <w:t>万元（详见下表），其中房屋建筑物</w:t>
      </w:r>
      <w:r>
        <w:rPr>
          <w:rFonts w:ascii="Times New Roman" w:hAnsi="Times New Roman" w:eastAsia="方正仿宋_GBK"/>
          <w:sz w:val="32"/>
          <w:szCs w:val="32"/>
        </w:rPr>
        <w:t>747.93</w:t>
      </w:r>
      <w:r>
        <w:rPr>
          <w:rFonts w:hint="eastAsia" w:ascii="Times New Roman" w:hAnsi="Times New Roman" w:eastAsia="方正仿宋_GBK"/>
          <w:sz w:val="32"/>
          <w:szCs w:val="32"/>
        </w:rPr>
        <w:t>万元，车辆</w:t>
      </w:r>
      <w:r>
        <w:rPr>
          <w:rFonts w:ascii="Times New Roman" w:hAnsi="Times New Roman" w:eastAsia="方正仿宋_GBK"/>
          <w:sz w:val="32"/>
          <w:szCs w:val="32"/>
        </w:rPr>
        <w:t>77.97</w:t>
      </w:r>
      <w:r>
        <w:rPr>
          <w:rFonts w:hint="eastAsia" w:ascii="Times New Roman" w:hAnsi="Times New Roman" w:eastAsia="方正仿宋_GBK"/>
          <w:sz w:val="32"/>
          <w:szCs w:val="32"/>
        </w:rPr>
        <w:t>万元,电脑等其他固定资产电子产品106.24万元，。本年度无新增固定资产预算。</w:t>
      </w:r>
    </w:p>
    <w:p>
      <w:pPr>
        <w:widowControl/>
        <w:shd w:val="clear" w:color="auto" w:fill="FFFFFF"/>
        <w:spacing w:line="560" w:lineRule="exact"/>
        <w:ind w:firstLine="560"/>
        <w:jc w:val="left"/>
        <w:rPr>
          <w:rFonts w:ascii="方正仿宋简体" w:hAnsi="黑体" w:eastAsia="方正仿宋简体" w:cs="仿宋_GB2312"/>
          <w:sz w:val="32"/>
          <w:szCs w:val="32"/>
        </w:rPr>
      </w:pPr>
    </w:p>
    <w:tbl>
      <w:tblPr>
        <w:tblStyle w:val="4"/>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遵化市民政局部门固定资产占用情况表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szCs w:val="22"/>
              </w:rPr>
              <w:t>编制部门：遵化市民政局</w:t>
            </w:r>
          </w:p>
        </w:tc>
        <w:tc>
          <w:tcPr>
            <w:tcW w:w="5103" w:type="dxa"/>
            <w:tcBorders>
              <w:top w:val="nil"/>
              <w:left w:val="nil"/>
              <w:bottom w:val="nil"/>
              <w:right w:val="nil"/>
            </w:tcBorders>
            <w:vAlign w:val="center"/>
          </w:tcPr>
          <w:p>
            <w:pPr>
              <w:widowControl/>
              <w:jc w:val="left"/>
              <w:rPr>
                <w:rFonts w:ascii="宋体"/>
                <w:kern w:val="0"/>
                <w:sz w:val="22"/>
              </w:rPr>
            </w:pPr>
            <w:r>
              <w:rPr>
                <w:rFonts w:hint="eastAsia" w:ascii="宋体" w:hAnsi="宋体" w:cs="宋体"/>
                <w:kern w:val="0"/>
                <w:sz w:val="22"/>
                <w:szCs w:val="22"/>
              </w:rPr>
              <w:t>截止时间：</w:t>
            </w:r>
            <w:r>
              <w:rPr>
                <w:rFonts w:ascii="宋体" w:hAnsi="宋体" w:cs="宋体"/>
                <w:kern w:val="0"/>
                <w:sz w:val="22"/>
                <w:szCs w:val="22"/>
              </w:rPr>
              <w:t>2017</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932.14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sz w:val="22"/>
              </w:rPr>
              <w:t>8120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747.93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3226</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303.79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77.97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sz w:val="22"/>
              </w:rPr>
            </w:pPr>
            <w:r>
              <w:rPr>
                <w:rFonts w:hint="eastAsia" w:cs="宋体"/>
                <w:sz w:val="22"/>
                <w:szCs w:val="22"/>
              </w:rPr>
              <w:t>429</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sz w:val="22"/>
              </w:rPr>
            </w:pPr>
            <w:r>
              <w:rPr>
                <w:rFonts w:ascii="方正仿宋简体" w:eastAsia="方正仿宋简体" w:cs="方正仿宋简体"/>
                <w:sz w:val="22"/>
                <w:szCs w:val="22"/>
              </w:rPr>
              <w:t>106.24</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遵化市民政局</w:t>
      </w:r>
      <w:r>
        <w:rPr>
          <w:rFonts w:ascii="Times New Roman" w:hAnsi="Times New Roman" w:eastAsia="方正仿宋_GBK"/>
          <w:sz w:val="32"/>
          <w:szCs w:val="32"/>
        </w:rPr>
        <w:t>2018</w:t>
      </w:r>
      <w:r>
        <w:rPr>
          <w:rFonts w:hint="eastAsia" w:ascii="Times New Roman" w:hAnsi="Times New Roman" w:eastAsia="方正仿宋_GBK" w:cs="方正仿宋_GBK"/>
          <w:sz w:val="32"/>
          <w:szCs w:val="32"/>
        </w:rPr>
        <w:t>年部门预算中未安排国有资本经营预算，故国有资本经营预算支出表为空。</w:t>
      </w:r>
    </w:p>
    <w:p>
      <w:pPr>
        <w:ind w:firstLine="420" w:firstLineChars="200"/>
      </w:pPr>
    </w:p>
    <w:sectPr>
      <w:headerReference r:id="rId4" w:type="default"/>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6193F-1A8A-4FD4-A36E-10893A0A56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8422DE6-699E-4D23-BADF-FC47FD2E6BEF}"/>
  </w:font>
  <w:font w:name="方正小标宋_GBK">
    <w:altName w:val="宋体"/>
    <w:panose1 w:val="00000000000000000000"/>
    <w:charset w:val="86"/>
    <w:family w:val="roman"/>
    <w:pitch w:val="default"/>
    <w:sig w:usb0="00000000" w:usb1="00000000" w:usb2="00000010" w:usb3="00000000" w:csb0="00040000" w:csb1="00000000"/>
    <w:embedRegular r:id="rId3" w:fontKey="{9D41E9E3-967B-41F0-8D49-4D1300F9AE06}"/>
  </w:font>
  <w:font w:name="方正仿宋_GBK">
    <w:altName w:val="方正舒体"/>
    <w:panose1 w:val="00000000000000000000"/>
    <w:charset w:val="86"/>
    <w:family w:val="auto"/>
    <w:pitch w:val="default"/>
    <w:sig w:usb0="00000000" w:usb1="00000000" w:usb2="00000010" w:usb3="00000000" w:csb0="00040000" w:csb1="00000000"/>
    <w:embedRegular r:id="rId4" w:fontKey="{C2A621F7-F0E0-4958-9605-8CC7C34FA4A6}"/>
  </w:font>
  <w:font w:name="方正书宋_GBK">
    <w:altName w:val="宋体"/>
    <w:panose1 w:val="00000000000000000000"/>
    <w:charset w:val="86"/>
    <w:family w:val="roman"/>
    <w:pitch w:val="default"/>
    <w:sig w:usb0="00000000" w:usb1="00000000" w:usb2="00000010" w:usb3="00000000" w:csb0="00040000" w:csb1="00000000"/>
    <w:embedRegular r:id="rId5" w:fontKey="{7985221B-4F93-4C4F-92EF-60B420A6F4E0}"/>
  </w:font>
  <w:font w:name="方正黑体简体">
    <w:altName w:val="Arial Unicode MS"/>
    <w:panose1 w:val="00000000000000000000"/>
    <w:charset w:val="86"/>
    <w:family w:val="script"/>
    <w:pitch w:val="default"/>
    <w:sig w:usb0="00000000" w:usb1="00000000" w:usb2="00000010" w:usb3="00000000" w:csb0="00040000" w:csb1="00000000"/>
    <w:embedRegular r:id="rId6" w:fontKey="{AEE5B4AE-A291-4AED-AF98-4AF5BE3D7068}"/>
  </w:font>
  <w:font w:name="仿宋_GB2312">
    <w:altName w:val="仿宋"/>
    <w:panose1 w:val="00000000000000000000"/>
    <w:charset w:val="86"/>
    <w:family w:val="modern"/>
    <w:pitch w:val="default"/>
    <w:sig w:usb0="00000000" w:usb1="00000000" w:usb2="00000010" w:usb3="00000000" w:csb0="00040000" w:csb1="00000000"/>
    <w:embedRegular r:id="rId7" w:fontKey="{6AD86547-DBBB-413A-9345-9C9B8EE7F3D5}"/>
  </w:font>
  <w:font w:name="方正仿宋简体">
    <w:altName w:val="微软雅黑"/>
    <w:panose1 w:val="00000000000000000000"/>
    <w:charset w:val="86"/>
    <w:family w:val="script"/>
    <w:pitch w:val="default"/>
    <w:sig w:usb0="00000000" w:usb1="00000000" w:usb2="00000010" w:usb3="00000000" w:csb0="00040000" w:csb1="00000000"/>
    <w:embedRegular r:id="rId8" w:fontKey="{BFB08758-83F7-4E7F-A015-B76626BEDD84}"/>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9A049"/>
    <w:multiLevelType w:val="singleLevel"/>
    <w:tmpl w:val="FBE9A0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F714A2"/>
    <w:rsid w:val="000012CC"/>
    <w:rsid w:val="00070653"/>
    <w:rsid w:val="00074DCF"/>
    <w:rsid w:val="001007FD"/>
    <w:rsid w:val="0018518D"/>
    <w:rsid w:val="00332A42"/>
    <w:rsid w:val="00456D54"/>
    <w:rsid w:val="00531C2E"/>
    <w:rsid w:val="005962DF"/>
    <w:rsid w:val="006301EE"/>
    <w:rsid w:val="00640102"/>
    <w:rsid w:val="00654C8A"/>
    <w:rsid w:val="0068451B"/>
    <w:rsid w:val="00730BC9"/>
    <w:rsid w:val="00792DBD"/>
    <w:rsid w:val="007F06AF"/>
    <w:rsid w:val="009048C2"/>
    <w:rsid w:val="00961550"/>
    <w:rsid w:val="00A67E5C"/>
    <w:rsid w:val="00B27CBF"/>
    <w:rsid w:val="00C01046"/>
    <w:rsid w:val="00C779B8"/>
    <w:rsid w:val="00C77B04"/>
    <w:rsid w:val="00D91FED"/>
    <w:rsid w:val="00DD1B65"/>
    <w:rsid w:val="00E57AB4"/>
    <w:rsid w:val="00EC14BF"/>
    <w:rsid w:val="00F27675"/>
    <w:rsid w:val="08942B7D"/>
    <w:rsid w:val="08F94238"/>
    <w:rsid w:val="090D0FBC"/>
    <w:rsid w:val="09F714A2"/>
    <w:rsid w:val="11CF1337"/>
    <w:rsid w:val="12826130"/>
    <w:rsid w:val="15FB6D56"/>
    <w:rsid w:val="16774ABB"/>
    <w:rsid w:val="1D653D74"/>
    <w:rsid w:val="1D6B3517"/>
    <w:rsid w:val="1F7E5EE0"/>
    <w:rsid w:val="234A7341"/>
    <w:rsid w:val="25DA51BB"/>
    <w:rsid w:val="27852988"/>
    <w:rsid w:val="2C2E04DE"/>
    <w:rsid w:val="2DD537F4"/>
    <w:rsid w:val="2DF53576"/>
    <w:rsid w:val="30455127"/>
    <w:rsid w:val="31881CEF"/>
    <w:rsid w:val="332541FF"/>
    <w:rsid w:val="363F1321"/>
    <w:rsid w:val="378E0880"/>
    <w:rsid w:val="41441A6A"/>
    <w:rsid w:val="49E76FA9"/>
    <w:rsid w:val="4A670CA5"/>
    <w:rsid w:val="4BD46294"/>
    <w:rsid w:val="4E3002F9"/>
    <w:rsid w:val="53706696"/>
    <w:rsid w:val="538A0EA3"/>
    <w:rsid w:val="594C04B4"/>
    <w:rsid w:val="5DD77602"/>
    <w:rsid w:val="60B925FB"/>
    <w:rsid w:val="67223C25"/>
    <w:rsid w:val="67A46EBF"/>
    <w:rsid w:val="6CCD268E"/>
    <w:rsid w:val="6CF5269A"/>
    <w:rsid w:val="731F41CF"/>
    <w:rsid w:val="73905579"/>
    <w:rsid w:val="7F8D253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 w:type="paragraph" w:customStyle="1" w:styleId="8">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5467</Words>
  <Characters>31164</Characters>
  <Lines>259</Lines>
  <Paragraphs>73</Paragraphs>
  <TotalTime>14</TotalTime>
  <ScaleCrop>false</ScaleCrop>
  <LinksUpToDate>false</LinksUpToDate>
  <CharactersWithSpaces>36558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2018-03-07T02:57:00Z</dcterms:created>
  <dc:creator>Administrator</dc:creator>
  <cp:lastModifiedBy>Administrator</cp:lastModifiedBy>
  <dcterms:modified xsi:type="dcterms:W3CDTF">2024-03-19T06:57:37Z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