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2023年部门预算信息公开目录</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部门预算公开表</w:t>
      </w:r>
    </w:p>
    <w:p>
      <w:pPr>
        <w:pStyle w:val="7"/>
        <w:tabs>
          <w:tab w:val="right" w:leader="dot" w:pos="14562"/>
        </w:tabs>
        <w:rPr>
          <w:rFonts w:hint="eastAsia" w:ascii="方正楷体简体" w:hAnsi="方正楷体简体" w:eastAsia="方正楷体简体" w:cs="方正楷体简体"/>
          <w:sz w:val="32"/>
          <w:szCs w:val="32"/>
        </w:rPr>
      </w:pPr>
      <w:r>
        <w:fldChar w:fldCharType="begin"/>
      </w:r>
      <w:r>
        <w:instrText xml:space="preserve">TOC \o "2-2" \h \z \u</w:instrText>
      </w:r>
      <w:r>
        <w:fldChar w:fldCharType="separate"/>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_Toc_2_2_0000000001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"_Toc_2_2_0000000002"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部门预算收入总表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end"/>
      </w:r>
    </w:p>
    <w:p>
      <w:pPr>
        <w:pStyle w:val="7"/>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"_Toc_2_2_0000000003"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部门预算支出总表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8</w:t>
      </w:r>
      <w:r>
        <w:rPr>
          <w:rFonts w:hint="eastAsia" w:ascii="方正楷体简体" w:hAnsi="方正楷体简体" w:eastAsia="方正楷体简体" w:cs="方正楷体简体"/>
          <w:sz w:val="32"/>
          <w:szCs w:val="32"/>
        </w:rPr>
        <w:fldChar w:fldCharType="end"/>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部门预算财政拨款收支总表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0</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部门预算一般公共预算财政拨款支出表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5</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"_Toc_2_2_0000000006"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部门预算一般公共预算财政拨款基本支出表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7</w:t>
      </w:r>
    </w:p>
    <w:p>
      <w:pPr>
        <w:pStyle w:val="7"/>
        <w:tabs>
          <w:tab w:val="right" w:leader="dot" w:pos="14562"/>
        </w:tabs>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部门预算政府基金预算财政拨款支出表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20</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部门预算国有资本经营预算财政拨款支出表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1</w:t>
      </w:r>
    </w:p>
    <w:p>
      <w:pPr>
        <w:pStyle w:val="7"/>
        <w:tabs>
          <w:tab w:val="right" w:leader="dot" w:pos="14562"/>
        </w:tabs>
        <w:rPr>
          <w:rFonts w:hint="eastAsia" w:eastAsia="方正楷体简体"/>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部门预算财政拨款“三公”经费支出表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w:t>
      </w:r>
    </w:p>
    <w:p>
      <w:pPr>
        <w:keepNext w:val="0"/>
        <w:keepLines w:val="0"/>
        <w:pageBreakBefore w:val="0"/>
        <w:kinsoku/>
        <w:wordWrap/>
        <w:overflowPunct/>
        <w:topLinePunct w:val="0"/>
        <w:autoSpaceDE/>
        <w:autoSpaceDN/>
        <w:bidi w:val="0"/>
        <w:spacing w:line="570" w:lineRule="exact"/>
        <w:textAlignment w:val="auto"/>
      </w:pPr>
      <w:r>
        <w:fldChar w:fldCharType="end"/>
      </w:r>
    </w:p>
    <w:p>
      <w:pPr>
        <w:spacing w:before="0" w:after="0" w:line="240" w:lineRule="auto"/>
        <w:ind w:firstLine="0"/>
        <w:jc w:val="left"/>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部门预算信息公开情况说明</w:t>
      </w:r>
    </w:p>
    <w:p>
      <w:pPr>
        <w:pStyle w:val="7"/>
        <w:tabs>
          <w:tab w:val="right" w:leader="dot" w:pos="14562"/>
        </w:tabs>
        <w:rPr>
          <w:rFonts w:hint="default" w:ascii="方正楷体简体" w:hAnsi="方正楷体简体" w:eastAsia="方正楷体简体" w:cs="方正楷体简体"/>
          <w:sz w:val="32"/>
          <w:szCs w:val="32"/>
          <w:lang w:val="en-US" w:eastAsia="zh-CN"/>
        </w:rPr>
      </w:pPr>
      <w:r>
        <w:fldChar w:fldCharType="begin"/>
      </w:r>
      <w:r>
        <w:instrText xml:space="preserve">TOC \o "3-3" \h \z \u</w:instrText>
      </w:r>
      <w:r>
        <w:fldChar w:fldCharType="separate"/>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一、部门职责及机构设置情况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24</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二、部门预算安排的总体情况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w:t>
      </w:r>
    </w:p>
    <w:p>
      <w:pPr>
        <w:pStyle w:val="7"/>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"_Toc_3_3_0000000012"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三、机关运行经费安排情况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_Toc_3_3_0000000012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"_Toc_3_3_0000000013"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四、财政拨款“三公”经费预算情况及增减变化原因</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_Toc_3_3_0000000013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五、预算绩效信息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4</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六、政府采购预算情况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4</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"_Toc_3_3_0000000016"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七、国有资产信息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5</w:t>
      </w:r>
    </w:p>
    <w:p>
      <w:pPr>
        <w:pStyle w:val="7"/>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八、名词解释</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6</w:t>
      </w:r>
    </w:p>
    <w:p>
      <w:pPr>
        <w:pStyle w:val="7"/>
        <w:tabs>
          <w:tab w:val="right" w:leader="dot" w:pos="14562"/>
        </w:tabs>
        <w:rPr>
          <w:rFonts w:hint="eastAsia" w:eastAsia="方正楷体简体"/>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九、其他需要说明的事项</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47</w:t>
      </w:r>
      <w:r>
        <w:rPr>
          <w:rFonts w:hint="eastAsia" w:ascii="方正楷体简体" w:hAnsi="方正楷体简体" w:eastAsia="方正楷体简体" w:cs="方正楷体简体"/>
          <w:sz w:val="32"/>
          <w:szCs w:val="32"/>
        </w:rPr>
        <w:fldChar w:fldCharType="end"/>
      </w:r>
    </w:p>
    <w:p>
      <w:pPr>
        <w:keepNext w:val="0"/>
        <w:keepLines w:val="0"/>
        <w:pageBreakBefore w:val="0"/>
        <w:kinsoku/>
        <w:wordWrap/>
        <w:overflowPunct/>
        <w:topLinePunct w:val="0"/>
        <w:autoSpaceDE/>
        <w:autoSpaceDN/>
        <w:bidi w:val="0"/>
        <w:spacing w:line="570" w:lineRule="exact"/>
        <w:textAlignment w:val="auto"/>
      </w:pPr>
      <w:r>
        <w:fldChar w:fldCharType="end"/>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0"/>
        <w:rPr>
          <w:rFonts w:ascii="方正小标宋_GBK" w:hAnsi="方正小标宋_GBK" w:eastAsia="方正小标宋_GBK" w:cs="方正小标宋_GBK"/>
          <w:color w:val="000000"/>
          <w:sz w:val="72"/>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bookmarkStart w:id="0" w:name="_Toc_2_2_0000000001"/>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部门预算收支总表</w:t>
      </w:r>
      <w:bookmarkEnd w:id="0"/>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9"/>
        <w:gridCol w:w="4908"/>
        <w:gridCol w:w="2571"/>
        <w:gridCol w:w="5239"/>
        <w:gridCol w:w="1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0" w:type="pct"/>
            <w:gridSpan w:val="2"/>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643遵化市团瓢庄镇人民政府</w:t>
            </w:r>
          </w:p>
        </w:tc>
        <w:tc>
          <w:tcPr>
            <w:tcW w:w="856" w:type="pct"/>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2202" w:type="pct"/>
            <w:gridSpan w:val="2"/>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restar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2490" w:type="pct"/>
            <w:gridSpan w:val="2"/>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w:t>
            </w:r>
          </w:p>
        </w:tc>
        <w:tc>
          <w:tcPr>
            <w:tcW w:w="2202" w:type="pct"/>
            <w:gridSpan w:val="2"/>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continue"/>
          </w:tcPr>
          <w:p>
            <w:pPr>
              <w:pStyle w:val="18"/>
              <w:rPr>
                <w:rFonts w:hint="eastAsia" w:ascii="方正仿宋简体" w:hAnsi="方正仿宋简体" w:eastAsia="方正仿宋简体" w:cs="方正仿宋简体"/>
                <w:sz w:val="28"/>
                <w:szCs w:val="28"/>
                <w:lang w:eastAsia="zh-CN"/>
              </w:rPr>
            </w:pP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85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85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一、一般公共预算拨款收入</w:t>
            </w:r>
          </w:p>
        </w:tc>
        <w:tc>
          <w:tcPr>
            <w:tcW w:w="85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一、一般公共服务支出</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663.97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二、外交支出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三、国防支出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四、财政专户管理资金收入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四、公共安全支出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五、事业收入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五、教育支出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六、事业单位经营收入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六、科学技术支出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七、上级补助收入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七、文化旅游体育与传媒支出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八、附属单位上缴收入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八、社会保障和就业支出</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九、其他收入</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九、社会保险基金支出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十、卫生健康支出</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十一、节能环保支出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十二、城乡社区支出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十三、农林水支出</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十四、交通运输支出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十五、资源勘探工业信息等支出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十六、商业服务业等支出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十七、金融支出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十八、援助其他地区支出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十九、自然资源海洋气象等支出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二十、住房保障支出</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二十一、粮油物资储备支出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二十二、国有资本经营预算支出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二十三、灾害防治及应急管理支出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二十四、预备费</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二十五、其他支出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二十六、转移性支出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二十七、债务还本支出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二十八、债务付息支出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二十九、债务发行费用支出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三十、抗疫特别国债安排的支出</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1634" w:type="pct"/>
            <w:vAlign w:val="center"/>
          </w:tcPr>
          <w:p>
            <w:pPr>
              <w:pStyle w:val="18"/>
              <w:rPr>
                <w:rFonts w:hint="eastAsia" w:ascii="方正仿宋简体" w:hAnsi="方正仿宋简体" w:eastAsia="方正仿宋简体" w:cs="方正仿宋简体"/>
                <w:sz w:val="28"/>
                <w:szCs w:val="28"/>
                <w:lang w:eastAsia="zh-CN"/>
              </w:rPr>
            </w:pP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三十一、人行科目</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32</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本年收入合计</w:t>
            </w:r>
          </w:p>
        </w:tc>
        <w:tc>
          <w:tcPr>
            <w:tcW w:w="85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本年支出合计</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33</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上年结转结余</w:t>
            </w:r>
          </w:p>
        </w:tc>
        <w:tc>
          <w:tcPr>
            <w:tcW w:w="856" w:type="pct"/>
            <w:vAlign w:val="center"/>
          </w:tcPr>
          <w:p>
            <w:pPr>
              <w:pStyle w:val="18"/>
              <w:rPr>
                <w:rFonts w:hint="eastAsia" w:ascii="方正仿宋简体" w:hAnsi="方正仿宋简体" w:eastAsia="方正仿宋简体" w:cs="方正仿宋简体"/>
                <w:sz w:val="28"/>
                <w:szCs w:val="28"/>
                <w:lang w:eastAsia="zh-CN"/>
              </w:rPr>
            </w:pP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年终结转结余</w:t>
            </w:r>
          </w:p>
        </w:tc>
        <w:tc>
          <w:tcPr>
            <w:tcW w:w="458" w:type="pct"/>
            <w:vAlign w:val="center"/>
          </w:tcPr>
          <w:p>
            <w:pPr>
              <w:pStyle w:val="18"/>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34</w:t>
            </w:r>
          </w:p>
        </w:tc>
        <w:tc>
          <w:tcPr>
            <w:tcW w:w="163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收入总计</w:t>
            </w:r>
          </w:p>
        </w:tc>
        <w:tc>
          <w:tcPr>
            <w:tcW w:w="856"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c>
          <w:tcPr>
            <w:tcW w:w="1744"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支出总计</w:t>
            </w:r>
          </w:p>
        </w:tc>
        <w:tc>
          <w:tcPr>
            <w:tcW w:w="458" w:type="pct"/>
            <w:vAlign w:val="center"/>
          </w:tcPr>
          <w:p>
            <w:pPr>
              <w:pStyle w:val="18"/>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r>
    </w:tbl>
    <w:p>
      <w:pPr>
        <w:keepNext w:val="0"/>
        <w:keepLines w:val="0"/>
        <w:pageBreakBefore w:val="0"/>
        <w:kinsoku/>
        <w:wordWrap/>
        <w:overflowPunct/>
        <w:topLinePunct w:val="0"/>
        <w:autoSpaceDE/>
        <w:autoSpaceDN/>
        <w:bidi w:val="0"/>
        <w:spacing w:line="570" w:lineRule="exact"/>
        <w:textAlignment w:val="auto"/>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1" w:name="_Toc_2_2_0000000002"/>
      <w:r>
        <w:rPr>
          <w:rFonts w:hint="eastAsia" w:ascii="方正小标宋简体" w:hAnsi="方正小标宋简体" w:eastAsia="方正小标宋简体" w:cs="方正小标宋简体"/>
          <w:color w:val="000000"/>
          <w:sz w:val="44"/>
          <w:szCs w:val="44"/>
        </w:rPr>
        <w:t>部门预算收入总表</w:t>
      </w:r>
      <w:bookmarkEnd w:id="1"/>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153" w:type="pct"/>
            <w:gridSpan w:val="3"/>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769"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功能分类科目</w:t>
            </w:r>
          </w:p>
        </w:tc>
        <w:tc>
          <w:tcPr>
            <w:tcW w:w="38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3076" w:type="pct"/>
            <w:gridSpan w:val="8"/>
            <w:vAlign w:val="center"/>
          </w:tcPr>
          <w:p>
            <w:pPr>
              <w:pStyle w:val="19"/>
              <w:keepNext w:val="0"/>
              <w:keepLines w:val="0"/>
              <w:pageBreakBefore w:val="0"/>
              <w:kinsoku/>
              <w:wordWrap/>
              <w:overflowPunct/>
              <w:topLinePunct w:val="0"/>
              <w:autoSpaceDE/>
              <w:autoSpaceDN/>
              <w:bidi w:val="0"/>
              <w:spacing w:line="570" w:lineRule="exact"/>
              <w:textAlignment w:val="auto"/>
            </w:pPr>
            <w:r>
              <w:t>本年收入</w:t>
            </w:r>
          </w:p>
        </w:tc>
        <w:tc>
          <w:tcPr>
            <w:tcW w:w="38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科目    编码</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科目名称</w:t>
            </w:r>
          </w:p>
        </w:tc>
        <w:tc>
          <w:tcPr>
            <w:tcW w:w="38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小计</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财政拨款 收入</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财政专户 收入</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事业收入</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经营收入</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上级补助收入</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附属单位上缴收入</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其他收入</w:t>
            </w:r>
          </w:p>
        </w:tc>
        <w:tc>
          <w:tcPr>
            <w:tcW w:w="384" w:type="pct"/>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6</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7</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8</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9</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10</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11</w:t>
            </w:r>
          </w:p>
        </w:tc>
        <w:tc>
          <w:tcPr>
            <w:tcW w:w="384" w:type="pct"/>
            <w:vAlign w:val="center"/>
          </w:tcPr>
          <w:p>
            <w:pPr>
              <w:pStyle w:val="19"/>
              <w:keepNext w:val="0"/>
              <w:keepLines w:val="0"/>
              <w:pageBreakBefore w:val="0"/>
              <w:kinsoku/>
              <w:wordWrap/>
              <w:overflowPunct/>
              <w:topLinePunct w:val="0"/>
              <w:autoSpaceDE/>
              <w:autoSpaceDN/>
              <w:bidi w:val="0"/>
              <w:spacing w:line="570" w:lineRule="exact"/>
              <w:textAlignment w:val="auto"/>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w:t>
            </w:r>
          </w:p>
        </w:tc>
        <w:tc>
          <w:tcPr>
            <w:tcW w:w="384" w:type="pct"/>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3"/>
              <w:keepNext w:val="0"/>
              <w:keepLines w:val="0"/>
              <w:pageBreakBefore w:val="0"/>
              <w:kinsoku/>
              <w:wordWrap/>
              <w:overflowPunct/>
              <w:topLinePunct w:val="0"/>
              <w:autoSpaceDE/>
              <w:autoSpaceDN/>
              <w:bidi w:val="0"/>
              <w:spacing w:line="570" w:lineRule="exact"/>
              <w:textAlignment w:val="auto"/>
            </w:pPr>
            <w:r>
              <w:t>合计</w:t>
            </w: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2</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一般公共服务支出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3</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20103</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政府办公厅（室）及相关机构事务</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2010301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行政运行</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5</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2010302</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一般行政管理事务</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6</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208</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社会保障和就业支出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7</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20805</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行政事业单位养老支出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8</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2080505</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机关事业单位基本养老保险缴费支出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9</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2080506</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机关事业单位职业年金缴费支出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10</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210</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卫生健康支出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21011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行政事业单位医疗</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12</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2101101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行政单位医疗</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13</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213</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农林水支出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14</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21301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农业农村</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15</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2130126</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农村社会事业</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16</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21307</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农村综合改革</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17</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2130705</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对村民委员会和村党支部的补助</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18</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221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住房保障支出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19</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22102</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住房改革支出</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2"/>
              <w:keepNext w:val="0"/>
              <w:keepLines w:val="0"/>
              <w:pageBreakBefore w:val="0"/>
              <w:kinsoku/>
              <w:wordWrap/>
              <w:overflowPunct/>
              <w:topLinePunct w:val="0"/>
              <w:autoSpaceDE/>
              <w:autoSpaceDN/>
              <w:bidi w:val="0"/>
              <w:spacing w:line="570" w:lineRule="exact"/>
              <w:textAlignment w:val="auto"/>
            </w:pPr>
            <w:r>
              <w:t>20</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2210201</w:t>
            </w:r>
          </w:p>
        </w:tc>
        <w:tc>
          <w:tcPr>
            <w:tcW w:w="384" w:type="pct"/>
            <w:vAlign w:val="center"/>
          </w:tcPr>
          <w:p>
            <w:pPr>
              <w:pStyle w:val="21"/>
              <w:keepNext w:val="0"/>
              <w:keepLines w:val="0"/>
              <w:pageBreakBefore w:val="0"/>
              <w:kinsoku/>
              <w:wordWrap/>
              <w:overflowPunct/>
              <w:topLinePunct w:val="0"/>
              <w:autoSpaceDE/>
              <w:autoSpaceDN/>
              <w:bidi w:val="0"/>
              <w:spacing w:line="570" w:lineRule="exact"/>
              <w:textAlignment w:val="auto"/>
            </w:pPr>
            <w:r>
              <w:t>住房公积金</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2" w:name="_Toc_2_2_0000000003"/>
      <w:r>
        <w:rPr>
          <w:rFonts w:hint="eastAsia" w:ascii="方正小标宋简体" w:hAnsi="方正小标宋简体" w:eastAsia="方正小标宋简体" w:cs="方正小标宋简体"/>
          <w:color w:val="000000"/>
          <w:sz w:val="44"/>
          <w:szCs w:val="44"/>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0" w:type="auto"/>
            <w:gridSpan w:val="2"/>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0" w:type="auto"/>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功能分类科目</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基本支出</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项目支出</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经营支出</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上解上级     支出</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科目    编码</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科目名称</w:t>
            </w: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3"/>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877.84</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189.25</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一般公共服务支出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20103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政府办公厅（室）及相关机构事务</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2010301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行政运行</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2010302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一般行政管理事务</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社会保障和就业支出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20805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行政事业单位养老支出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2080505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机关事业单位基本养老保险缴费支出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2080506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机关事业单位职业年金缴费支出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卫生健康支出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21011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行政事业单位医疗</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2101101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行政单位医疗</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农林水支出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21301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农业农村</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2130126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农村社会事业</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21307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农村综合改革</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2130705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对村民委员会和村党支部的补助</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221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住房保障支出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22102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住房改革支出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2210201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住房公积金</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3" w:name="_Toc_2_2_0000000004"/>
      <w:r>
        <w:rPr>
          <w:rFonts w:hint="eastAsia" w:ascii="方正小标宋简体" w:hAnsi="方正小标宋简体" w:eastAsia="方正小标宋简体" w:cs="方正小标宋简体"/>
          <w:color w:val="000000"/>
          <w:sz w:val="44"/>
          <w:szCs w:val="44"/>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0" w:type="auto"/>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0" w:type="auto"/>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收入</w:t>
            </w:r>
          </w:p>
        </w:tc>
        <w:tc>
          <w:tcPr>
            <w:tcW w:w="0" w:type="auto"/>
            <w:gridSpan w:val="5"/>
            <w:vAlign w:val="center"/>
          </w:tcPr>
          <w:p>
            <w:pPr>
              <w:pStyle w:val="19"/>
              <w:keepNext w:val="0"/>
              <w:keepLines w:val="0"/>
              <w:pageBreakBefore w:val="0"/>
              <w:kinsoku/>
              <w:wordWrap/>
              <w:overflowPunct/>
              <w:topLinePunct w:val="0"/>
              <w:autoSpaceDE/>
              <w:autoSpaceDN/>
              <w:bidi w:val="0"/>
              <w:spacing w:line="570" w:lineRule="exact"/>
              <w:textAlignment w:val="auto"/>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项  目</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金额</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项  目</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一般公共预算财政拨款</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政府性基金预算财政    拨款</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一、一般公共预算拨款</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一、一般公共服务支出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二、政府性基金预算拨款</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二、外交支出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三、国有资本经营预算拨款</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三、国防支出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四、公共安全支出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五、教育支出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六、科学技术支出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七、文化旅游体育与传媒支出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八、社会保障和就业支出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九、社会保险基金支出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十、卫生健康支出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十一、节能环保支出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十二、城乡社区支出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十三、农林水支出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十四、交通运输支出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十五、资源勘探工业信息等支出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十六、商业服务业等支出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十七、金融支出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十八、援助其他地区支出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十九、自然资源海洋气象等支出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二十、住房保障支出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二十一、粮油物资储备支出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二十二、国有资本经营预算支出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二十三、灾害防治及应急管理支出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二十四、预备费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二十五、其他支出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二十六、转移性支出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二十七、债务还本支出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二十八、债务付息支出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二十九、债务发行费用支出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三十、抗疫特别国债安排的支出</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三十一、人行科目</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32</w:t>
            </w:r>
          </w:p>
        </w:tc>
        <w:tc>
          <w:tcPr>
            <w:tcW w:w="0" w:type="auto"/>
            <w:vAlign w:val="center"/>
          </w:tcPr>
          <w:p>
            <w:pPr>
              <w:pStyle w:val="23"/>
              <w:keepNext w:val="0"/>
              <w:keepLines w:val="0"/>
              <w:pageBreakBefore w:val="0"/>
              <w:kinsoku/>
              <w:wordWrap/>
              <w:overflowPunct/>
              <w:topLinePunct w:val="0"/>
              <w:autoSpaceDE/>
              <w:autoSpaceDN/>
              <w:bidi w:val="0"/>
              <w:spacing w:line="570" w:lineRule="exact"/>
              <w:textAlignment w:val="auto"/>
            </w:pPr>
            <w:r>
              <w:t>本年收入合计</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3"/>
              <w:keepNext w:val="0"/>
              <w:keepLines w:val="0"/>
              <w:pageBreakBefore w:val="0"/>
              <w:kinsoku/>
              <w:wordWrap/>
              <w:overflowPunct/>
              <w:topLinePunct w:val="0"/>
              <w:autoSpaceDE/>
              <w:autoSpaceDN/>
              <w:bidi w:val="0"/>
              <w:spacing w:line="570" w:lineRule="exact"/>
              <w:textAlignment w:val="auto"/>
            </w:pPr>
            <w:r>
              <w:t>本年支出合计</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年初财政拨款结转和结余</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年末财政拨款结转和结余</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一、一般公共预算拨款</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二、政府性基金预算拨款</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三、国有资本经营预算拨款</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37</w:t>
            </w:r>
          </w:p>
        </w:tc>
        <w:tc>
          <w:tcPr>
            <w:tcW w:w="0" w:type="auto"/>
            <w:vAlign w:val="center"/>
          </w:tcPr>
          <w:p>
            <w:pPr>
              <w:pStyle w:val="23"/>
              <w:keepNext w:val="0"/>
              <w:keepLines w:val="0"/>
              <w:pageBreakBefore w:val="0"/>
              <w:kinsoku/>
              <w:wordWrap/>
              <w:overflowPunct/>
              <w:topLinePunct w:val="0"/>
              <w:autoSpaceDE/>
              <w:autoSpaceDN/>
              <w:bidi w:val="0"/>
              <w:spacing w:line="570" w:lineRule="exact"/>
              <w:textAlignment w:val="auto"/>
            </w:pPr>
            <w:r>
              <w:t>收入总计</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3"/>
              <w:keepNext w:val="0"/>
              <w:keepLines w:val="0"/>
              <w:pageBreakBefore w:val="0"/>
              <w:kinsoku/>
              <w:wordWrap/>
              <w:overflowPunct/>
              <w:topLinePunct w:val="0"/>
              <w:autoSpaceDE/>
              <w:autoSpaceDN/>
              <w:bidi w:val="0"/>
              <w:spacing w:line="570" w:lineRule="exact"/>
              <w:textAlignment w:val="auto"/>
            </w:pPr>
            <w:r>
              <w:t>支出总计</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rPr>
        <w:t>部门预算一般公共预算财政拨款支出表</w:t>
      </w:r>
      <w:bookmarkEnd w:id="4"/>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054" w:type="pct"/>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1125" w:type="pct"/>
            <w:gridSpan w:val="2"/>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38"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2481"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功能分类科目</w:t>
            </w:r>
          </w:p>
        </w:tc>
        <w:tc>
          <w:tcPr>
            <w:tcW w:w="105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562"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基本支出</w:t>
            </w:r>
          </w:p>
        </w:tc>
        <w:tc>
          <w:tcPr>
            <w:tcW w:w="562"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pPr>
              <w:keepNext w:val="0"/>
              <w:keepLines w:val="0"/>
              <w:pageBreakBefore w:val="0"/>
              <w:kinsoku/>
              <w:wordWrap/>
              <w:overflowPunct/>
              <w:topLinePunct w:val="0"/>
              <w:autoSpaceDE/>
              <w:autoSpaceDN/>
              <w:bidi w:val="0"/>
              <w:spacing w:line="570" w:lineRule="exact"/>
              <w:textAlignment w:val="auto"/>
            </w:pPr>
          </w:p>
        </w:tc>
        <w:tc>
          <w:tcPr>
            <w:tcW w:w="574" w:type="pct"/>
            <w:vAlign w:val="center"/>
          </w:tcPr>
          <w:p>
            <w:pPr>
              <w:pStyle w:val="19"/>
              <w:keepNext w:val="0"/>
              <w:keepLines w:val="0"/>
              <w:pageBreakBefore w:val="0"/>
              <w:kinsoku/>
              <w:wordWrap/>
              <w:overflowPunct/>
              <w:topLinePunct w:val="0"/>
              <w:autoSpaceDE/>
              <w:autoSpaceDN/>
              <w:bidi w:val="0"/>
              <w:spacing w:line="570" w:lineRule="exact"/>
              <w:textAlignment w:val="auto"/>
            </w:pPr>
            <w:r>
              <w:t>科目编码</w:t>
            </w:r>
          </w:p>
        </w:tc>
        <w:tc>
          <w:tcPr>
            <w:tcW w:w="1906" w:type="pct"/>
            <w:vAlign w:val="center"/>
          </w:tcPr>
          <w:p>
            <w:pPr>
              <w:pStyle w:val="19"/>
              <w:keepNext w:val="0"/>
              <w:keepLines w:val="0"/>
              <w:pageBreakBefore w:val="0"/>
              <w:kinsoku/>
              <w:wordWrap/>
              <w:overflowPunct/>
              <w:topLinePunct w:val="0"/>
              <w:autoSpaceDE/>
              <w:autoSpaceDN/>
              <w:bidi w:val="0"/>
              <w:spacing w:line="570" w:lineRule="exact"/>
              <w:textAlignment w:val="auto"/>
            </w:pPr>
            <w:r>
              <w:t>科目名称</w:t>
            </w:r>
          </w:p>
        </w:tc>
        <w:tc>
          <w:tcPr>
            <w:tcW w:w="105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562" w:type="pct"/>
            <w:vMerge w:val="continue"/>
          </w:tcPr>
          <w:p>
            <w:pPr>
              <w:keepNext w:val="0"/>
              <w:keepLines w:val="0"/>
              <w:pageBreakBefore w:val="0"/>
              <w:kinsoku/>
              <w:wordWrap/>
              <w:overflowPunct/>
              <w:topLinePunct w:val="0"/>
              <w:autoSpaceDE/>
              <w:autoSpaceDN/>
              <w:bidi w:val="0"/>
              <w:spacing w:line="570" w:lineRule="exact"/>
              <w:textAlignment w:val="auto"/>
            </w:pPr>
          </w:p>
        </w:tc>
        <w:tc>
          <w:tcPr>
            <w:tcW w:w="562" w:type="pct"/>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574" w:type="pct"/>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1906" w:type="pct"/>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1054" w:type="pct"/>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562" w:type="pct"/>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562" w:type="pct"/>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w:t>
            </w:r>
          </w:p>
        </w:tc>
        <w:tc>
          <w:tcPr>
            <w:tcW w:w="574" w:type="pct"/>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1906" w:type="pct"/>
            <w:vAlign w:val="center"/>
          </w:tcPr>
          <w:p>
            <w:pPr>
              <w:pStyle w:val="23"/>
              <w:keepNext w:val="0"/>
              <w:keepLines w:val="0"/>
              <w:pageBreakBefore w:val="0"/>
              <w:kinsoku/>
              <w:wordWrap/>
              <w:overflowPunct/>
              <w:topLinePunct w:val="0"/>
              <w:autoSpaceDE/>
              <w:autoSpaceDN/>
              <w:bidi w:val="0"/>
              <w:spacing w:line="570" w:lineRule="exact"/>
              <w:textAlignment w:val="auto"/>
            </w:pPr>
            <w:r>
              <w:t>合计</w:t>
            </w:r>
          </w:p>
        </w:tc>
        <w:tc>
          <w:tcPr>
            <w:tcW w:w="1054" w:type="pct"/>
            <w:vAlign w:val="center"/>
          </w:tcPr>
          <w:p>
            <w:pPr>
              <w:pStyle w:val="24"/>
              <w:keepNext w:val="0"/>
              <w:keepLines w:val="0"/>
              <w:pageBreakBefore w:val="0"/>
              <w:kinsoku/>
              <w:wordWrap/>
              <w:overflowPunct/>
              <w:topLinePunct w:val="0"/>
              <w:autoSpaceDE/>
              <w:autoSpaceDN/>
              <w:bidi w:val="0"/>
              <w:spacing w:line="570" w:lineRule="exact"/>
              <w:textAlignment w:val="auto"/>
            </w:pPr>
            <w:r>
              <w:t>1067.09</w:t>
            </w:r>
          </w:p>
        </w:tc>
        <w:tc>
          <w:tcPr>
            <w:tcW w:w="562" w:type="pct"/>
            <w:vAlign w:val="center"/>
          </w:tcPr>
          <w:p>
            <w:pPr>
              <w:pStyle w:val="24"/>
              <w:keepNext w:val="0"/>
              <w:keepLines w:val="0"/>
              <w:pageBreakBefore w:val="0"/>
              <w:kinsoku/>
              <w:wordWrap/>
              <w:overflowPunct/>
              <w:topLinePunct w:val="0"/>
              <w:autoSpaceDE/>
              <w:autoSpaceDN/>
              <w:bidi w:val="0"/>
              <w:spacing w:line="570" w:lineRule="exact"/>
              <w:textAlignment w:val="auto"/>
            </w:pPr>
            <w:r>
              <w:t>877.84</w:t>
            </w:r>
          </w:p>
        </w:tc>
        <w:tc>
          <w:tcPr>
            <w:tcW w:w="562" w:type="pct"/>
            <w:vAlign w:val="center"/>
          </w:tcPr>
          <w:p>
            <w:pPr>
              <w:pStyle w:val="24"/>
              <w:keepNext w:val="0"/>
              <w:keepLines w:val="0"/>
              <w:pageBreakBefore w:val="0"/>
              <w:kinsoku/>
              <w:wordWrap/>
              <w:overflowPunct/>
              <w:topLinePunct w:val="0"/>
              <w:autoSpaceDE/>
              <w:autoSpaceDN/>
              <w:bidi w:val="0"/>
              <w:spacing w:line="570" w:lineRule="exact"/>
              <w:textAlignment w:val="auto"/>
            </w:pPr>
            <w:r>
              <w:t>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2</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一般公共服务支出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3</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20103</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政府办公厅（室）及相关机构事务</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663.97</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2010301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行政运行</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5</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2010302</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一般行政管理事务</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6</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208</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社会保障和就业支出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7</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20805</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行政事业单位养老支出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8</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2080505</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机关事业单位基本养老保险缴费支出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62.14</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9</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2080506</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机关事业单位职业年金缴费支出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10</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210</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卫生健康支出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11</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21011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行政事业单位医疗</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12</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2101101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行政单位医疗</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13</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213</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农林水支出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14</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21301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农业农村</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15</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2130126</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农村社会事业</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16</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21307</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农村综合改革</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17</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2130705</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对村民委员会和村党支部的补助</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18</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221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住房保障支出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19</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22102</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住房改革支出</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22"/>
              <w:keepNext w:val="0"/>
              <w:keepLines w:val="0"/>
              <w:pageBreakBefore w:val="0"/>
              <w:kinsoku/>
              <w:wordWrap/>
              <w:overflowPunct/>
              <w:topLinePunct w:val="0"/>
              <w:autoSpaceDE/>
              <w:autoSpaceDN/>
              <w:bidi w:val="0"/>
              <w:spacing w:line="570" w:lineRule="exact"/>
              <w:textAlignment w:val="auto"/>
            </w:pPr>
            <w:r>
              <w:t>20</w:t>
            </w:r>
          </w:p>
        </w:tc>
        <w:tc>
          <w:tcPr>
            <w:tcW w:w="574" w:type="pct"/>
            <w:vAlign w:val="center"/>
          </w:tcPr>
          <w:p>
            <w:pPr>
              <w:pStyle w:val="21"/>
              <w:keepNext w:val="0"/>
              <w:keepLines w:val="0"/>
              <w:pageBreakBefore w:val="0"/>
              <w:kinsoku/>
              <w:wordWrap/>
              <w:overflowPunct/>
              <w:topLinePunct w:val="0"/>
              <w:autoSpaceDE/>
              <w:autoSpaceDN/>
              <w:bidi w:val="0"/>
              <w:spacing w:line="570" w:lineRule="exact"/>
              <w:textAlignment w:val="auto"/>
            </w:pPr>
            <w:r>
              <w:t>2210201</w:t>
            </w:r>
          </w:p>
        </w:tc>
        <w:tc>
          <w:tcPr>
            <w:tcW w:w="1906" w:type="pct"/>
            <w:vAlign w:val="center"/>
          </w:tcPr>
          <w:p>
            <w:pPr>
              <w:pStyle w:val="21"/>
              <w:keepNext w:val="0"/>
              <w:keepLines w:val="0"/>
              <w:pageBreakBefore w:val="0"/>
              <w:kinsoku/>
              <w:wordWrap/>
              <w:overflowPunct/>
              <w:topLinePunct w:val="0"/>
              <w:autoSpaceDE/>
              <w:autoSpaceDN/>
              <w:bidi w:val="0"/>
              <w:spacing w:line="570" w:lineRule="exact"/>
              <w:textAlignment w:val="auto"/>
            </w:pPr>
            <w:r>
              <w:t>住房公积金</w:t>
            </w:r>
          </w:p>
        </w:tc>
        <w:tc>
          <w:tcPr>
            <w:tcW w:w="1054"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5" w:name="_Toc_2_2_0000000006"/>
      <w:r>
        <w:rPr>
          <w:rFonts w:hint="eastAsia" w:ascii="方正小标宋简体" w:hAnsi="方正小标宋简体" w:eastAsia="方正小标宋简体" w:cs="方正小标宋简体"/>
          <w:color w:val="000000"/>
          <w:sz w:val="44"/>
          <w:szCs w:val="44"/>
        </w:rPr>
        <w:t>部门预算一般公共预算财政拨款基本支出表</w:t>
      </w:r>
      <w:bookmarkEnd w:id="5"/>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833" w:type="pct"/>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1666"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支出部门经济分类科目</w:t>
            </w:r>
          </w:p>
        </w:tc>
        <w:tc>
          <w:tcPr>
            <w:tcW w:w="2499" w:type="pct"/>
            <w:gridSpan w:val="3"/>
            <w:vAlign w:val="center"/>
          </w:tcPr>
          <w:p>
            <w:pPr>
              <w:pStyle w:val="19"/>
              <w:keepNext w:val="0"/>
              <w:keepLines w:val="0"/>
              <w:pageBreakBefore w:val="0"/>
              <w:kinsoku/>
              <w:wordWrap/>
              <w:overflowPunct/>
              <w:topLinePunct w:val="0"/>
              <w:autoSpaceDE/>
              <w:autoSpaceDN/>
              <w:bidi w:val="0"/>
              <w:spacing w:line="570" w:lineRule="exact"/>
              <w:textAlignment w:val="auto"/>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科目编码</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科目名称</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人员经费</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833" w:type="pct"/>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w:t>
            </w:r>
          </w:p>
        </w:tc>
        <w:tc>
          <w:tcPr>
            <w:tcW w:w="833" w:type="pct"/>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3"/>
              <w:keepNext w:val="0"/>
              <w:keepLines w:val="0"/>
              <w:pageBreakBefore w:val="0"/>
              <w:kinsoku/>
              <w:wordWrap/>
              <w:overflowPunct/>
              <w:topLinePunct w:val="0"/>
              <w:autoSpaceDE/>
              <w:autoSpaceDN/>
              <w:bidi w:val="0"/>
              <w:spacing w:line="570" w:lineRule="exact"/>
              <w:textAlignment w:val="auto"/>
            </w:pPr>
            <w:r>
              <w:t>合计</w:t>
            </w:r>
          </w:p>
        </w:tc>
        <w:tc>
          <w:tcPr>
            <w:tcW w:w="833" w:type="pct"/>
            <w:vAlign w:val="center"/>
          </w:tcPr>
          <w:p>
            <w:pPr>
              <w:pStyle w:val="24"/>
              <w:keepNext w:val="0"/>
              <w:keepLines w:val="0"/>
              <w:pageBreakBefore w:val="0"/>
              <w:kinsoku/>
              <w:wordWrap/>
              <w:overflowPunct/>
              <w:topLinePunct w:val="0"/>
              <w:autoSpaceDE/>
              <w:autoSpaceDN/>
              <w:bidi w:val="0"/>
              <w:spacing w:line="570" w:lineRule="exact"/>
              <w:textAlignment w:val="auto"/>
            </w:pPr>
            <w:r>
              <w:t>877.84</w:t>
            </w:r>
          </w:p>
        </w:tc>
        <w:tc>
          <w:tcPr>
            <w:tcW w:w="833" w:type="pct"/>
            <w:vAlign w:val="center"/>
          </w:tcPr>
          <w:p>
            <w:pPr>
              <w:pStyle w:val="24"/>
              <w:keepNext w:val="0"/>
              <w:keepLines w:val="0"/>
              <w:pageBreakBefore w:val="0"/>
              <w:kinsoku/>
              <w:wordWrap/>
              <w:overflowPunct/>
              <w:topLinePunct w:val="0"/>
              <w:autoSpaceDE/>
              <w:autoSpaceDN/>
              <w:bidi w:val="0"/>
              <w:spacing w:line="570" w:lineRule="exact"/>
              <w:textAlignment w:val="auto"/>
            </w:pPr>
            <w:r>
              <w:t>788.33</w:t>
            </w:r>
          </w:p>
        </w:tc>
        <w:tc>
          <w:tcPr>
            <w:tcW w:w="833" w:type="pct"/>
            <w:vAlign w:val="center"/>
          </w:tcPr>
          <w:p>
            <w:pPr>
              <w:pStyle w:val="24"/>
              <w:keepNext w:val="0"/>
              <w:keepLines w:val="0"/>
              <w:pageBreakBefore w:val="0"/>
              <w:kinsoku/>
              <w:wordWrap/>
              <w:overflowPunct/>
              <w:topLinePunct w:val="0"/>
              <w:autoSpaceDE/>
              <w:autoSpaceDN/>
              <w:bidi w:val="0"/>
              <w:spacing w:line="570" w:lineRule="exact"/>
              <w:textAlignment w:val="auto"/>
            </w:pPr>
            <w:r>
              <w:t>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工资福利支出</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720.90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720.90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30101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基本工资</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195.91</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195.91</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30102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津贴补贴</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187.22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187.22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5</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30103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奖金</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65.04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65.04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6</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30107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绩效工资</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64.21</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64.21</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30108</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机关事业单位基本养老保险缴费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62.45</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62.45</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8</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30109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职业年金缴费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31.07</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30110</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职工基本医疗保险缴费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24.99</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24.99</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10</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30111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公务员医疗补助缴费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26.37</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26.37</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30112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其他社会保障缴费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4.95</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4.95</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30113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住房公积金</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58.69</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商品和服务支出</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89.51</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14</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30201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办公费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9.60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15</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30206</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电费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2.40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16</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30207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邮电费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0.96</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30208</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取暖费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15.00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18</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30211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差旅费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1.92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19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30213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维修(护)费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0.96</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20</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30215</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会议费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0.22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30216</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培训费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0.22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30217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公务接待费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0.83</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30228</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工会经费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4.66</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24</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30229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福利费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4.90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25</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30231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公务用车运行维护费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19.20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26</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30239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其他交通费用</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22.80</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30299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其他商品和服务支出</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5.84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28</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对个人和家庭的补助</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67.43</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67.43</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29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30301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离休费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1.18</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1.18</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30</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30302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退休费</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50.34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50.34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31</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30304</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抚恤金</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0.92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0.92</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32</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30307</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医疗费补助</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14.94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14.94</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2"/>
              <w:keepNext w:val="0"/>
              <w:keepLines w:val="0"/>
              <w:pageBreakBefore w:val="0"/>
              <w:kinsoku/>
              <w:wordWrap/>
              <w:overflowPunct/>
              <w:topLinePunct w:val="0"/>
              <w:autoSpaceDE/>
              <w:autoSpaceDN/>
              <w:bidi w:val="0"/>
              <w:spacing w:line="570" w:lineRule="exact"/>
              <w:textAlignment w:val="auto"/>
            </w:pPr>
            <w:r>
              <w:t>33</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30309</w:t>
            </w:r>
          </w:p>
        </w:tc>
        <w:tc>
          <w:tcPr>
            <w:tcW w:w="833" w:type="pct"/>
            <w:vAlign w:val="center"/>
          </w:tcPr>
          <w:p>
            <w:pPr>
              <w:pStyle w:val="21"/>
              <w:keepNext w:val="0"/>
              <w:keepLines w:val="0"/>
              <w:pageBreakBefore w:val="0"/>
              <w:kinsoku/>
              <w:wordWrap/>
              <w:overflowPunct/>
              <w:topLinePunct w:val="0"/>
              <w:autoSpaceDE/>
              <w:autoSpaceDN/>
              <w:bidi w:val="0"/>
              <w:spacing w:line="570" w:lineRule="exact"/>
              <w:textAlignment w:val="auto"/>
            </w:pPr>
            <w:r>
              <w:t>奖励金</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0.05</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r>
              <w:t>0.05</w:t>
            </w:r>
          </w:p>
        </w:tc>
        <w:tc>
          <w:tcPr>
            <w:tcW w:w="833" w:type="pct"/>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6" w:name="_Toc_2_2_0000000007"/>
      <w:r>
        <w:rPr>
          <w:rFonts w:hint="eastAsia" w:ascii="方正小标宋简体" w:hAnsi="方正小标宋简体" w:eastAsia="方正小标宋简体" w:cs="方正小标宋简体"/>
          <w:color w:val="000000"/>
          <w:sz w:val="44"/>
          <w:szCs w:val="44"/>
        </w:rPr>
        <w:t>部门预算政府基金预算财政拨款支出表</w:t>
      </w:r>
      <w:bookmarkEnd w:id="6"/>
    </w:p>
    <w:tbl>
      <w:tblPr>
        <w:tblStyle w:val="11"/>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643" w:type="dxa"/>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3286" w:type="dxa"/>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功能分类科目</w:t>
            </w:r>
          </w:p>
        </w:tc>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基本支出</w:t>
            </w:r>
          </w:p>
        </w:tc>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科目编码</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科目名称</w:t>
            </w: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2"/>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7" w:name="_Toc_2_2_0000000008"/>
      <w:r>
        <w:rPr>
          <w:rFonts w:hint="eastAsia" w:ascii="方正小标宋简体" w:hAnsi="方正小标宋简体" w:eastAsia="方正小标宋简体" w:cs="方正小标宋简体"/>
          <w:color w:val="000000"/>
          <w:sz w:val="44"/>
          <w:szCs w:val="44"/>
        </w:rPr>
        <w:t>部门预算国有资本经营预算财政拨款支出表</w:t>
      </w:r>
      <w:bookmarkEnd w:id="7"/>
    </w:p>
    <w:tbl>
      <w:tblPr>
        <w:tblStyle w:val="11"/>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643" w:type="dxa"/>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3286" w:type="dxa"/>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功能分类科目</w:t>
            </w:r>
          </w:p>
        </w:tc>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基本支出</w:t>
            </w:r>
          </w:p>
        </w:tc>
        <w:tc>
          <w:tcPr>
            <w:tcW w:w="1643"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科目编码</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科目名称</w:t>
            </w: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1643" w:type="dxa"/>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2"/>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8" w:name="_Toc_2_2_0000000009"/>
      <w:r>
        <w:rPr>
          <w:rFonts w:hint="eastAsia" w:ascii="方正小标宋简体" w:hAnsi="方正小标宋简体" w:eastAsia="方正小标宋简体" w:cs="方正小标宋简体"/>
          <w:color w:val="000000"/>
          <w:sz w:val="44"/>
          <w:szCs w:val="44"/>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9"/>
        <w:gridCol w:w="3913"/>
        <w:gridCol w:w="760"/>
        <w:gridCol w:w="3100"/>
        <w:gridCol w:w="3124"/>
        <w:gridCol w:w="3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0" w:type="auto"/>
            <w:tcBorders>
              <w:top w:val="single" w:color="FFFFFF" w:sz="6" w:space="0"/>
              <w:left w:val="single" w:color="FFFFFF" w:sz="6" w:space="0"/>
              <w:right w:val="single" w:color="FFFFFF" w:sz="6" w:space="0"/>
            </w:tcBorders>
            <w:vAlign w:val="center"/>
          </w:tcPr>
          <w:p>
            <w:pPr>
              <w:pStyle w:val="17"/>
              <w:keepNext w:val="0"/>
              <w:keepLines w:val="0"/>
              <w:pageBreakBefore w:val="0"/>
              <w:kinsoku/>
              <w:wordWrap/>
              <w:overflowPunct/>
              <w:topLinePunct w:val="0"/>
              <w:autoSpaceDE/>
              <w:autoSpaceDN/>
              <w:bidi w:val="0"/>
              <w:spacing w:line="570" w:lineRule="exact"/>
              <w:textAlignment w:val="auto"/>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序号</w:t>
            </w:r>
          </w:p>
        </w:tc>
        <w:tc>
          <w:tcPr>
            <w:tcW w:w="0" w:type="auto"/>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项  目</w:t>
            </w:r>
          </w:p>
        </w:tc>
        <w:tc>
          <w:tcPr>
            <w:tcW w:w="0" w:type="auto"/>
            <w:gridSpan w:val="4"/>
            <w:vAlign w:val="center"/>
          </w:tcPr>
          <w:p>
            <w:pPr>
              <w:pStyle w:val="19"/>
              <w:keepNext w:val="0"/>
              <w:keepLines w:val="0"/>
              <w:pageBreakBefore w:val="0"/>
              <w:kinsoku/>
              <w:wordWrap/>
              <w:overflowPunct/>
              <w:topLinePunct w:val="0"/>
              <w:autoSpaceDE/>
              <w:autoSpaceDN/>
              <w:bidi w:val="0"/>
              <w:spacing w:line="570" w:lineRule="exact"/>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一般公共预算              财政拨款</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政府性基金                  预算拨款</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栏次</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1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23"/>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rPr>
                <w:rFonts w:hint="default" w:eastAsia="方正书宋_GBK"/>
                <w:highlight w:val="red"/>
                <w:lang w:val="en-US" w:eastAsia="zh-CN"/>
              </w:rPr>
            </w:pPr>
            <w:r>
              <w:rPr>
                <w:rFonts w:hint="eastAsia" w:ascii="方正书宋_GBK" w:hAnsi="方正书宋_GBK" w:eastAsia="方正书宋_GBK" w:cs="方正书宋_GBK"/>
                <w:b w:val="0"/>
                <w:sz w:val="21"/>
                <w:szCs w:val="24"/>
                <w:lang w:val="en-US" w:eastAsia="zh-CN" w:bidi="ar-SA"/>
              </w:rPr>
              <w:t>20.03</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rPr>
                <w:rFonts w:hint="default"/>
                <w:highlight w:val="red"/>
                <w:lang w:val="en-US"/>
              </w:rPr>
            </w:pPr>
            <w:r>
              <w:rPr>
                <w:rFonts w:hint="eastAsia" w:cs="方正书宋_GBK"/>
                <w:b w:val="0"/>
                <w:sz w:val="21"/>
                <w:szCs w:val="24"/>
                <w:lang w:val="en-US" w:eastAsia="zh-CN" w:bidi="ar-SA"/>
              </w:rPr>
              <w:t>20.03</w:t>
            </w: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“三公”经费小计</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20.03</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20.03</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一、因公出国（境）费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其中：教学科研人员因公出国（境）费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其他因公出国（境）费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二、公务用车购置及运维费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其中：公务用车购置费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8</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公务用车运行维护费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9</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三、公务接待费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0.83</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r>
              <w:t>0.83</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10</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四、会议费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22"/>
              <w:keepNext w:val="0"/>
              <w:keepLines w:val="0"/>
              <w:pageBreakBefore w:val="0"/>
              <w:kinsoku/>
              <w:wordWrap/>
              <w:overflowPunct/>
              <w:topLinePunct w:val="0"/>
              <w:autoSpaceDE/>
              <w:autoSpaceDN/>
              <w:bidi w:val="0"/>
              <w:spacing w:line="570" w:lineRule="exact"/>
              <w:textAlignment w:val="auto"/>
            </w:pPr>
            <w:r>
              <w:t>11</w:t>
            </w:r>
          </w:p>
        </w:tc>
        <w:tc>
          <w:tcPr>
            <w:tcW w:w="0" w:type="auto"/>
            <w:vAlign w:val="center"/>
          </w:tcPr>
          <w:p>
            <w:pPr>
              <w:pStyle w:val="21"/>
              <w:keepNext w:val="0"/>
              <w:keepLines w:val="0"/>
              <w:pageBreakBefore w:val="0"/>
              <w:kinsoku/>
              <w:wordWrap/>
              <w:overflowPunct/>
              <w:topLinePunct w:val="0"/>
              <w:autoSpaceDE/>
              <w:autoSpaceDN/>
              <w:bidi w:val="0"/>
              <w:spacing w:line="570" w:lineRule="exact"/>
              <w:textAlignment w:val="auto"/>
            </w:pPr>
            <w:r>
              <w:t>五、培训费</w:t>
            </w: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遵化市团瓢庄镇人民政府2023年部门预算信息公开情况说明</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遵化市团瓢庄镇人民政府2023年部门预算信息公开情况说明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预算法》、《地方预决算公开操作规程》和《关于进一步推进预算公开工作的实施意见》规定，现将遵化市团瓢庄镇人民政府2023年部门预算公开如下：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lang w:val="en-US" w:eastAsia="uk-UA"/>
        </w:rPr>
      </w:pPr>
      <w:r>
        <w:rPr>
          <w:rFonts w:hint="eastAsia" w:ascii="方正黑体简体" w:hAnsi="方正黑体简体" w:eastAsia="方正黑体简体" w:cs="方正黑体简体"/>
          <w:b w:val="0"/>
          <w:bCs/>
          <w:color w:val="000000"/>
          <w:sz w:val="32"/>
          <w:szCs w:val="32"/>
          <w:lang w:val="en-US" w:eastAsia="zh-CN"/>
        </w:rPr>
        <w:t>（一）部门</w:t>
      </w:r>
      <w:r>
        <w:rPr>
          <w:rFonts w:hint="eastAsia" w:ascii="方正黑体简体" w:hAnsi="方正黑体简体" w:eastAsia="方正黑体简体" w:cs="方正黑体简体"/>
          <w:b w:val="0"/>
          <w:bCs/>
          <w:color w:val="000000"/>
          <w:sz w:val="32"/>
          <w:szCs w:val="32"/>
          <w:lang w:val="en-US" w:eastAsia="uk-UA"/>
        </w:rPr>
        <w:t>职责：</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val="en-US" w:eastAsia="uk-UA"/>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val="en-US" w:eastAsia="uk-UA"/>
        </w:rPr>
        <w:t>讨论和决定本镇经济建设、政治建设、文化建设、社会建设、生态文明建设和党的建设以及镇村振兴中的重大问题。</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val="en-US" w:eastAsia="uk-UA"/>
        </w:rPr>
        <w:t>组织召开本级人民代表大会，充分行使重大事项决定权、监督权和任免权，做好人大代表工作，联系选民、反映群众意见和要求。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val="en-US" w:eastAsia="uk-UA"/>
        </w:rPr>
        <w:t>执行本行政区域内的经济和社会发展计划、预算，管理本行政区域内的经济、教育、科学、文化、卫生健康、体育事业和财政、统计、民政、司法行政等行政工作。落实本行政区域内发展规划、专项规划、区域规划、国</w:t>
      </w:r>
      <w:r>
        <w:rPr>
          <w:rFonts w:hint="eastAsia" w:ascii="方正仿宋简体" w:hAnsi="方正仿宋简体" w:eastAsia="方正仿宋简体" w:cs="方正仿宋简体"/>
          <w:color w:val="000000"/>
          <w:sz w:val="32"/>
          <w:szCs w:val="32"/>
          <w:lang w:val="en-US" w:eastAsia="zh-CN"/>
        </w:rPr>
        <w:t>土空间规划。</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7、按照干部管理权限，负责对干部的教育、培训、选拔、考核和监督工作。协助管理上级有关本级驻镇单位的干部。做好人才服务工作。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10、承办上级党委、人大、政府交办的其他事项。</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lang w:val="en-US" w:eastAsia="uk-UA"/>
        </w:rPr>
      </w:pPr>
      <w:r>
        <w:rPr>
          <w:rFonts w:hint="eastAsia" w:ascii="方正黑体简体" w:hAnsi="方正黑体简体" w:eastAsia="方正黑体简体" w:cs="方正黑体简体"/>
          <w:b w:val="0"/>
          <w:bCs/>
          <w:color w:val="000000"/>
          <w:sz w:val="32"/>
          <w:szCs w:val="32"/>
          <w:lang w:val="en-US" w:eastAsia="zh-CN"/>
        </w:rPr>
        <w:t>（二）</w:t>
      </w:r>
      <w:r>
        <w:rPr>
          <w:rFonts w:hint="eastAsia" w:ascii="方正黑体简体" w:hAnsi="方正黑体简体" w:eastAsia="方正黑体简体" w:cs="方正黑体简体"/>
          <w:b w:val="0"/>
          <w:bCs/>
          <w:color w:val="000000"/>
          <w:sz w:val="32"/>
          <w:szCs w:val="32"/>
          <w:lang w:val="en-US" w:eastAsia="uk-UA"/>
        </w:rPr>
        <w:t>机构设置：</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val="en-US" w:eastAsia="uk-UA"/>
        </w:rPr>
        <w:t>党政综合办公室（财政所）</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主要承担</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uk-UA"/>
        </w:rPr>
        <w:t>党建工作办公室（人大主席团办公室）</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党委议事规则，建立基层党组织向</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val="en-US" w:eastAsia="uk-UA"/>
        </w:rPr>
        <w:t>应急管理办公室（发展改革办公室）</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道、村道建设管理和</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val="en-US" w:eastAsia="uk-UA"/>
        </w:rPr>
        <w:t>自然资源和生态环境办公室</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指导下，负责辖区内的绿化工作；完成党委、政府交办的其他工作任务。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lang w:val="en-US" w:eastAsia="uk-UA"/>
        </w:rPr>
        <w:t>综合行政执法队（综合指挥和信息化网络中心、社会治理办公室）。</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根据法律法规和省政府授权，依法开展综合行政执法工作。协助有关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lang w:val="en-US" w:eastAsia="uk-UA"/>
        </w:rPr>
        <w:t>行政综合服务中心（文化综合服务站）。</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lang w:val="en-US" w:eastAsia="uk-UA"/>
        </w:rPr>
        <w:t>综合服务中心。</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负责实施农业发展规划、农业综合开发、农业产业化管理服务、农村集体资产产权制度改革、</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村振兴战略和美丽</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村建设以及生态旅游发展、休闲农业和</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做好辖区畜禽养殖污染防治工作；负责公共场所和</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lang w:val="en-US" w:eastAsia="uk-UA"/>
        </w:rPr>
        <w:t>退役军人服务站</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做好来信、来访工作；负责依照法定权限，做好本辖区拥军优属工作。完成党委、政府交办的其他工作任务。</w:t>
      </w:r>
    </w:p>
    <w:p>
      <w:pPr>
        <w:pStyle w:val="26"/>
        <w:keepNext w:val="0"/>
        <w:keepLines w:val="0"/>
        <w:pageBreakBefore w:val="0"/>
        <w:kinsoku/>
        <w:wordWrap/>
        <w:overflowPunct/>
        <w:topLinePunct w:val="0"/>
        <w:autoSpaceDE/>
        <w:autoSpaceDN/>
        <w:bidi w:val="0"/>
        <w:spacing w:line="570" w:lineRule="exact"/>
        <w:textAlignment w:val="auto"/>
        <w:rPr>
          <w:rFonts w:ascii="Times New Roman" w:hAnsi="Times New Roman" w:eastAsia="方正仿宋_GBK" w:cs="Times New Roman"/>
          <w:sz w:val="28"/>
          <w:szCs w:val="24"/>
          <w:lang w:val="en-US" w:eastAsia="uk-UA" w:bidi="ar-SA"/>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11"/>
        <w:tblW w:w="10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6" w:type="dxa"/>
            <w:vAlign w:val="center"/>
          </w:tcPr>
          <w:p>
            <w:pPr>
              <w:pStyle w:val="19"/>
              <w:keepNext w:val="0"/>
              <w:keepLines w:val="0"/>
              <w:pageBreakBefore w:val="0"/>
              <w:kinsoku/>
              <w:wordWrap/>
              <w:overflowPunct/>
              <w:topLinePunct w:val="0"/>
              <w:autoSpaceDE/>
              <w:autoSpaceDN/>
              <w:bidi w:val="0"/>
              <w:spacing w:line="570" w:lineRule="exact"/>
              <w:textAlignment w:val="auto"/>
            </w:pPr>
            <w:r>
              <w:t>单位名称</w:t>
            </w:r>
          </w:p>
        </w:tc>
        <w:tc>
          <w:tcPr>
            <w:tcW w:w="2464" w:type="dxa"/>
            <w:vAlign w:val="center"/>
          </w:tcPr>
          <w:p>
            <w:pPr>
              <w:pStyle w:val="19"/>
              <w:keepNext w:val="0"/>
              <w:keepLines w:val="0"/>
              <w:pageBreakBefore w:val="0"/>
              <w:kinsoku/>
              <w:wordWrap/>
              <w:overflowPunct/>
              <w:topLinePunct w:val="0"/>
              <w:autoSpaceDE/>
              <w:autoSpaceDN/>
              <w:bidi w:val="0"/>
              <w:spacing w:line="570" w:lineRule="exact"/>
              <w:textAlignment w:val="auto"/>
            </w:pPr>
            <w:r>
              <w:t>单位性质</w:t>
            </w:r>
          </w:p>
        </w:tc>
        <w:tc>
          <w:tcPr>
            <w:tcW w:w="2464" w:type="dxa"/>
            <w:vAlign w:val="center"/>
          </w:tcPr>
          <w:p>
            <w:pPr>
              <w:pStyle w:val="19"/>
              <w:keepNext w:val="0"/>
              <w:keepLines w:val="0"/>
              <w:pageBreakBefore w:val="0"/>
              <w:kinsoku/>
              <w:wordWrap/>
              <w:overflowPunct/>
              <w:topLinePunct w:val="0"/>
              <w:autoSpaceDE/>
              <w:autoSpaceDN/>
              <w:bidi w:val="0"/>
              <w:spacing w:line="570" w:lineRule="exact"/>
              <w:textAlignment w:val="auto"/>
            </w:pPr>
            <w:r>
              <w:t>单位规格</w:t>
            </w:r>
          </w:p>
        </w:tc>
        <w:tc>
          <w:tcPr>
            <w:tcW w:w="2464" w:type="dxa"/>
            <w:vAlign w:val="center"/>
          </w:tcPr>
          <w:p>
            <w:pPr>
              <w:pStyle w:val="19"/>
              <w:keepNext w:val="0"/>
              <w:keepLines w:val="0"/>
              <w:pageBreakBefore w:val="0"/>
              <w:kinsoku/>
              <w:wordWrap/>
              <w:overflowPunct/>
              <w:topLinePunct w:val="0"/>
              <w:autoSpaceDE/>
              <w:autoSpaceDN/>
              <w:bidi w:val="0"/>
              <w:spacing w:line="57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6" w:type="dxa"/>
            <w:vAlign w:val="center"/>
          </w:tcPr>
          <w:p>
            <w:pPr>
              <w:pStyle w:val="21"/>
              <w:keepNext w:val="0"/>
              <w:keepLines w:val="0"/>
              <w:pageBreakBefore w:val="0"/>
              <w:kinsoku/>
              <w:wordWrap/>
              <w:overflowPunct/>
              <w:topLinePunct w:val="0"/>
              <w:autoSpaceDE/>
              <w:autoSpaceDN/>
              <w:bidi w:val="0"/>
              <w:spacing w:line="570" w:lineRule="exact"/>
              <w:textAlignment w:val="auto"/>
            </w:pPr>
            <w:r>
              <w:t>遵化市团瓢庄镇人民政府</w:t>
            </w:r>
          </w:p>
        </w:tc>
        <w:tc>
          <w:tcPr>
            <w:tcW w:w="2464" w:type="dxa"/>
            <w:vAlign w:val="center"/>
          </w:tcPr>
          <w:p>
            <w:pPr>
              <w:pStyle w:val="22"/>
              <w:keepNext w:val="0"/>
              <w:keepLines w:val="0"/>
              <w:pageBreakBefore w:val="0"/>
              <w:kinsoku/>
              <w:wordWrap/>
              <w:overflowPunct/>
              <w:topLinePunct w:val="0"/>
              <w:autoSpaceDE/>
              <w:autoSpaceDN/>
              <w:bidi w:val="0"/>
              <w:spacing w:line="570" w:lineRule="exact"/>
              <w:textAlignment w:val="auto"/>
            </w:pPr>
            <w:r>
              <w:t>行政</w:t>
            </w:r>
          </w:p>
        </w:tc>
        <w:tc>
          <w:tcPr>
            <w:tcW w:w="2464" w:type="dxa"/>
            <w:vAlign w:val="center"/>
          </w:tcPr>
          <w:p>
            <w:pPr>
              <w:pStyle w:val="22"/>
              <w:keepNext w:val="0"/>
              <w:keepLines w:val="0"/>
              <w:pageBreakBefore w:val="0"/>
              <w:kinsoku/>
              <w:wordWrap/>
              <w:overflowPunct/>
              <w:topLinePunct w:val="0"/>
              <w:autoSpaceDE/>
              <w:autoSpaceDN/>
              <w:bidi w:val="0"/>
              <w:spacing w:line="570" w:lineRule="exact"/>
              <w:textAlignment w:val="auto"/>
            </w:pPr>
            <w:r>
              <w:t>正科级</w:t>
            </w:r>
          </w:p>
        </w:tc>
        <w:tc>
          <w:tcPr>
            <w:tcW w:w="2464" w:type="dxa"/>
            <w:vAlign w:val="center"/>
          </w:tcPr>
          <w:p>
            <w:pPr>
              <w:pStyle w:val="22"/>
              <w:keepNext w:val="0"/>
              <w:keepLines w:val="0"/>
              <w:pageBreakBefore w:val="0"/>
              <w:kinsoku/>
              <w:wordWrap/>
              <w:overflowPunct/>
              <w:topLinePunct w:val="0"/>
              <w:autoSpaceDE/>
              <w:autoSpaceDN/>
              <w:bidi w:val="0"/>
              <w:spacing w:line="570" w:lineRule="exact"/>
              <w:textAlignment w:val="auto"/>
            </w:pPr>
            <w: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按照预算管理有关规定，目前我市部门预算的编制实行综合预算制度，即全部收入和支出都反映在预算中。</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1、收入说明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反映本部门当年全部收入。2023年预算收入1067.09万元，其中：一般公共预算收入1067.09万元，基金预算收入0万元，财政专户核拨收入0万元，其他来源收入0万元。</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2、支出说明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收支预算总表支出栏、基本支出表、项目支出表按经济分类和支出功能分类科目编制，反映遵化市团瓢庄乡人民政府2023年度部门预算中支出预算的总体情况。2023年支出预算1067.09万元，其中基本支出877.84万元，包括人员经费788.33万  元和日常公用经费89.51万元；项目支出189.25万元，</w:t>
      </w:r>
      <w:r>
        <w:rPr>
          <w:rFonts w:hint="eastAsia" w:ascii="方正仿宋简体" w:hAnsi="方正仿宋简体" w:eastAsia="方正仿宋简体" w:cs="方正仿宋简体"/>
          <w:kern w:val="2"/>
          <w:sz w:val="32"/>
          <w:szCs w:val="32"/>
          <w:lang w:val="en-US" w:eastAsia="zh-CN"/>
        </w:rPr>
        <w:t>包括社会事务管理支出、乡镇服务群众经费、安可计算机购置三个项目所需经费。</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3、比上年增减情况</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 xml:space="preserve">2023年预算收支安排万1067.09元，较2022年预算882万元增加185.09万元，其中：基本支出增加135.84万元，主要为增加人员经费支出135.09万元（增加的主要原因为人员增加及补贴正常提标）；日常公用经费增加0.75万元（增加的主要原因为人员调入经费增加）。项目支出189.25万元，比上年度增加49.25万元（增加的主要原因为加大民生工程投入力度）。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2023年，我乡机关运行经费共计安排</w:t>
      </w:r>
      <w:r>
        <w:rPr>
          <w:rFonts w:hint="eastAsia" w:ascii="方正仿宋简体" w:hAnsi="方正仿宋简体" w:eastAsia="方正仿宋简体" w:cs="方正仿宋简体"/>
          <w:color w:val="000000"/>
          <w:sz w:val="32"/>
          <w:szCs w:val="32"/>
          <w:lang w:val="en-US" w:eastAsia="zh-CN"/>
        </w:rPr>
        <w:t>89.51</w:t>
      </w:r>
      <w:r>
        <w:rPr>
          <w:rFonts w:hint="eastAsia" w:ascii="方正仿宋简体" w:hAnsi="方正仿宋简体" w:eastAsia="方正仿宋简体" w:cs="方正仿宋简体"/>
          <w:color w:val="000000"/>
          <w:sz w:val="32"/>
          <w:szCs w:val="32"/>
          <w:lang w:val="en-US" w:eastAsia="uk-UA"/>
        </w:rPr>
        <w:t xml:space="preserve">万元，主要用于：2023年机关办公费、电费、邮电费、取暖费、差旅费、维修(护)费、会议费、培训费、公务用车运行维护费、公务接待费、退休干部公用经费、公务补贴费用、其他业务费、工会经费、福利费等支出。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2023年我乡“三公”经费预算安排20.</w:t>
      </w:r>
      <w:r>
        <w:rPr>
          <w:rFonts w:hint="eastAsia" w:ascii="方正仿宋简体" w:hAnsi="方正仿宋简体" w:eastAsia="方正仿宋简体" w:cs="方正仿宋简体"/>
          <w:color w:val="000000"/>
          <w:sz w:val="32"/>
          <w:szCs w:val="32"/>
          <w:lang w:val="en-US" w:eastAsia="zh-CN"/>
        </w:rPr>
        <w:t>03</w:t>
      </w:r>
      <w:r>
        <w:rPr>
          <w:rFonts w:hint="eastAsia" w:ascii="方正仿宋简体" w:hAnsi="方正仿宋简体" w:eastAsia="方正仿宋简体" w:cs="方正仿宋简体"/>
          <w:color w:val="000000"/>
          <w:sz w:val="32"/>
          <w:szCs w:val="32"/>
          <w:lang w:val="en-US" w:eastAsia="uk-UA"/>
        </w:rPr>
        <w:t xml:space="preserve">万元，与2022年预算持平。具体安排情况为： </w:t>
      </w:r>
    </w:p>
    <w:p>
      <w:pPr>
        <w:pStyle w:val="29"/>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楷体简体" w:hAnsi="方正楷体简体" w:eastAsia="方正楷体简体" w:cs="方正楷体简体"/>
          <w:sz w:val="32"/>
          <w:szCs w:val="32"/>
        </w:rPr>
        <w:t>（一）公务用车购置及运行费。</w:t>
      </w:r>
      <w:r>
        <w:rPr>
          <w:rFonts w:hint="eastAsia" w:ascii="方正仿宋简体" w:hAnsi="方正仿宋简体" w:eastAsia="方正仿宋简体" w:cs="方正仿宋简体"/>
          <w:color w:val="000000"/>
          <w:sz w:val="32"/>
          <w:szCs w:val="32"/>
          <w:lang w:val="en-US" w:eastAsia="uk-UA" w:bidi="ar-SA"/>
        </w:rPr>
        <w:t>2023年预算安排19.2万元，与2022年持平，其中①公务用车购置安排0万元，与2022年持平，无增减变化。②公车运行维护经费安排19.2万元，与2022年19.2万元持平，无增减变化</w:t>
      </w:r>
      <w:r>
        <w:rPr>
          <w:rFonts w:hint="eastAsia" w:ascii="方正仿宋简体" w:hAnsi="方正仿宋简体" w:eastAsia="方正仿宋简体" w:cs="方正仿宋简体"/>
          <w:color w:val="000000"/>
          <w:sz w:val="32"/>
          <w:szCs w:val="32"/>
          <w:lang w:val="en-US" w:eastAsia="zh-CN" w:bidi="ar-SA"/>
        </w:rPr>
        <w:t>，车辆运行维护费严格按照统一定额标准，公车数量未发生增减，车辆运行维护费无变化</w:t>
      </w:r>
      <w:r>
        <w:rPr>
          <w:rFonts w:hint="eastAsia" w:ascii="方正仿宋简体" w:hAnsi="方正仿宋简体" w:eastAsia="方正仿宋简体" w:cs="方正仿宋简体"/>
          <w:color w:val="000000"/>
          <w:sz w:val="32"/>
          <w:szCs w:val="32"/>
          <w:lang w:val="en-US" w:eastAsia="uk-UA" w:bidi="ar-SA"/>
        </w:rPr>
        <w:t>。</w:t>
      </w:r>
    </w:p>
    <w:p>
      <w:pPr>
        <w:pStyle w:val="29"/>
        <w:keepNext w:val="0"/>
        <w:keepLines w:val="0"/>
        <w:pageBreakBefore w:val="0"/>
        <w:kinsoku/>
        <w:wordWrap/>
        <w:overflowPunct/>
        <w:topLinePunct w:val="0"/>
        <w:autoSpaceDE/>
        <w:autoSpaceDN/>
        <w:bidi w:val="0"/>
        <w:spacing w:line="570" w:lineRule="exact"/>
        <w:textAlignment w:val="auto"/>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color w:val="000000"/>
          <w:sz w:val="32"/>
          <w:szCs w:val="32"/>
          <w:lang w:val="en-US" w:eastAsia="uk-UA" w:bidi="ar-SA"/>
        </w:rPr>
        <w:t>2023年预算安排0.83万元，与2022年0.83万元持平，按照统一定额标准计算，无增</w:t>
      </w:r>
      <w:r>
        <w:rPr>
          <w:rFonts w:hint="eastAsia" w:ascii="方正仿宋简体" w:hAnsi="方正仿宋简体" w:eastAsia="方正仿宋简体" w:cs="方正仿宋简体"/>
          <w:color w:val="000000"/>
          <w:sz w:val="32"/>
          <w:szCs w:val="32"/>
          <w:lang w:val="en-US" w:eastAsia="zh-CN" w:bidi="ar-SA"/>
        </w:rPr>
        <w:t>减</w:t>
      </w:r>
      <w:r>
        <w:rPr>
          <w:rFonts w:hint="eastAsia" w:ascii="方正仿宋简体" w:hAnsi="方正仿宋简体" w:eastAsia="方正仿宋简体" w:cs="方正仿宋简体"/>
          <w:color w:val="000000"/>
          <w:sz w:val="32"/>
          <w:szCs w:val="32"/>
          <w:lang w:val="en-US" w:eastAsia="uk-UA" w:bidi="ar-SA"/>
        </w:rPr>
        <w:t xml:space="preserve">变化 </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 xml:space="preserve"> </w:t>
      </w:r>
      <w:r>
        <w:t xml:space="preserve"> </w:t>
      </w:r>
    </w:p>
    <w:p>
      <w:pPr>
        <w:pStyle w:val="29"/>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color w:val="000000"/>
          <w:sz w:val="32"/>
          <w:szCs w:val="32"/>
          <w:lang w:val="en-US" w:eastAsia="uk-UA" w:bidi="ar-SA"/>
        </w:rPr>
        <w:t>安排0万元，与2022年持平，无增减变化</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 xml:space="preserve">没有因公出国安排，所以未安排因公出国费。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第一部分 部门整体绩效目标</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（一）总体绩效目标</w:t>
      </w:r>
    </w:p>
    <w:p>
      <w:pPr>
        <w:pStyle w:val="30"/>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30"/>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30"/>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三）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30"/>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四）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pStyle w:val="30"/>
        <w:keepNext w:val="0"/>
        <w:keepLines w:val="0"/>
        <w:pageBreakBefore w:val="0"/>
        <w:kinsoku/>
        <w:wordWrap/>
        <w:overflowPunct/>
        <w:topLinePunct w:val="0"/>
        <w:autoSpaceDE/>
        <w:autoSpaceDN/>
        <w:bidi w:val="0"/>
        <w:spacing w:line="570" w:lineRule="exact"/>
        <w:textAlignment w:val="auto"/>
      </w:pPr>
      <w:r>
        <w:t> </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（二）分项绩效目标</w:t>
      </w:r>
    </w:p>
    <w:p>
      <w:pPr>
        <w:pStyle w:val="30"/>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完成乡镇服务群众专项经费（团瓢庄乡）项目，主要用于乡镇服务群众工作。</w:t>
      </w:r>
    </w:p>
    <w:p>
      <w:pPr>
        <w:pStyle w:val="30"/>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绩效目标：保障我乡主干道等区域配齐环卫设施，推进户分类、组收集、村运转、乡镇处理垃圾集中收集，改善全乡28个村生态环境。</w:t>
      </w:r>
    </w:p>
    <w:p>
      <w:pPr>
        <w:pStyle w:val="30"/>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绩效指标：生活垃圾无害化处理及受益群众满意度的提升率≥95%。</w:t>
      </w:r>
    </w:p>
    <w:p>
      <w:pPr>
        <w:pStyle w:val="31"/>
        <w:keepNext w:val="0"/>
        <w:keepLines w:val="0"/>
        <w:pageBreakBefore w:val="0"/>
        <w:kinsoku/>
        <w:wordWrap/>
        <w:overflowPunct/>
        <w:topLinePunct w:val="0"/>
        <w:autoSpaceDE/>
        <w:autoSpaceDN/>
        <w:bidi w:val="0"/>
        <w:spacing w:line="570" w:lineRule="exact"/>
        <w:textAlignment w:val="auto"/>
      </w:pP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（三）工作保障措施</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w:t>
      </w:r>
      <w:r>
        <w:rPr>
          <w:rFonts w:hint="eastAsia" w:ascii="方正仿宋简体" w:hAnsi="方正仿宋简体" w:eastAsia="方正仿宋简体" w:cs="方正仿宋简体"/>
          <w:color w:val="000000"/>
          <w:sz w:val="32"/>
          <w:szCs w:val="32"/>
          <w:lang w:val="en-US" w:eastAsia="uk-UA" w:bidi="ar-SA"/>
        </w:rPr>
        <w:t>完善制度建设。制定完善预算绩效管理制度、资金管理办法、工作保障制度等，为全年预算绩效目标的实现奠定制度基础。</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2、</w:t>
      </w:r>
      <w:r>
        <w:rPr>
          <w:rFonts w:hint="eastAsia" w:ascii="方正仿宋简体" w:hAnsi="方正仿宋简体" w:eastAsia="方正仿宋简体" w:cs="方正仿宋简体"/>
          <w:color w:val="000000"/>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（三）加强绩效运行监控。按要求开展绩效运行监控，发现问题及时采取措施，确保绩效目标如期保质实现。</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（四）做好绩效自评。按要求开展上年度部门预算绩效自评和重点评价工作，对评价中发现的问题及时整改，调整优化支出结构，提高财政资金使用效益。</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（五）规范财务资产管理。完善财务管理制度，严格审批程序，加强固定资产登记、使用和报废处置管理，做到支出合理，物尽其用。</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（六）加强内部监督。加强内部监督制度建设，对绩效运行情况、重大支出决策、对外投资、资产处置及其他重要经济业务事项的决策和执行进行督导，对会计资料进行内部审计，并配合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（七）加强宣传培训调研等。加强人员培训，提高本部门职工业务素质；加强调研，提出优化财政资金配置、提高资金使用效益的</w:t>
      </w:r>
      <w:bookmarkStart w:id="21" w:name="_GoBack"/>
      <w:bookmarkEnd w:id="21"/>
      <w:r>
        <w:rPr>
          <w:rFonts w:hint="eastAsia" w:ascii="方正仿宋简体" w:hAnsi="方正仿宋简体" w:eastAsia="方正仿宋简体" w:cs="方正仿宋简体"/>
          <w:color w:val="000000"/>
          <w:sz w:val="32"/>
          <w:szCs w:val="32"/>
          <w:lang w:val="en-US" w:eastAsia="uk-UA" w:bidi="ar-SA"/>
        </w:rPr>
        <w:t>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rPr>
          <w:rFonts w:ascii="方正楷体_GBK" w:hAnsi="方正楷体_GBK" w:eastAsia="方正楷体_GBK" w:cs="方正楷体_GBK"/>
          <w:b/>
          <w:color w:val="000000"/>
          <w:sz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第三部分</w:t>
      </w:r>
      <w:r>
        <w:rPr>
          <w:rFonts w:hint="eastAsia" w:ascii="方正仿宋简体" w:hAnsi="方正仿宋简体" w:eastAsia="方正仿宋简体" w:cs="方正仿宋简体"/>
          <w:kern w:val="2"/>
          <w:sz w:val="32"/>
          <w:szCs w:val="32"/>
          <w:lang w:val="en-US" w:eastAsia="uk-UA"/>
        </w:rPr>
        <w:t xml:space="preserve"> 预算项目绩效目标</w:t>
      </w:r>
    </w:p>
    <w:p>
      <w:pPr>
        <w:keepNext w:val="0"/>
        <w:keepLines w:val="0"/>
        <w:pageBreakBefore w:val="0"/>
        <w:kinsoku/>
        <w:wordWrap/>
        <w:overflowPunct/>
        <w:topLinePunct w:val="0"/>
        <w:autoSpaceDE/>
        <w:autoSpaceDN/>
        <w:bidi w:val="0"/>
        <w:spacing w:before="0" w:after="0" w:line="570" w:lineRule="exact"/>
        <w:ind w:firstLine="1960" w:firstLineChars="700"/>
        <w:jc w:val="left"/>
        <w:textAlignment w:val="auto"/>
        <w:outlineLvl w:val="3"/>
        <w:rPr>
          <w:rFonts w:ascii="方正仿宋_GBK" w:hAnsi="方正仿宋_GBK" w:eastAsia="方正仿宋_GBK" w:cs="方正仿宋_GBK"/>
          <w:color w:val="000000"/>
          <w:sz w:val="28"/>
        </w:rPr>
      </w:pPr>
      <w:bookmarkStart w:id="14" w:name="_Toc_4_4_0000000004"/>
    </w:p>
    <w:p>
      <w:pPr>
        <w:keepNext w:val="0"/>
        <w:keepLines w:val="0"/>
        <w:pageBreakBefore w:val="0"/>
        <w:kinsoku/>
        <w:wordWrap/>
        <w:overflowPunct/>
        <w:topLinePunct w:val="0"/>
        <w:autoSpaceDE/>
        <w:autoSpaceDN/>
        <w:bidi w:val="0"/>
        <w:spacing w:before="0" w:after="0" w:line="570" w:lineRule="exact"/>
        <w:ind w:firstLine="1960" w:firstLineChars="700"/>
        <w:jc w:val="left"/>
        <w:textAlignment w:val="auto"/>
        <w:outlineLvl w:val="3"/>
        <w:rPr>
          <w:rFonts w:ascii="方正仿宋_GBK" w:hAnsi="方正仿宋_GBK" w:eastAsia="方正仿宋_GBK" w:cs="方正仿宋_GBK"/>
          <w:color w:val="000000"/>
          <w:sz w:val="28"/>
        </w:rPr>
      </w:pPr>
    </w:p>
    <w:p>
      <w:pPr>
        <w:keepNext w:val="0"/>
        <w:keepLines w:val="0"/>
        <w:pageBreakBefore w:val="0"/>
        <w:kinsoku/>
        <w:wordWrap/>
        <w:overflowPunct/>
        <w:topLinePunct w:val="0"/>
        <w:autoSpaceDE/>
        <w:autoSpaceDN/>
        <w:bidi w:val="0"/>
        <w:spacing w:before="0" w:after="0" w:line="570" w:lineRule="exact"/>
        <w:ind w:firstLine="1960" w:firstLineChars="700"/>
        <w:jc w:val="left"/>
        <w:textAlignment w:val="auto"/>
        <w:outlineLvl w:val="3"/>
        <w:rPr>
          <w:rFonts w:ascii="方正仿宋_GBK" w:hAnsi="方正仿宋_GBK" w:eastAsia="方正仿宋_GBK" w:cs="方正仿宋_GBK"/>
          <w:color w:val="000000"/>
          <w:sz w:val="28"/>
        </w:rPr>
      </w:pPr>
    </w:p>
    <w:p>
      <w:pPr>
        <w:keepNext w:val="0"/>
        <w:keepLines w:val="0"/>
        <w:pageBreakBefore w:val="0"/>
        <w:kinsoku/>
        <w:wordWrap/>
        <w:overflowPunct/>
        <w:topLinePunct w:val="0"/>
        <w:autoSpaceDE/>
        <w:autoSpaceDN/>
        <w:bidi w:val="0"/>
        <w:spacing w:before="0" w:after="0" w:line="570" w:lineRule="exact"/>
        <w:ind w:firstLine="1960" w:firstLineChars="700"/>
        <w:jc w:val="left"/>
        <w:textAlignment w:val="auto"/>
        <w:outlineLvl w:val="3"/>
      </w:pPr>
      <w:r>
        <w:rPr>
          <w:rFonts w:ascii="方正仿宋_GBK" w:hAnsi="方正仿宋_GBK" w:eastAsia="方正仿宋_GBK" w:cs="方正仿宋_GBK"/>
          <w:color w:val="000000"/>
          <w:sz w:val="28"/>
        </w:rPr>
        <w:t>1.安可计算机购置绩效目标表</w:t>
      </w:r>
      <w:bookmarkEnd w:id="14"/>
    </w:p>
    <w:tbl>
      <w:tblPr>
        <w:tblStyle w:val="11"/>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5"/>
              <w:keepNext w:val="0"/>
              <w:keepLines w:val="0"/>
              <w:pageBreakBefore w:val="0"/>
              <w:kinsoku/>
              <w:wordWrap/>
              <w:overflowPunct/>
              <w:topLinePunct w:val="0"/>
              <w:autoSpaceDE/>
              <w:autoSpaceDN/>
              <w:bidi w:val="0"/>
              <w:spacing w:line="570" w:lineRule="exact"/>
              <w:textAlignment w:val="auto"/>
            </w:pPr>
            <w:r>
              <w:t>643001遵化市团瓢庄镇人民政府本级</w:t>
            </w:r>
          </w:p>
        </w:tc>
        <w:tc>
          <w:tcPr>
            <w:tcW w:w="714" w:type="pct"/>
            <w:tcBorders>
              <w:top w:val="single" w:color="FFFFFF" w:sz="6" w:space="0"/>
              <w:left w:val="single" w:color="FFFFFF" w:sz="6" w:space="0"/>
              <w:right w:val="single" w:color="FFFFFF" w:sz="6" w:space="0"/>
            </w:tcBorders>
            <w:vAlign w:val="center"/>
          </w:tcPr>
          <w:p>
            <w:pPr>
              <w:pStyle w:val="20"/>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项目编码</w:t>
            </w:r>
          </w:p>
        </w:tc>
        <w:tc>
          <w:tcPr>
            <w:tcW w:w="1428" w:type="pct"/>
            <w:gridSpan w:val="2"/>
            <w:vAlign w:val="center"/>
          </w:tcPr>
          <w:p>
            <w:pPr>
              <w:pStyle w:val="21"/>
              <w:keepNext w:val="0"/>
              <w:keepLines w:val="0"/>
              <w:pageBreakBefore w:val="0"/>
              <w:kinsoku/>
              <w:wordWrap/>
              <w:overflowPunct/>
              <w:topLinePunct w:val="0"/>
              <w:autoSpaceDE/>
              <w:autoSpaceDN/>
              <w:bidi w:val="0"/>
              <w:spacing w:line="570" w:lineRule="exact"/>
              <w:textAlignment w:val="auto"/>
            </w:pPr>
            <w:r>
              <w:t>13028123P00019410002C</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项目名称</w:t>
            </w:r>
          </w:p>
        </w:tc>
        <w:tc>
          <w:tcPr>
            <w:tcW w:w="2142" w:type="pct"/>
            <w:gridSpan w:val="3"/>
            <w:vAlign w:val="center"/>
          </w:tcPr>
          <w:p>
            <w:pPr>
              <w:pStyle w:val="21"/>
              <w:keepNext w:val="0"/>
              <w:keepLines w:val="0"/>
              <w:pageBreakBefore w:val="0"/>
              <w:kinsoku/>
              <w:wordWrap/>
              <w:overflowPunct/>
              <w:topLinePunct w:val="0"/>
              <w:autoSpaceDE/>
              <w:autoSpaceDN/>
              <w:bidi w:val="0"/>
              <w:spacing w:line="570" w:lineRule="exact"/>
              <w:textAlignment w:val="auto"/>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预算规模及资金用途</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预算数</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4.25</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其中：财政    资金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4.25</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其他资金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4285" w:type="pct"/>
            <w:gridSpan w:val="6"/>
            <w:vAlign w:val="center"/>
          </w:tcPr>
          <w:p>
            <w:pPr>
              <w:pStyle w:val="21"/>
              <w:keepNext w:val="0"/>
              <w:keepLines w:val="0"/>
              <w:pageBreakBefore w:val="0"/>
              <w:kinsoku/>
              <w:wordWrap/>
              <w:overflowPunct/>
              <w:topLinePunct w:val="0"/>
              <w:autoSpaceDE/>
              <w:autoSpaceDN/>
              <w:bidi w:val="0"/>
              <w:spacing w:line="570" w:lineRule="exact"/>
              <w:textAlignment w:val="auto"/>
            </w:pPr>
            <w:r>
              <w:t>预算数4.25万元。其中：财政资金4.25万元，其他资金0万元。主要用于：做好安可应用替代工作，加强安全保密管理，完成替代任务。</w:t>
            </w:r>
            <w:r>
              <w:tab/>
            </w:r>
            <w:r>
              <w:tab/>
            </w:r>
            <w:r>
              <w:tab/>
            </w:r>
            <w:r>
              <w:tab/>
            </w:r>
            <w:r>
              <w:tab/>
            </w:r>
            <w:r>
              <w:tab/>
            </w:r>
          </w:p>
          <w:p>
            <w:pPr>
              <w:pStyle w:val="21"/>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资金支出计划（%）</w:t>
            </w:r>
          </w:p>
        </w:tc>
        <w:tc>
          <w:tcPr>
            <w:tcW w:w="1428"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3月底</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6月底</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10月底</w:t>
            </w:r>
          </w:p>
        </w:tc>
        <w:tc>
          <w:tcPr>
            <w:tcW w:w="1428"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1428" w:type="pct"/>
            <w:gridSpan w:val="2"/>
            <w:vAlign w:val="center"/>
          </w:tcPr>
          <w:p>
            <w:pPr>
              <w:pStyle w:val="22"/>
              <w:keepNext w:val="0"/>
              <w:keepLines w:val="0"/>
              <w:pageBreakBefore w:val="0"/>
              <w:kinsoku/>
              <w:wordWrap/>
              <w:overflowPunct/>
              <w:topLinePunct w:val="0"/>
              <w:autoSpaceDE/>
              <w:autoSpaceDN/>
              <w:bidi w:val="0"/>
              <w:spacing w:line="570" w:lineRule="exact"/>
              <w:textAlignment w:val="auto"/>
            </w:pPr>
            <w:r>
              <w:t>25%</w:t>
            </w:r>
          </w:p>
        </w:tc>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50%</w:t>
            </w:r>
          </w:p>
        </w:tc>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75%</w:t>
            </w:r>
          </w:p>
        </w:tc>
        <w:tc>
          <w:tcPr>
            <w:tcW w:w="1428" w:type="pct"/>
            <w:gridSpan w:val="2"/>
            <w:vAlign w:val="center"/>
          </w:tcPr>
          <w:p>
            <w:pPr>
              <w:pStyle w:val="22"/>
              <w:keepNext w:val="0"/>
              <w:keepLines w:val="0"/>
              <w:pageBreakBefore w:val="0"/>
              <w:kinsoku/>
              <w:wordWrap/>
              <w:overflowPunct/>
              <w:topLinePunct w:val="0"/>
              <w:autoSpaceDE/>
              <w:autoSpaceDN/>
              <w:bidi w:val="0"/>
              <w:spacing w:line="570" w:lineRule="exact"/>
              <w:textAlignment w:val="auto"/>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绩效目标</w:t>
            </w:r>
          </w:p>
        </w:tc>
        <w:tc>
          <w:tcPr>
            <w:tcW w:w="4285" w:type="pct"/>
            <w:gridSpan w:val="6"/>
            <w:vAlign w:val="center"/>
          </w:tcPr>
          <w:p>
            <w:pPr>
              <w:pStyle w:val="21"/>
              <w:keepNext w:val="0"/>
              <w:keepLines w:val="0"/>
              <w:pageBreakBefore w:val="0"/>
              <w:kinsoku/>
              <w:wordWrap/>
              <w:overflowPunct/>
              <w:topLinePunct w:val="0"/>
              <w:autoSpaceDE/>
              <w:autoSpaceDN/>
              <w:bidi w:val="0"/>
              <w:spacing w:line="570" w:lineRule="exact"/>
              <w:textAlignment w:val="auto"/>
            </w:pPr>
            <w:r>
              <w:t>1.做好安可应用替代工作，加强安全保密管理，完成替代任务。</w:t>
            </w:r>
            <w:r>
              <w:tab/>
            </w:r>
            <w:r>
              <w:tab/>
            </w:r>
            <w:r>
              <w:tab/>
            </w:r>
            <w:r>
              <w:tab/>
            </w:r>
            <w:r>
              <w:tab/>
            </w:r>
            <w:r>
              <w:tab/>
            </w: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一级指标</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二级指标</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三级指标</w:t>
            </w:r>
          </w:p>
        </w:tc>
        <w:tc>
          <w:tcPr>
            <w:tcW w:w="1428" w:type="pct"/>
            <w:vAlign w:val="center"/>
          </w:tcPr>
          <w:p>
            <w:pPr>
              <w:pStyle w:val="19"/>
              <w:keepNext w:val="0"/>
              <w:keepLines w:val="0"/>
              <w:pageBreakBefore w:val="0"/>
              <w:kinsoku/>
              <w:wordWrap/>
              <w:overflowPunct/>
              <w:topLinePunct w:val="0"/>
              <w:autoSpaceDE/>
              <w:autoSpaceDN/>
              <w:bidi w:val="0"/>
              <w:spacing w:line="570" w:lineRule="exact"/>
              <w:textAlignment w:val="auto"/>
            </w:pPr>
            <w:r>
              <w:t>绩效指标描述</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指标值</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2"/>
              <w:keepNext w:val="0"/>
              <w:keepLines w:val="0"/>
              <w:pageBreakBefore w:val="0"/>
              <w:kinsoku/>
              <w:wordWrap/>
              <w:overflowPunct/>
              <w:topLinePunct w:val="0"/>
              <w:autoSpaceDE/>
              <w:autoSpaceDN/>
              <w:bidi w:val="0"/>
              <w:spacing w:line="570" w:lineRule="exact"/>
              <w:textAlignment w:val="auto"/>
            </w:pPr>
            <w:r>
              <w:t>产出指标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数量指标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购置数量</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安可计算机购置数量</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5台</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质量指标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产品质量</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购买计算机质量情况</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时效指标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任务完成及时率</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购置计算机任务完成及时率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成本指标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设备购置成本</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计算机设备购置成本</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2"/>
              <w:keepNext w:val="0"/>
              <w:keepLines w:val="0"/>
              <w:pageBreakBefore w:val="0"/>
              <w:kinsoku/>
              <w:wordWrap/>
              <w:overflowPunct/>
              <w:topLinePunct w:val="0"/>
              <w:autoSpaceDE/>
              <w:autoSpaceDN/>
              <w:bidi w:val="0"/>
              <w:spacing w:line="570" w:lineRule="exact"/>
              <w:textAlignment w:val="auto"/>
            </w:pPr>
            <w:r>
              <w:t>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经济效益指标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提高效率</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提高单位工作效率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社会效益指标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网络安全事件发生率</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降低网络安全事件发生率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生态效益指标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促进生态文明建设，推动绿色发展</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促进生态文明建设，推动绿色发展和绿色生活方式</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可持续影响指标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正常运转指标</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保障单位事务正常运转</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满意度指标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使办事群众服务对象满意度</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机密文件</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04" w:right="1984" w:bottom="1304" w:left="1134" w:header="720" w:footer="720" w:gutter="0"/>
          <w:cols w:space="720" w:num="1"/>
        </w:sect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仿宋_GBK" w:hAnsi="方正仿宋_GBK" w:eastAsia="方正仿宋_GBK" w:cs="方正仿宋_GBK"/>
          <w:color w:val="000000"/>
          <w:sz w:val="28"/>
        </w:rPr>
        <w:t xml:space="preserve"> </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3"/>
      </w:pPr>
      <w:bookmarkStart w:id="15" w:name="_Toc_4_4_0000000005"/>
      <w:r>
        <w:rPr>
          <w:rFonts w:ascii="方正仿宋_GBK" w:hAnsi="方正仿宋_GBK" w:eastAsia="方正仿宋_GBK" w:cs="方正仿宋_GBK"/>
          <w:color w:val="000000"/>
          <w:sz w:val="28"/>
        </w:rPr>
        <w:t>2.社会事务管理绩效目标表</w:t>
      </w:r>
      <w:bookmarkEnd w:id="15"/>
    </w:p>
    <w:tbl>
      <w:tblPr>
        <w:tblStyle w:val="11"/>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5"/>
              <w:keepNext w:val="0"/>
              <w:keepLines w:val="0"/>
              <w:pageBreakBefore w:val="0"/>
              <w:kinsoku/>
              <w:wordWrap/>
              <w:overflowPunct/>
              <w:topLinePunct w:val="0"/>
              <w:autoSpaceDE/>
              <w:autoSpaceDN/>
              <w:bidi w:val="0"/>
              <w:spacing w:line="570" w:lineRule="exact"/>
              <w:textAlignment w:val="auto"/>
            </w:pPr>
            <w:r>
              <w:t>643001遵化市团瓢庄镇人民政府本级</w:t>
            </w:r>
          </w:p>
        </w:tc>
        <w:tc>
          <w:tcPr>
            <w:tcW w:w="714" w:type="pct"/>
            <w:tcBorders>
              <w:top w:val="single" w:color="FFFFFF" w:sz="6" w:space="0"/>
              <w:left w:val="single" w:color="FFFFFF" w:sz="6" w:space="0"/>
              <w:right w:val="single" w:color="FFFFFF" w:sz="6" w:space="0"/>
            </w:tcBorders>
            <w:vAlign w:val="center"/>
          </w:tcPr>
          <w:p>
            <w:pPr>
              <w:pStyle w:val="20"/>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项目编码</w:t>
            </w:r>
          </w:p>
        </w:tc>
        <w:tc>
          <w:tcPr>
            <w:tcW w:w="1428" w:type="pct"/>
            <w:gridSpan w:val="2"/>
            <w:vAlign w:val="center"/>
          </w:tcPr>
          <w:p>
            <w:pPr>
              <w:pStyle w:val="21"/>
              <w:keepNext w:val="0"/>
              <w:keepLines w:val="0"/>
              <w:pageBreakBefore w:val="0"/>
              <w:kinsoku/>
              <w:wordWrap/>
              <w:overflowPunct/>
              <w:topLinePunct w:val="0"/>
              <w:autoSpaceDE/>
              <w:autoSpaceDN/>
              <w:bidi w:val="0"/>
              <w:spacing w:line="570" w:lineRule="exact"/>
              <w:textAlignment w:val="auto"/>
            </w:pPr>
            <w:r>
              <w:t>13028123P00005810004M</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项目名称</w:t>
            </w:r>
          </w:p>
        </w:tc>
        <w:tc>
          <w:tcPr>
            <w:tcW w:w="2142" w:type="pct"/>
            <w:gridSpan w:val="3"/>
            <w:vAlign w:val="center"/>
          </w:tcPr>
          <w:p>
            <w:pPr>
              <w:pStyle w:val="21"/>
              <w:keepNext w:val="0"/>
              <w:keepLines w:val="0"/>
              <w:pageBreakBefore w:val="0"/>
              <w:kinsoku/>
              <w:wordWrap/>
              <w:overflowPunct/>
              <w:topLinePunct w:val="0"/>
              <w:autoSpaceDE/>
              <w:autoSpaceDN/>
              <w:bidi w:val="0"/>
              <w:spacing w:line="570" w:lineRule="exact"/>
              <w:textAlignment w:val="auto"/>
            </w:pPr>
            <w: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预算规模及资金用途</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预算数</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45.00</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其中：财政    资金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45.00</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其他资金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4285" w:type="pct"/>
            <w:gridSpan w:val="6"/>
            <w:vAlign w:val="center"/>
          </w:tcPr>
          <w:p>
            <w:pPr>
              <w:pStyle w:val="21"/>
              <w:keepNext w:val="0"/>
              <w:keepLines w:val="0"/>
              <w:pageBreakBefore w:val="0"/>
              <w:kinsoku/>
              <w:wordWrap/>
              <w:overflowPunct/>
              <w:topLinePunct w:val="0"/>
              <w:autoSpaceDE/>
              <w:autoSpaceDN/>
              <w:bidi w:val="0"/>
              <w:spacing w:line="570" w:lineRule="exact"/>
              <w:textAlignment w:val="auto"/>
            </w:pPr>
            <w:r>
              <w:t>预算数45万元，其中：财政资金45万元，其他资金0万元。主要用于：保障我镇各项工作顺利开展，促进全镇经济稳定发展。</w:t>
            </w:r>
            <w:r>
              <w:tab/>
            </w:r>
            <w:r>
              <w:tab/>
            </w:r>
            <w:r>
              <w:tab/>
            </w:r>
            <w:r>
              <w:tab/>
            </w:r>
            <w:r>
              <w:tab/>
            </w:r>
            <w:r>
              <w:tab/>
            </w:r>
            <w:r>
              <w:tab/>
            </w:r>
          </w:p>
          <w:p>
            <w:pPr>
              <w:pStyle w:val="21"/>
              <w:keepNext w:val="0"/>
              <w:keepLines w:val="0"/>
              <w:pageBreakBefore w:val="0"/>
              <w:kinsoku/>
              <w:wordWrap/>
              <w:overflowPunct/>
              <w:topLinePunct w:val="0"/>
              <w:autoSpaceDE/>
              <w:autoSpaceDN/>
              <w:bidi w:val="0"/>
              <w:spacing w:line="570" w:lineRule="exact"/>
              <w:textAlignment w:val="auto"/>
            </w:pPr>
            <w:r>
              <w:tab/>
            </w:r>
            <w:r>
              <w:tab/>
            </w:r>
            <w:r>
              <w:tab/>
            </w:r>
            <w:r>
              <w:tab/>
            </w:r>
            <w:r>
              <w:tab/>
            </w:r>
            <w:r>
              <w:tab/>
            </w:r>
          </w:p>
          <w:p>
            <w:pPr>
              <w:pStyle w:val="21"/>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资金支出计划（%）</w:t>
            </w:r>
          </w:p>
        </w:tc>
        <w:tc>
          <w:tcPr>
            <w:tcW w:w="1428"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3月底</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6月底</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10月底</w:t>
            </w:r>
          </w:p>
        </w:tc>
        <w:tc>
          <w:tcPr>
            <w:tcW w:w="1428"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1428" w:type="pct"/>
            <w:gridSpan w:val="2"/>
            <w:vAlign w:val="center"/>
          </w:tcPr>
          <w:p>
            <w:pPr>
              <w:pStyle w:val="22"/>
              <w:keepNext w:val="0"/>
              <w:keepLines w:val="0"/>
              <w:pageBreakBefore w:val="0"/>
              <w:kinsoku/>
              <w:wordWrap/>
              <w:overflowPunct/>
              <w:topLinePunct w:val="0"/>
              <w:autoSpaceDE/>
              <w:autoSpaceDN/>
              <w:bidi w:val="0"/>
              <w:spacing w:line="570" w:lineRule="exact"/>
              <w:textAlignment w:val="auto"/>
            </w:pPr>
            <w:r>
              <w:t>25%</w:t>
            </w:r>
          </w:p>
        </w:tc>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50%</w:t>
            </w:r>
          </w:p>
        </w:tc>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75%</w:t>
            </w:r>
          </w:p>
        </w:tc>
        <w:tc>
          <w:tcPr>
            <w:tcW w:w="1428" w:type="pct"/>
            <w:gridSpan w:val="2"/>
            <w:vAlign w:val="center"/>
          </w:tcPr>
          <w:p>
            <w:pPr>
              <w:pStyle w:val="22"/>
              <w:keepNext w:val="0"/>
              <w:keepLines w:val="0"/>
              <w:pageBreakBefore w:val="0"/>
              <w:kinsoku/>
              <w:wordWrap/>
              <w:overflowPunct/>
              <w:topLinePunct w:val="0"/>
              <w:autoSpaceDE/>
              <w:autoSpaceDN/>
              <w:bidi w:val="0"/>
              <w:spacing w:line="570" w:lineRule="exact"/>
              <w:textAlignment w:val="auto"/>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绩效目标</w:t>
            </w:r>
          </w:p>
        </w:tc>
        <w:tc>
          <w:tcPr>
            <w:tcW w:w="4285" w:type="pct"/>
            <w:gridSpan w:val="6"/>
            <w:vAlign w:val="center"/>
          </w:tcPr>
          <w:p>
            <w:pPr>
              <w:pStyle w:val="21"/>
              <w:keepNext w:val="0"/>
              <w:keepLines w:val="0"/>
              <w:pageBreakBefore w:val="0"/>
              <w:kinsoku/>
              <w:wordWrap/>
              <w:overflowPunct/>
              <w:topLinePunct w:val="0"/>
              <w:autoSpaceDE/>
              <w:autoSpaceDN/>
              <w:bidi w:val="0"/>
              <w:spacing w:line="570" w:lineRule="exact"/>
              <w:textAlignment w:val="auto"/>
            </w:pPr>
            <w:r>
              <w:t>1.保障我镇各项工作顺利开展，促进全镇经济稳定发展。</w:t>
            </w:r>
            <w:r>
              <w:tab/>
            </w:r>
            <w:r>
              <w:tab/>
            </w:r>
            <w:r>
              <w:tab/>
            </w:r>
            <w:r>
              <w:tab/>
            </w:r>
            <w:r>
              <w:tab/>
            </w:r>
            <w:r>
              <w:tab/>
            </w:r>
          </w:p>
          <w:p>
            <w:pPr>
              <w:pStyle w:val="21"/>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一级指标</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二级指标</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三级指标</w:t>
            </w:r>
          </w:p>
        </w:tc>
        <w:tc>
          <w:tcPr>
            <w:tcW w:w="1428" w:type="pct"/>
            <w:vAlign w:val="center"/>
          </w:tcPr>
          <w:p>
            <w:pPr>
              <w:pStyle w:val="19"/>
              <w:keepNext w:val="0"/>
              <w:keepLines w:val="0"/>
              <w:pageBreakBefore w:val="0"/>
              <w:kinsoku/>
              <w:wordWrap/>
              <w:overflowPunct/>
              <w:topLinePunct w:val="0"/>
              <w:autoSpaceDE/>
              <w:autoSpaceDN/>
              <w:bidi w:val="0"/>
              <w:spacing w:line="570" w:lineRule="exact"/>
              <w:textAlignment w:val="auto"/>
            </w:pPr>
            <w:r>
              <w:t>绩效指标描述</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指标值</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2"/>
              <w:keepNext w:val="0"/>
              <w:keepLines w:val="0"/>
              <w:pageBreakBefore w:val="0"/>
              <w:kinsoku/>
              <w:wordWrap/>
              <w:overflowPunct/>
              <w:topLinePunct w:val="0"/>
              <w:autoSpaceDE/>
              <w:autoSpaceDN/>
              <w:bidi w:val="0"/>
              <w:spacing w:line="570" w:lineRule="exact"/>
              <w:textAlignment w:val="auto"/>
            </w:pPr>
            <w:r>
              <w:t>产出指标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数量指标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村人居环境整治个数</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辖区28个村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28个</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质量指标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提高环境卫生状况</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环境卫生质量得到提升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时效指标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设施正常使用率</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垃圾桶正常使用情况</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成本指标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资金成本</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资金成本利用率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≥98%</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2"/>
              <w:keepNext w:val="0"/>
              <w:keepLines w:val="0"/>
              <w:pageBreakBefore w:val="0"/>
              <w:kinsoku/>
              <w:wordWrap/>
              <w:overflowPunct/>
              <w:topLinePunct w:val="0"/>
              <w:autoSpaceDE/>
              <w:autoSpaceDN/>
              <w:bidi w:val="0"/>
              <w:spacing w:line="570" w:lineRule="exact"/>
              <w:textAlignment w:val="auto"/>
            </w:pPr>
            <w:r>
              <w:t>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经济效益指标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加强招商引资</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促进全镇快速发展经济发展</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社会效益指标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抓好疫情防控工作</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做好疫情防控的基层工作</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生态效益指标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生态环境质量改善</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生态环境质量改善</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可持续影响指标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人居环境整体水平</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人居生活环境得到改善</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满意度指标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服务对象满意度提升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乡镇体制</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04" w:right="1984" w:bottom="1304" w:left="1134" w:header="720" w:footer="720" w:gutter="0"/>
          <w:cols w:space="720" w:num="1"/>
        </w:sect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仿宋_GBK" w:hAnsi="方正仿宋_GBK" w:eastAsia="方正仿宋_GBK" w:cs="方正仿宋_GBK"/>
          <w:color w:val="000000"/>
          <w:sz w:val="28"/>
        </w:rPr>
        <w:t xml:space="preserve"> </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3"/>
      </w:pPr>
      <w:bookmarkStart w:id="16" w:name="_Toc_4_4_0000000006"/>
      <w:r>
        <w:rPr>
          <w:rFonts w:ascii="方正仿宋_GBK" w:hAnsi="方正仿宋_GBK" w:eastAsia="方正仿宋_GBK" w:cs="方正仿宋_GBK"/>
          <w:color w:val="000000"/>
          <w:sz w:val="28"/>
        </w:rPr>
        <w:t>3.乡镇服务群众经费绩效目标表</w:t>
      </w:r>
      <w:bookmarkEnd w:id="16"/>
    </w:p>
    <w:tbl>
      <w:tblPr>
        <w:tblStyle w:val="11"/>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5"/>
              <w:keepNext w:val="0"/>
              <w:keepLines w:val="0"/>
              <w:pageBreakBefore w:val="0"/>
              <w:kinsoku/>
              <w:wordWrap/>
              <w:overflowPunct/>
              <w:topLinePunct w:val="0"/>
              <w:autoSpaceDE/>
              <w:autoSpaceDN/>
              <w:bidi w:val="0"/>
              <w:spacing w:line="570" w:lineRule="exact"/>
              <w:textAlignment w:val="auto"/>
            </w:pPr>
            <w:r>
              <w:t>643001遵化市团瓢庄镇人民政府本级</w:t>
            </w:r>
          </w:p>
        </w:tc>
        <w:tc>
          <w:tcPr>
            <w:tcW w:w="714" w:type="pct"/>
            <w:tcBorders>
              <w:top w:val="single" w:color="FFFFFF" w:sz="6" w:space="0"/>
              <w:left w:val="single" w:color="FFFFFF" w:sz="6" w:space="0"/>
              <w:right w:val="single" w:color="FFFFFF" w:sz="6" w:space="0"/>
            </w:tcBorders>
            <w:vAlign w:val="center"/>
          </w:tcPr>
          <w:p>
            <w:pPr>
              <w:pStyle w:val="20"/>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项目编码</w:t>
            </w:r>
          </w:p>
        </w:tc>
        <w:tc>
          <w:tcPr>
            <w:tcW w:w="1428" w:type="pct"/>
            <w:gridSpan w:val="2"/>
            <w:vAlign w:val="center"/>
          </w:tcPr>
          <w:p>
            <w:pPr>
              <w:pStyle w:val="21"/>
              <w:keepNext w:val="0"/>
              <w:keepLines w:val="0"/>
              <w:pageBreakBefore w:val="0"/>
              <w:kinsoku/>
              <w:wordWrap/>
              <w:overflowPunct/>
              <w:topLinePunct w:val="0"/>
              <w:autoSpaceDE/>
              <w:autoSpaceDN/>
              <w:bidi w:val="0"/>
              <w:spacing w:line="570" w:lineRule="exact"/>
              <w:textAlignment w:val="auto"/>
            </w:pPr>
            <w:r>
              <w:t>13028123P000064100046</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项目名称</w:t>
            </w:r>
          </w:p>
        </w:tc>
        <w:tc>
          <w:tcPr>
            <w:tcW w:w="2142" w:type="pct"/>
            <w:gridSpan w:val="3"/>
            <w:vAlign w:val="center"/>
          </w:tcPr>
          <w:p>
            <w:pPr>
              <w:pStyle w:val="21"/>
              <w:keepNext w:val="0"/>
              <w:keepLines w:val="0"/>
              <w:pageBreakBefore w:val="0"/>
              <w:kinsoku/>
              <w:wordWrap/>
              <w:overflowPunct/>
              <w:topLinePunct w:val="0"/>
              <w:autoSpaceDE/>
              <w:autoSpaceDN/>
              <w:bidi w:val="0"/>
              <w:spacing w:line="570" w:lineRule="exact"/>
              <w:textAlignment w:val="auto"/>
            </w:pPr>
            <w: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预算规模及资金用途</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预算数</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140.00</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其中：财政    资金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140.00</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其他资金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4285" w:type="pct"/>
            <w:gridSpan w:val="6"/>
            <w:vAlign w:val="center"/>
          </w:tcPr>
          <w:p>
            <w:pPr>
              <w:pStyle w:val="21"/>
              <w:keepNext w:val="0"/>
              <w:keepLines w:val="0"/>
              <w:pageBreakBefore w:val="0"/>
              <w:kinsoku/>
              <w:wordWrap/>
              <w:overflowPunct/>
              <w:topLinePunct w:val="0"/>
              <w:autoSpaceDE/>
              <w:autoSpaceDN/>
              <w:bidi w:val="0"/>
              <w:spacing w:line="570" w:lineRule="exact"/>
              <w:textAlignment w:val="auto"/>
            </w:pPr>
            <w:r>
              <w:t>预算数140万元，其中：财政资金140万元，其他资金0万元。主要用于：保障各村集体环境达标，防止病毒蔓延，保障环境质量提升.</w:t>
            </w:r>
            <w:r>
              <w:tab/>
            </w:r>
            <w:r>
              <w:tab/>
            </w:r>
            <w:r>
              <w:tab/>
            </w:r>
            <w:r>
              <w:tab/>
            </w:r>
            <w:r>
              <w:tab/>
            </w:r>
            <w:r>
              <w:tab/>
            </w:r>
            <w:r>
              <w:tab/>
            </w:r>
          </w:p>
          <w:p>
            <w:pPr>
              <w:pStyle w:val="21"/>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资金支出计划（%）</w:t>
            </w:r>
          </w:p>
        </w:tc>
        <w:tc>
          <w:tcPr>
            <w:tcW w:w="1428"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3月底</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6月底</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10月底</w:t>
            </w:r>
          </w:p>
        </w:tc>
        <w:tc>
          <w:tcPr>
            <w:tcW w:w="1428" w:type="pct"/>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1428" w:type="pct"/>
            <w:gridSpan w:val="2"/>
            <w:vAlign w:val="center"/>
          </w:tcPr>
          <w:p>
            <w:pPr>
              <w:pStyle w:val="22"/>
              <w:keepNext w:val="0"/>
              <w:keepLines w:val="0"/>
              <w:pageBreakBefore w:val="0"/>
              <w:kinsoku/>
              <w:wordWrap/>
              <w:overflowPunct/>
              <w:topLinePunct w:val="0"/>
              <w:autoSpaceDE/>
              <w:autoSpaceDN/>
              <w:bidi w:val="0"/>
              <w:spacing w:line="570" w:lineRule="exact"/>
              <w:textAlignment w:val="auto"/>
            </w:pPr>
            <w:r>
              <w:t>25%</w:t>
            </w:r>
          </w:p>
        </w:tc>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50%</w:t>
            </w:r>
          </w:p>
        </w:tc>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75%</w:t>
            </w:r>
          </w:p>
        </w:tc>
        <w:tc>
          <w:tcPr>
            <w:tcW w:w="1428" w:type="pct"/>
            <w:gridSpan w:val="2"/>
            <w:vAlign w:val="center"/>
          </w:tcPr>
          <w:p>
            <w:pPr>
              <w:pStyle w:val="22"/>
              <w:keepNext w:val="0"/>
              <w:keepLines w:val="0"/>
              <w:pageBreakBefore w:val="0"/>
              <w:kinsoku/>
              <w:wordWrap/>
              <w:overflowPunct/>
              <w:topLinePunct w:val="0"/>
              <w:autoSpaceDE/>
              <w:autoSpaceDN/>
              <w:bidi w:val="0"/>
              <w:spacing w:line="570" w:lineRule="exact"/>
              <w:textAlignment w:val="auto"/>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绩效目标</w:t>
            </w:r>
          </w:p>
        </w:tc>
        <w:tc>
          <w:tcPr>
            <w:tcW w:w="4285" w:type="pct"/>
            <w:gridSpan w:val="6"/>
            <w:vAlign w:val="center"/>
          </w:tcPr>
          <w:p>
            <w:pPr>
              <w:pStyle w:val="21"/>
              <w:keepNext w:val="0"/>
              <w:keepLines w:val="0"/>
              <w:pageBreakBefore w:val="0"/>
              <w:kinsoku/>
              <w:wordWrap/>
              <w:overflowPunct/>
              <w:topLinePunct w:val="0"/>
              <w:autoSpaceDE/>
              <w:autoSpaceDN/>
              <w:bidi w:val="0"/>
              <w:spacing w:line="570" w:lineRule="exact"/>
              <w:textAlignment w:val="auto"/>
            </w:pPr>
            <w:r>
              <w:t>1.防止病毒蔓延，保障环境质量提升</w:t>
            </w:r>
          </w:p>
          <w:p>
            <w:pPr>
              <w:pStyle w:val="21"/>
              <w:keepNext w:val="0"/>
              <w:keepLines w:val="0"/>
              <w:pageBreakBefore w:val="0"/>
              <w:kinsoku/>
              <w:wordWrap/>
              <w:overflowPunct/>
              <w:topLinePunct w:val="0"/>
              <w:autoSpaceDE/>
              <w:autoSpaceDN/>
              <w:bidi w:val="0"/>
              <w:spacing w:line="570" w:lineRule="exact"/>
              <w:textAlignment w:val="auto"/>
            </w:pPr>
            <w:r>
              <w:t>2.保障各村集体环境达标</w:t>
            </w: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一级指标</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二级指标</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三级指标</w:t>
            </w:r>
          </w:p>
        </w:tc>
        <w:tc>
          <w:tcPr>
            <w:tcW w:w="1428" w:type="pct"/>
            <w:vAlign w:val="center"/>
          </w:tcPr>
          <w:p>
            <w:pPr>
              <w:pStyle w:val="19"/>
              <w:keepNext w:val="0"/>
              <w:keepLines w:val="0"/>
              <w:pageBreakBefore w:val="0"/>
              <w:kinsoku/>
              <w:wordWrap/>
              <w:overflowPunct/>
              <w:topLinePunct w:val="0"/>
              <w:autoSpaceDE/>
              <w:autoSpaceDN/>
              <w:bidi w:val="0"/>
              <w:spacing w:line="570" w:lineRule="exact"/>
              <w:textAlignment w:val="auto"/>
            </w:pPr>
            <w:r>
              <w:t>绩效指标描述</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指标值</w:t>
            </w:r>
          </w:p>
        </w:tc>
        <w:tc>
          <w:tcPr>
            <w:tcW w:w="714" w:type="pct"/>
            <w:vAlign w:val="center"/>
          </w:tcPr>
          <w:p>
            <w:pPr>
              <w:pStyle w:val="19"/>
              <w:keepNext w:val="0"/>
              <w:keepLines w:val="0"/>
              <w:pageBreakBefore w:val="0"/>
              <w:kinsoku/>
              <w:wordWrap/>
              <w:overflowPunct/>
              <w:topLinePunct w:val="0"/>
              <w:autoSpaceDE/>
              <w:autoSpaceDN/>
              <w:bidi w:val="0"/>
              <w:spacing w:line="57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2"/>
              <w:keepNext w:val="0"/>
              <w:keepLines w:val="0"/>
              <w:pageBreakBefore w:val="0"/>
              <w:kinsoku/>
              <w:wordWrap/>
              <w:overflowPunct/>
              <w:topLinePunct w:val="0"/>
              <w:autoSpaceDE/>
              <w:autoSpaceDN/>
              <w:bidi w:val="0"/>
              <w:spacing w:line="570" w:lineRule="exact"/>
              <w:textAlignment w:val="auto"/>
            </w:pPr>
            <w:r>
              <w:t>产出指标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数量指标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村人居环境整治个数</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辖区28个村</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28个</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质量指标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提高环境卫生状况</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环境卫生质量得到提升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时效指标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设施正常使用率</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垃圾桶正常使用</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成本指标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资金成本</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资金成本</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≥98%</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22"/>
              <w:keepNext w:val="0"/>
              <w:keepLines w:val="0"/>
              <w:pageBreakBefore w:val="0"/>
              <w:kinsoku/>
              <w:wordWrap/>
              <w:overflowPunct/>
              <w:topLinePunct w:val="0"/>
              <w:autoSpaceDE/>
              <w:autoSpaceDN/>
              <w:bidi w:val="0"/>
              <w:spacing w:line="570" w:lineRule="exact"/>
              <w:textAlignment w:val="auto"/>
            </w:pPr>
            <w:r>
              <w:t>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经济效益指标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经济影响力</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带动经济发展</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社会效益指标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生活垃圾处理</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垃圾收集及运输</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生态效益指标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生态环境质量改善</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生态环境质量改善</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可持续影响指标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人居环境整体水平</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人居生活环境得到改善</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22"/>
              <w:keepNext w:val="0"/>
              <w:keepLines w:val="0"/>
              <w:pageBreakBefore w:val="0"/>
              <w:kinsoku/>
              <w:wordWrap/>
              <w:overflowPunct/>
              <w:topLinePunct w:val="0"/>
              <w:autoSpaceDE/>
              <w:autoSpaceDN/>
              <w:bidi w:val="0"/>
              <w:spacing w:line="570" w:lineRule="exact"/>
              <w:textAlignment w:val="auto"/>
            </w:pPr>
            <w:r>
              <w:t>满意度指标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服务对象满意度指标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w:t>
            </w:r>
          </w:p>
        </w:tc>
        <w:tc>
          <w:tcPr>
            <w:tcW w:w="1428" w:type="pct"/>
            <w:vAlign w:val="center"/>
          </w:tcPr>
          <w:p>
            <w:pPr>
              <w:pStyle w:val="21"/>
              <w:keepNext w:val="0"/>
              <w:keepLines w:val="0"/>
              <w:pageBreakBefore w:val="0"/>
              <w:kinsoku/>
              <w:wordWrap/>
              <w:overflowPunct/>
              <w:topLinePunct w:val="0"/>
              <w:autoSpaceDE/>
              <w:autoSpaceDN/>
              <w:bidi w:val="0"/>
              <w:spacing w:line="570" w:lineRule="exact"/>
              <w:textAlignment w:val="auto"/>
            </w:pPr>
            <w:r>
              <w:t>服务对象满意度提升</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21"/>
              <w:keepNext w:val="0"/>
              <w:keepLines w:val="0"/>
              <w:pageBreakBefore w:val="0"/>
              <w:kinsoku/>
              <w:wordWrap/>
              <w:overflowPunct/>
              <w:topLinePunct w:val="0"/>
              <w:autoSpaceDE/>
              <w:autoSpaceDN/>
              <w:bidi w:val="0"/>
              <w:spacing w:line="570" w:lineRule="exact"/>
              <w:textAlignment w:val="auto"/>
            </w:pPr>
            <w:r>
              <w:t>招投标服务合同</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17" w:name="_Toc_3_3_0000000015"/>
      <w:r>
        <w:rPr>
          <w:rFonts w:hint="eastAsia" w:ascii="方正黑体简体" w:hAnsi="方正黑体简体" w:eastAsia="方正黑体简体" w:cs="方正黑体简体"/>
          <w:color w:val="000000"/>
          <w:sz w:val="32"/>
          <w:szCs w:val="32"/>
        </w:rPr>
        <w:t>六、政府采购预算情况</w:t>
      </w:r>
      <w:bookmarkEnd w:id="17"/>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2023年，遵化市团瓢庄镇人民政府安排政府采购预算4.25万元。具体内容见下表。</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部门政府采购预算</w:t>
      </w:r>
    </w:p>
    <w:tbl>
      <w:tblPr>
        <w:tblStyle w:val="11"/>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8316" w:type="dxa"/>
            <w:gridSpan w:val="9"/>
            <w:tcBorders>
              <w:top w:val="single" w:color="FFFFFF" w:sz="6" w:space="0"/>
              <w:left w:val="single" w:color="FFFFFF" w:sz="6" w:space="0"/>
              <w:right w:val="single" w:color="FFFFFF" w:sz="6" w:space="0"/>
            </w:tcBorders>
            <w:vAlign w:val="center"/>
          </w:tcPr>
          <w:p>
            <w:pPr>
              <w:pStyle w:val="33"/>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9"/>
              <w:keepNext w:val="0"/>
              <w:keepLines w:val="0"/>
              <w:pageBreakBefore w:val="0"/>
              <w:kinsoku/>
              <w:wordWrap/>
              <w:overflowPunct/>
              <w:topLinePunct w:val="0"/>
              <w:autoSpaceDE/>
              <w:autoSpaceDN/>
              <w:bidi w:val="0"/>
              <w:spacing w:line="570" w:lineRule="exact"/>
              <w:textAlignment w:val="auto"/>
            </w:pPr>
            <w:r>
              <w:t>政府采购项目来源</w:t>
            </w:r>
          </w:p>
        </w:tc>
        <w:tc>
          <w:tcPr>
            <w:tcW w:w="924"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采购物品名称</w:t>
            </w:r>
          </w:p>
        </w:tc>
        <w:tc>
          <w:tcPr>
            <w:tcW w:w="924"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政府采购目录序号</w:t>
            </w:r>
          </w:p>
        </w:tc>
        <w:tc>
          <w:tcPr>
            <w:tcW w:w="924"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计量  单位</w:t>
            </w:r>
          </w:p>
        </w:tc>
        <w:tc>
          <w:tcPr>
            <w:tcW w:w="924"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数量</w:t>
            </w:r>
          </w:p>
        </w:tc>
        <w:tc>
          <w:tcPr>
            <w:tcW w:w="924"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单价</w:t>
            </w:r>
          </w:p>
        </w:tc>
        <w:tc>
          <w:tcPr>
            <w:tcW w:w="7392" w:type="dxa"/>
            <w:gridSpan w:val="8"/>
            <w:vAlign w:val="center"/>
          </w:tcPr>
          <w:p>
            <w:pPr>
              <w:pStyle w:val="19"/>
              <w:keepNext w:val="0"/>
              <w:keepLines w:val="0"/>
              <w:pageBreakBefore w:val="0"/>
              <w:kinsoku/>
              <w:wordWrap/>
              <w:overflowPunct/>
              <w:topLinePunct w:val="0"/>
              <w:autoSpaceDE/>
              <w:autoSpaceDN/>
              <w:bidi w:val="0"/>
              <w:spacing w:line="570" w:lineRule="exact"/>
              <w:textAlignment w:val="auto"/>
            </w:pPr>
            <w:r>
              <w:t>政府采购金额（当年部门预算安排资金）</w:t>
            </w:r>
          </w:p>
        </w:tc>
        <w:tc>
          <w:tcPr>
            <w:tcW w:w="924" w:type="dxa"/>
            <w:vMerge w:val="restart"/>
            <w:vAlign w:val="center"/>
          </w:tcPr>
          <w:p>
            <w:pPr>
              <w:pStyle w:val="19"/>
              <w:keepNext w:val="0"/>
              <w:keepLines w:val="0"/>
              <w:pageBreakBefore w:val="0"/>
              <w:kinsoku/>
              <w:wordWrap/>
              <w:overflowPunct/>
              <w:topLinePunct w:val="0"/>
              <w:autoSpaceDE/>
              <w:autoSpaceDN/>
              <w:bidi w:val="0"/>
              <w:spacing w:line="570" w:lineRule="exact"/>
              <w:textAlignment w:val="auto"/>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项目名称</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预算    资金</w:t>
            </w: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合计</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一般公共预算拨款</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基金预算拨款</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国有资本经营预算拨款</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财政专户核拨</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单位    资金</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财政拨    款结转</w:t>
            </w:r>
          </w:p>
        </w:tc>
        <w:tc>
          <w:tcPr>
            <w:tcW w:w="924" w:type="dxa"/>
            <w:vAlign w:val="center"/>
          </w:tcPr>
          <w:p>
            <w:pPr>
              <w:pStyle w:val="19"/>
              <w:keepNext w:val="0"/>
              <w:keepLines w:val="0"/>
              <w:pageBreakBefore w:val="0"/>
              <w:kinsoku/>
              <w:wordWrap/>
              <w:overflowPunct/>
              <w:topLinePunct w:val="0"/>
              <w:autoSpaceDE/>
              <w:autoSpaceDN/>
              <w:bidi w:val="0"/>
              <w:spacing w:line="570" w:lineRule="exact"/>
              <w:textAlignment w:val="auto"/>
            </w:pPr>
            <w:r>
              <w:t>非财政    拨款结    转结余</w:t>
            </w: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3"/>
              <w:keepNext w:val="0"/>
              <w:keepLines w:val="0"/>
              <w:pageBreakBefore w:val="0"/>
              <w:kinsoku/>
              <w:wordWrap/>
              <w:overflowPunct/>
              <w:topLinePunct w:val="0"/>
              <w:autoSpaceDE/>
              <w:autoSpaceDN/>
              <w:bidi w:val="0"/>
              <w:spacing w:line="570" w:lineRule="exact"/>
              <w:textAlignment w:val="auto"/>
            </w:pPr>
            <w:r>
              <w:t>合  计</w:t>
            </w: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rPr>
                <w:rFonts w:hint="default" w:eastAsia="方正书宋_GBK"/>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4.25</w:t>
            </w:r>
          </w:p>
        </w:tc>
        <w:tc>
          <w:tcPr>
            <w:tcW w:w="924" w:type="dxa"/>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3"/>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3"/>
              <w:keepNext w:val="0"/>
              <w:keepLines w:val="0"/>
              <w:pageBreakBefore w:val="0"/>
              <w:kinsoku/>
              <w:wordWrap/>
              <w:overflowPunct/>
              <w:topLinePunct w:val="0"/>
              <w:autoSpaceDE/>
              <w:autoSpaceDN/>
              <w:bidi w:val="0"/>
              <w:spacing w:line="570" w:lineRule="exact"/>
              <w:textAlignment w:val="auto"/>
            </w:pPr>
            <w:r>
              <w:t>遵化市团瓢庄镇人民政府小计</w:t>
            </w: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rPr>
                <w:rFonts w:hint="default" w:eastAsia="方正书宋_GBK"/>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4.25</w:t>
            </w:r>
          </w:p>
        </w:tc>
        <w:tc>
          <w:tcPr>
            <w:tcW w:w="924" w:type="dxa"/>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3"/>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1"/>
              <w:keepNext w:val="0"/>
              <w:keepLines w:val="0"/>
              <w:pageBreakBefore w:val="0"/>
              <w:kinsoku/>
              <w:wordWrap/>
              <w:overflowPunct/>
              <w:topLinePunct w:val="0"/>
              <w:autoSpaceDE/>
              <w:autoSpaceDN/>
              <w:bidi w:val="0"/>
              <w:spacing w:line="570" w:lineRule="exact"/>
              <w:textAlignment w:val="auto"/>
            </w:pPr>
            <w:r>
              <w:t>安可计算机购置</w:t>
            </w: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1"/>
              <w:keepNext w:val="0"/>
              <w:keepLines w:val="0"/>
              <w:pageBreakBefore w:val="0"/>
              <w:kinsoku/>
              <w:wordWrap/>
              <w:overflowPunct/>
              <w:topLinePunct w:val="0"/>
              <w:autoSpaceDE/>
              <w:autoSpaceDN/>
              <w:bidi w:val="0"/>
              <w:spacing w:line="570" w:lineRule="exact"/>
              <w:textAlignment w:val="auto"/>
            </w:pPr>
            <w:r>
              <w:t>台式计算机</w:t>
            </w:r>
          </w:p>
        </w:tc>
        <w:tc>
          <w:tcPr>
            <w:tcW w:w="924" w:type="dxa"/>
            <w:vAlign w:val="center"/>
          </w:tcPr>
          <w:p>
            <w:pPr>
              <w:pStyle w:val="21"/>
              <w:keepNext w:val="0"/>
              <w:keepLines w:val="0"/>
              <w:pageBreakBefore w:val="0"/>
              <w:kinsoku/>
              <w:wordWrap/>
              <w:overflowPunct/>
              <w:topLinePunct w:val="0"/>
              <w:autoSpaceDE/>
              <w:autoSpaceDN/>
              <w:bidi w:val="0"/>
              <w:spacing w:line="570" w:lineRule="exact"/>
              <w:textAlignment w:val="auto"/>
            </w:pPr>
            <w:r>
              <w:t>A02010105</w:t>
            </w:r>
          </w:p>
        </w:tc>
        <w:tc>
          <w:tcPr>
            <w:tcW w:w="924" w:type="dxa"/>
            <w:vAlign w:val="center"/>
          </w:tcPr>
          <w:p>
            <w:pPr>
              <w:pStyle w:val="22"/>
              <w:keepNext w:val="0"/>
              <w:keepLines w:val="0"/>
              <w:pageBreakBefore w:val="0"/>
              <w:kinsoku/>
              <w:wordWrap/>
              <w:overflowPunct/>
              <w:topLinePunct w:val="0"/>
              <w:autoSpaceDE/>
              <w:autoSpaceDN/>
              <w:bidi w:val="0"/>
              <w:spacing w:line="570" w:lineRule="exact"/>
              <w:textAlignment w:val="auto"/>
            </w:pPr>
            <w:r>
              <w:t>万元</w:t>
            </w: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r>
              <w:t>5</w:t>
            </w: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r>
              <w:t>0.85</w:t>
            </w: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20"/>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18" w:name="_Toc_3_3_0000000016"/>
      <w:r>
        <w:rPr>
          <w:rFonts w:hint="eastAsia" w:ascii="方正黑体简体" w:hAnsi="方正黑体简体" w:eastAsia="方正黑体简体" w:cs="方正黑体简体"/>
          <w:color w:val="000000"/>
          <w:sz w:val="32"/>
          <w:szCs w:val="32"/>
        </w:rPr>
        <w:t>七、国有资产信息</w:t>
      </w:r>
      <w:bookmarkEnd w:id="18"/>
    </w:p>
    <w:p>
      <w:pPr>
        <w:pStyle w:val="32"/>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遵化市团瓢庄镇人民政府（含所属单位）上年末固定资产金额为123.81万元（详见下表）。本年度拟购置固定资产总额为4.25万元，已按要求列入政府采购预算，详见政府采购预算表。</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11"/>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8"/>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9866" w:type="dxa"/>
            <w:gridSpan w:val="2"/>
            <w:tcBorders>
              <w:top w:val="single" w:color="FFFFFF" w:sz="6" w:space="0"/>
              <w:left w:val="single" w:color="FFFFFF" w:sz="6" w:space="0"/>
              <w:right w:val="single" w:color="FFFFFF" w:sz="6" w:space="0"/>
            </w:tcBorders>
            <w:vAlign w:val="center"/>
          </w:tcPr>
          <w:p>
            <w:pPr>
              <w:pStyle w:val="16"/>
              <w:keepNext w:val="0"/>
              <w:keepLines w:val="0"/>
              <w:pageBreakBefore w:val="0"/>
              <w:kinsoku/>
              <w:wordWrap/>
              <w:overflowPunct/>
              <w:topLinePunct w:val="0"/>
              <w:autoSpaceDE/>
              <w:autoSpaceDN/>
              <w:bidi w:val="0"/>
              <w:spacing w:line="570" w:lineRule="exact"/>
              <w:textAlignment w:val="auto"/>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9"/>
              <w:keepNext w:val="0"/>
              <w:keepLines w:val="0"/>
              <w:pageBreakBefore w:val="0"/>
              <w:kinsoku/>
              <w:wordWrap/>
              <w:overflowPunct/>
              <w:topLinePunct w:val="0"/>
              <w:autoSpaceDE/>
              <w:autoSpaceDN/>
              <w:bidi w:val="0"/>
              <w:spacing w:line="570" w:lineRule="exact"/>
              <w:textAlignment w:val="auto"/>
            </w:pPr>
            <w:r>
              <w:t>项   目</w:t>
            </w:r>
          </w:p>
        </w:tc>
        <w:tc>
          <w:tcPr>
            <w:tcW w:w="4933" w:type="dxa"/>
            <w:vAlign w:val="center"/>
          </w:tcPr>
          <w:p>
            <w:pPr>
              <w:pStyle w:val="19"/>
              <w:keepNext w:val="0"/>
              <w:keepLines w:val="0"/>
              <w:pageBreakBefore w:val="0"/>
              <w:kinsoku/>
              <w:wordWrap/>
              <w:overflowPunct/>
              <w:topLinePunct w:val="0"/>
              <w:autoSpaceDE/>
              <w:autoSpaceDN/>
              <w:bidi w:val="0"/>
              <w:spacing w:line="570" w:lineRule="exact"/>
              <w:textAlignment w:val="auto"/>
            </w:pPr>
            <w:r>
              <w:t>数量</w:t>
            </w:r>
          </w:p>
        </w:tc>
        <w:tc>
          <w:tcPr>
            <w:tcW w:w="4933" w:type="dxa"/>
            <w:vAlign w:val="center"/>
          </w:tcPr>
          <w:p>
            <w:pPr>
              <w:pStyle w:val="19"/>
              <w:keepNext w:val="0"/>
              <w:keepLines w:val="0"/>
              <w:pageBreakBefore w:val="0"/>
              <w:kinsoku/>
              <w:wordWrap/>
              <w:overflowPunct/>
              <w:topLinePunct w:val="0"/>
              <w:autoSpaceDE/>
              <w:autoSpaceDN/>
              <w:bidi w:val="0"/>
              <w:spacing w:line="570" w:lineRule="exact"/>
              <w:textAlignment w:val="auto"/>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1"/>
              <w:keepNext w:val="0"/>
              <w:keepLines w:val="0"/>
              <w:pageBreakBefore w:val="0"/>
              <w:kinsoku/>
              <w:wordWrap/>
              <w:overflowPunct/>
              <w:topLinePunct w:val="0"/>
              <w:autoSpaceDE/>
              <w:autoSpaceDN/>
              <w:bidi w:val="0"/>
              <w:spacing w:line="570" w:lineRule="exact"/>
              <w:textAlignment w:val="auto"/>
            </w:pPr>
            <w:r>
              <w:t>资产总额</w:t>
            </w:r>
          </w:p>
        </w:tc>
        <w:tc>
          <w:tcPr>
            <w:tcW w:w="4933" w:type="dxa"/>
            <w:vAlign w:val="center"/>
          </w:tcPr>
          <w:p>
            <w:pPr>
              <w:pStyle w:val="22"/>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20"/>
              <w:keepNext w:val="0"/>
              <w:keepLines w:val="0"/>
              <w:pageBreakBefore w:val="0"/>
              <w:kinsoku/>
              <w:wordWrap/>
              <w:overflowPunct/>
              <w:topLinePunct w:val="0"/>
              <w:autoSpaceDE/>
              <w:autoSpaceDN/>
              <w:bidi w:val="0"/>
              <w:spacing w:line="570" w:lineRule="exact"/>
              <w:textAlignment w:val="auto"/>
            </w:pPr>
            <w:r>
              <w:t>123.81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1"/>
              <w:keepNext w:val="0"/>
              <w:keepLines w:val="0"/>
              <w:pageBreakBefore w:val="0"/>
              <w:kinsoku/>
              <w:wordWrap/>
              <w:overflowPunct/>
              <w:topLinePunct w:val="0"/>
              <w:autoSpaceDE/>
              <w:autoSpaceDN/>
              <w:bidi w:val="0"/>
              <w:spacing w:line="570" w:lineRule="exact"/>
              <w:textAlignment w:val="auto"/>
            </w:pPr>
            <w:r>
              <w:t>1、房屋（平方米）</w:t>
            </w:r>
          </w:p>
        </w:tc>
        <w:tc>
          <w:tcPr>
            <w:tcW w:w="4933" w:type="dxa"/>
            <w:vAlign w:val="center"/>
          </w:tcPr>
          <w:p>
            <w:pPr>
              <w:pStyle w:val="22"/>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1"/>
              <w:keepNext w:val="0"/>
              <w:keepLines w:val="0"/>
              <w:pageBreakBefore w:val="0"/>
              <w:kinsoku/>
              <w:wordWrap/>
              <w:overflowPunct/>
              <w:topLinePunct w:val="0"/>
              <w:autoSpaceDE/>
              <w:autoSpaceDN/>
              <w:bidi w:val="0"/>
              <w:spacing w:line="570" w:lineRule="exact"/>
              <w:textAlignment w:val="auto"/>
            </w:pPr>
            <w:r>
              <w:t>　　其中：办公用房（平方米）</w:t>
            </w:r>
          </w:p>
        </w:tc>
        <w:tc>
          <w:tcPr>
            <w:tcW w:w="4933" w:type="dxa"/>
            <w:vAlign w:val="center"/>
          </w:tcPr>
          <w:p>
            <w:pPr>
              <w:pStyle w:val="22"/>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1"/>
              <w:keepNext w:val="0"/>
              <w:keepLines w:val="0"/>
              <w:pageBreakBefore w:val="0"/>
              <w:kinsoku/>
              <w:wordWrap/>
              <w:overflowPunct/>
              <w:topLinePunct w:val="0"/>
              <w:autoSpaceDE/>
              <w:autoSpaceDN/>
              <w:bidi w:val="0"/>
              <w:spacing w:line="570" w:lineRule="exact"/>
              <w:textAlignment w:val="auto"/>
            </w:pPr>
            <w:r>
              <w:t>2、车辆（台、辆）</w:t>
            </w:r>
          </w:p>
        </w:tc>
        <w:tc>
          <w:tcPr>
            <w:tcW w:w="4933" w:type="dxa"/>
            <w:vAlign w:val="center"/>
          </w:tcPr>
          <w:p>
            <w:pPr>
              <w:pStyle w:val="22"/>
              <w:keepNext w:val="0"/>
              <w:keepLines w:val="0"/>
              <w:pageBreakBefore w:val="0"/>
              <w:kinsoku/>
              <w:wordWrap/>
              <w:overflowPunct/>
              <w:topLinePunct w:val="0"/>
              <w:autoSpaceDE/>
              <w:autoSpaceDN/>
              <w:bidi w:val="0"/>
              <w:spacing w:line="570" w:lineRule="exact"/>
              <w:textAlignment w:val="auto"/>
            </w:pPr>
            <w:r>
              <w:t>4</w:t>
            </w:r>
          </w:p>
        </w:tc>
        <w:tc>
          <w:tcPr>
            <w:tcW w:w="4933" w:type="dxa"/>
            <w:vAlign w:val="center"/>
          </w:tcPr>
          <w:p>
            <w:pPr>
              <w:pStyle w:val="20"/>
              <w:keepNext w:val="0"/>
              <w:keepLines w:val="0"/>
              <w:pageBreakBefore w:val="0"/>
              <w:kinsoku/>
              <w:wordWrap/>
              <w:overflowPunct/>
              <w:topLinePunct w:val="0"/>
              <w:autoSpaceDE/>
              <w:autoSpaceDN/>
              <w:bidi w:val="0"/>
              <w:spacing w:line="570" w:lineRule="exact"/>
              <w:textAlignment w:val="auto"/>
            </w:pPr>
            <w:r>
              <w:t>45.13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1"/>
              <w:keepNext w:val="0"/>
              <w:keepLines w:val="0"/>
              <w:pageBreakBefore w:val="0"/>
              <w:kinsoku/>
              <w:wordWrap/>
              <w:overflowPunct/>
              <w:topLinePunct w:val="0"/>
              <w:autoSpaceDE/>
              <w:autoSpaceDN/>
              <w:bidi w:val="0"/>
              <w:spacing w:line="570" w:lineRule="exact"/>
              <w:textAlignment w:val="auto"/>
            </w:pPr>
            <w:r>
              <w:t>3、单价在20万元以上的设备</w:t>
            </w:r>
          </w:p>
        </w:tc>
        <w:tc>
          <w:tcPr>
            <w:tcW w:w="4933" w:type="dxa"/>
            <w:vAlign w:val="center"/>
          </w:tcPr>
          <w:p>
            <w:pPr>
              <w:pStyle w:val="22"/>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20"/>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1"/>
              <w:keepNext w:val="0"/>
              <w:keepLines w:val="0"/>
              <w:pageBreakBefore w:val="0"/>
              <w:kinsoku/>
              <w:wordWrap/>
              <w:overflowPunct/>
              <w:topLinePunct w:val="0"/>
              <w:autoSpaceDE/>
              <w:autoSpaceDN/>
              <w:bidi w:val="0"/>
              <w:spacing w:line="570" w:lineRule="exact"/>
              <w:textAlignment w:val="auto"/>
            </w:pPr>
            <w:r>
              <w:t>4、其他固定资产</w:t>
            </w:r>
          </w:p>
        </w:tc>
        <w:tc>
          <w:tcPr>
            <w:tcW w:w="4933" w:type="dxa"/>
            <w:vAlign w:val="center"/>
          </w:tcPr>
          <w:p>
            <w:pPr>
              <w:pStyle w:val="22"/>
              <w:keepNext w:val="0"/>
              <w:keepLines w:val="0"/>
              <w:pageBreakBefore w:val="0"/>
              <w:kinsoku/>
              <w:wordWrap/>
              <w:overflowPunct/>
              <w:topLinePunct w:val="0"/>
              <w:autoSpaceDE/>
              <w:autoSpaceDN/>
              <w:bidi w:val="0"/>
              <w:spacing w:line="570" w:lineRule="exact"/>
              <w:textAlignment w:val="auto"/>
            </w:pPr>
            <w:r>
              <w:t>267</w:t>
            </w:r>
          </w:p>
        </w:tc>
        <w:tc>
          <w:tcPr>
            <w:tcW w:w="4933" w:type="dxa"/>
            <w:vAlign w:val="center"/>
          </w:tcPr>
          <w:p>
            <w:pPr>
              <w:pStyle w:val="20"/>
              <w:keepNext w:val="0"/>
              <w:keepLines w:val="0"/>
              <w:pageBreakBefore w:val="0"/>
              <w:kinsoku/>
              <w:wordWrap/>
              <w:overflowPunct/>
              <w:topLinePunct w:val="0"/>
              <w:autoSpaceDE/>
              <w:autoSpaceDN/>
              <w:bidi w:val="0"/>
              <w:spacing w:line="570" w:lineRule="exact"/>
              <w:textAlignment w:val="auto"/>
            </w:pPr>
            <w:r>
              <w:t>78.68</w:t>
            </w:r>
          </w:p>
        </w:tc>
      </w:tr>
    </w:tbl>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9" w:name="_Toc_3_3_0000000017"/>
      <w:r>
        <w:rPr>
          <w:rFonts w:hint="eastAsia" w:ascii="方正黑体简体" w:hAnsi="方正黑体简体" w:eastAsia="方正黑体简体" w:cs="方正黑体简体"/>
          <w:color w:val="000000"/>
          <w:sz w:val="32"/>
          <w:szCs w:val="32"/>
        </w:rPr>
        <w:t>八、名词解释</w:t>
      </w:r>
      <w:bookmarkEnd w:id="19"/>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1、一般公共预算拨款收入：</w:t>
      </w:r>
      <w:r>
        <w:rPr>
          <w:rFonts w:hint="eastAsia" w:ascii="方正仿宋简体" w:hAnsi="方正仿宋简体" w:eastAsia="方正仿宋简体" w:cs="方正仿宋简体"/>
          <w:color w:val="000000"/>
          <w:sz w:val="32"/>
          <w:szCs w:val="32"/>
          <w:lang w:val="en-US" w:eastAsia="uk-UA" w:bidi="ar-SA"/>
        </w:rPr>
        <w:t>指市级财政当年拨付的资金。</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2、事业收入：</w:t>
      </w:r>
      <w:r>
        <w:rPr>
          <w:rFonts w:hint="eastAsia" w:ascii="方正仿宋简体" w:hAnsi="方正仿宋简体" w:eastAsia="方正仿宋简体" w:cs="方正仿宋简体"/>
          <w:color w:val="000000"/>
          <w:sz w:val="32"/>
          <w:szCs w:val="32"/>
          <w:lang w:val="en-US" w:eastAsia="uk-UA" w:bidi="ar-SA"/>
        </w:rPr>
        <w:t>指事业单位开展专业业务活动及辅助活动所取得的收入。</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3、其他收入：</w:t>
      </w:r>
      <w:r>
        <w:rPr>
          <w:rFonts w:hint="eastAsia" w:ascii="方正仿宋简体" w:hAnsi="方正仿宋简体" w:eastAsia="方正仿宋简体" w:cs="方正仿宋简体"/>
          <w:color w:val="000000"/>
          <w:sz w:val="32"/>
          <w:szCs w:val="32"/>
          <w:lang w:val="en-US" w:eastAsia="uk-UA" w:bidi="ar-SA"/>
        </w:rPr>
        <w:t>指除“一般公共预算拨款收入”、“事业收入”等以外的收入。主要是按规定动用的租房收入、存款利息收入等。</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4、基本支出：</w:t>
      </w:r>
      <w:r>
        <w:rPr>
          <w:rFonts w:hint="eastAsia" w:ascii="方正仿宋简体" w:hAnsi="方正仿宋简体" w:eastAsia="方正仿宋简体" w:cs="方正仿宋简体"/>
          <w:color w:val="000000"/>
          <w:sz w:val="32"/>
          <w:szCs w:val="32"/>
          <w:lang w:val="en-US" w:eastAsia="uk-UA" w:bidi="ar-SA"/>
        </w:rPr>
        <w:t>指为保障机构正常运转、完成日常工作任务而发生的人员支出和公用支出。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5、项目支出：</w:t>
      </w:r>
      <w:r>
        <w:rPr>
          <w:rFonts w:hint="eastAsia" w:ascii="方正仿宋简体" w:hAnsi="方正仿宋简体" w:eastAsia="方正仿宋简体" w:cs="方正仿宋简体"/>
          <w:color w:val="000000"/>
          <w:sz w:val="32"/>
          <w:szCs w:val="32"/>
          <w:lang w:val="en-US" w:eastAsia="uk-UA" w:bidi="ar-SA"/>
        </w:rPr>
        <w:t>指在基本支出之外为完成特定行政任务和事业发展目标所发生的支出。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6、上缴上级支出：</w:t>
      </w:r>
      <w:r>
        <w:rPr>
          <w:rFonts w:hint="eastAsia" w:ascii="方正仿宋简体" w:hAnsi="方正仿宋简体" w:eastAsia="方正仿宋简体" w:cs="方正仿宋简体"/>
          <w:color w:val="000000"/>
          <w:sz w:val="32"/>
          <w:szCs w:val="32"/>
          <w:lang w:val="en-US" w:eastAsia="uk-UA" w:bidi="ar-SA"/>
        </w:rPr>
        <w:t>指下级单位上缴上级的支出。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7、“三公”经费：</w:t>
      </w:r>
      <w:r>
        <w:rPr>
          <w:rFonts w:hint="eastAsia" w:ascii="方正仿宋简体" w:hAnsi="方正仿宋简体" w:eastAsia="方正仿宋简体" w:cs="方正仿宋简体"/>
          <w:color w:val="000000"/>
          <w:sz w:val="32"/>
          <w:szCs w:val="32"/>
          <w:lang w:val="en-US" w:eastAsia="uk-UA" w:bidi="ar-SA"/>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8、机关运行费：</w:t>
      </w:r>
      <w:r>
        <w:rPr>
          <w:rFonts w:hint="eastAsia" w:ascii="方正仿宋简体" w:hAnsi="方正仿宋简体" w:eastAsia="方正仿宋简体" w:cs="方正仿宋简体"/>
          <w:color w:val="000000"/>
          <w:sz w:val="32"/>
          <w:szCs w:val="32"/>
          <w:lang w:val="en-US" w:eastAsia="uk-UA"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9、上年结转：</w:t>
      </w:r>
      <w:r>
        <w:rPr>
          <w:rFonts w:hint="eastAsia" w:ascii="方正仿宋简体" w:hAnsi="方正仿宋简体" w:eastAsia="方正仿宋简体" w:cs="方正仿宋简体"/>
          <w:color w:val="000000"/>
          <w:sz w:val="32"/>
          <w:szCs w:val="32"/>
          <w:lang w:val="en-US" w:eastAsia="uk-UA" w:bidi="ar-SA"/>
        </w:rPr>
        <w:t>指以前年度尚未完成、结转到本年仍按原规定用途继续使用的资金。</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10、事业单位经营支出：</w:t>
      </w:r>
      <w:r>
        <w:rPr>
          <w:rFonts w:hint="eastAsia" w:ascii="方正仿宋简体" w:hAnsi="方正仿宋简体" w:eastAsia="方正仿宋简体" w:cs="方正仿宋简体"/>
          <w:color w:val="000000"/>
          <w:sz w:val="32"/>
          <w:szCs w:val="32"/>
          <w:lang w:val="en-US" w:eastAsia="uk-UA" w:bidi="ar-S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0" w:name="_Toc_3_3_0000000018"/>
      <w:r>
        <w:rPr>
          <w:rFonts w:hint="eastAsia" w:ascii="方正黑体简体" w:hAnsi="方正黑体简体" w:eastAsia="方正黑体简体" w:cs="方正黑体简体"/>
          <w:color w:val="000000"/>
          <w:sz w:val="32"/>
          <w:szCs w:val="32"/>
        </w:rPr>
        <w:t>九、其他需要说明的事项</w:t>
      </w:r>
      <w:bookmarkEnd w:id="20"/>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仿宋简体" w:hAnsi="方正仿宋简体" w:eastAsia="方正仿宋简体" w:cs="方正仿宋简体"/>
          <w:color w:val="000000"/>
          <w:sz w:val="32"/>
          <w:szCs w:val="32"/>
          <w:lang w:val="en-US" w:eastAsia="uk-UA" w:bidi="ar-S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32"/>
          <w:szCs w:val="32"/>
          <w:lang w:val="en-US" w:eastAsia="uk-UA" w:bidi="ar-SA"/>
        </w:rPr>
        <w:t>我部门无其他需要说明的事项。</w:t>
      </w:r>
    </w:p>
    <w:p>
      <w:pPr>
        <w:pStyle w:val="2"/>
        <w:ind w:left="0" w:leftChars="0" w:firstLine="0" w:firstLineChars="0"/>
      </w:pPr>
    </w:p>
    <w:sectPr>
      <w:footerReference r:id="rId7" w:type="default"/>
      <w:footerReference r:id="rId8"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793F"/>
    <w:rsid w:val="08720B9D"/>
    <w:rsid w:val="08DA08F1"/>
    <w:rsid w:val="0AAB58C6"/>
    <w:rsid w:val="0CE44430"/>
    <w:rsid w:val="0EA4184E"/>
    <w:rsid w:val="11C87B39"/>
    <w:rsid w:val="15601E76"/>
    <w:rsid w:val="1DA2310A"/>
    <w:rsid w:val="23DC6805"/>
    <w:rsid w:val="263610ED"/>
    <w:rsid w:val="2A3B6B9E"/>
    <w:rsid w:val="2CAF0F7C"/>
    <w:rsid w:val="2DA02E45"/>
    <w:rsid w:val="2EA31A90"/>
    <w:rsid w:val="364D3CC2"/>
    <w:rsid w:val="42704709"/>
    <w:rsid w:val="485932CB"/>
    <w:rsid w:val="69B943FD"/>
    <w:rsid w:val="6A040A4C"/>
    <w:rsid w:val="6B591B67"/>
    <w:rsid w:val="6FA26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标4"/>
    <w:basedOn w:val="15"/>
    <w:next w:val="1"/>
    <w:qFormat/>
    <w:uiPriority w:val="0"/>
    <w:pPr>
      <w:spacing w:before="240"/>
      <w:outlineLvl w:val="3"/>
    </w:pPr>
    <w:rPr>
      <w:rFonts w:cs="Arial"/>
    </w:rPr>
  </w:style>
  <w:style w:type="paragraph" w:customStyle="1" w:styleId="15">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1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2023-02-28T15:35:11Z</dcterms:created>
  <dcterms:modified xsi:type="dcterms:W3CDTF">2023-02-28T07:35:11Z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2023-02-28T15:35:11Z</dcterms:created>
  <dcterms:modified xsi:type="dcterms:W3CDTF">2023-02-28T07:35:11Z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2023-02-28T15:35:11Z</dcterms:created>
  <dcterms:modified xsi:type="dcterms:W3CDTF">2023-02-28T07:35:11Z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2023-02-28T15:34:44Z</dcterms:created>
  <dcterms:modified xsi:type="dcterms:W3CDTF">2023-02-28T07:34:44Z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2023-02-28T15:34:41Z</dcterms:created>
  <dcterms:modified xsi:type="dcterms:W3CDTF">2023-02-28T07:34:41Z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2023-02-28T15:34:41Z</dcterms:created>
  <dcterms:modified xsi:type="dcterms:W3CDTF">2023-02-28T07:34:41Z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2023-02-28T15:34:40Z</dcterms:created>
  <dcterms:modified xsi:type="dcterms:W3CDTF">2023-02-28T07:34:39Z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2023-02-28T15:34:41Z</dcterms:created>
  <dcterms:modified xsi:type="dcterms:W3CDTF">2023-02-28T07:34:41Z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2023-02-28T15:34:40Z</dcterms:created>
  <dcterms:modified xsi:type="dcterms:W3CDTF">2023-02-28T07:34:40Z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2023-02-28T15:34:40Z</dcterms:created>
  <dcterms:modified xsi:type="dcterms:W3CDTF">2023-02-28T07:34:40Z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2023-02-28T15:35:12Z</dcterms:created>
  <dcterms:modified xsi:type="dcterms:W3CDTF">2023-02-28T07:35:12Z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b35b019-e52f-4fb6-baf4-b27ae16f3cc0}">
  <ds:schemaRefs/>
</ds:datastoreItem>
</file>

<file path=customXml/itemProps11.xml><?xml version="1.0" encoding="utf-8"?>
<ds:datastoreItem xmlns:ds="http://schemas.openxmlformats.org/officeDocument/2006/customXml" ds:itemID="{43cdff7a-48e0-4408-aaad-fa2de3a91d3b}">
  <ds:schemaRefs/>
</ds:datastoreItem>
</file>

<file path=customXml/itemProps12.xml><?xml version="1.0" encoding="utf-8"?>
<ds:datastoreItem xmlns:ds="http://schemas.openxmlformats.org/officeDocument/2006/customXml" ds:itemID="{b47e7411-77ea-4d21-b7e8-d5bf0ae0af16}">
  <ds:schemaRefs/>
</ds:datastoreItem>
</file>

<file path=customXml/itemProps13.xml><?xml version="1.0" encoding="utf-8"?>
<ds:datastoreItem xmlns:ds="http://schemas.openxmlformats.org/officeDocument/2006/customXml" ds:itemID="{a1fefe17-bb37-4edc-a129-e86518678b22}">
  <ds:schemaRefs/>
</ds:datastoreItem>
</file>

<file path=customXml/itemProps14.xml><?xml version="1.0" encoding="utf-8"?>
<ds:datastoreItem xmlns:ds="http://schemas.openxmlformats.org/officeDocument/2006/customXml" ds:itemID="{9d584d06-0081-4bc7-a188-100dc1301f0d}">
  <ds:schemaRefs/>
</ds:datastoreItem>
</file>

<file path=customXml/itemProps15.xml><?xml version="1.0" encoding="utf-8"?>
<ds:datastoreItem xmlns:ds="http://schemas.openxmlformats.org/officeDocument/2006/customXml" ds:itemID="{f379ffe1-5776-4405-bed2-70cda587133e}">
  <ds:schemaRefs/>
</ds:datastoreItem>
</file>

<file path=customXml/itemProps16.xml><?xml version="1.0" encoding="utf-8"?>
<ds:datastoreItem xmlns:ds="http://schemas.openxmlformats.org/officeDocument/2006/customXml" ds:itemID="{ca2f36d5-8c04-4b09-b537-69e03107c113}">
  <ds:schemaRefs/>
</ds:datastoreItem>
</file>

<file path=customXml/itemProps17.xml><?xml version="1.0" encoding="utf-8"?>
<ds:datastoreItem xmlns:ds="http://schemas.openxmlformats.org/officeDocument/2006/customXml" ds:itemID="{754d7f1f-cf8d-4e81-90df-6e3e9d12143a}">
  <ds:schemaRefs/>
</ds:datastoreItem>
</file>

<file path=customXml/itemProps18.xml><?xml version="1.0" encoding="utf-8"?>
<ds:datastoreItem xmlns:ds="http://schemas.openxmlformats.org/officeDocument/2006/customXml" ds:itemID="{ab91813f-6076-4c1b-a712-80954328d78b}">
  <ds:schemaRefs/>
</ds:datastoreItem>
</file>

<file path=customXml/itemProps19.xml><?xml version="1.0" encoding="utf-8"?>
<ds:datastoreItem xmlns:ds="http://schemas.openxmlformats.org/officeDocument/2006/customXml" ds:itemID="{f02bd645-36de-4a0e-bbae-e38c5c68af5d}">
  <ds:schemaRefs/>
</ds:datastoreItem>
</file>

<file path=customXml/itemProps2.xml><?xml version="1.0" encoding="utf-8"?>
<ds:datastoreItem xmlns:ds="http://schemas.openxmlformats.org/officeDocument/2006/customXml" ds:itemID="{8b14b9e1-d9b8-4a57-a254-562debdf44a6}">
  <ds:schemaRefs/>
</ds:datastoreItem>
</file>

<file path=customXml/itemProps20.xml><?xml version="1.0" encoding="utf-8"?>
<ds:datastoreItem xmlns:ds="http://schemas.openxmlformats.org/officeDocument/2006/customXml" ds:itemID="{d52c8143-8bb8-4f52-b826-80886220a227}">
  <ds:schemaRefs/>
</ds:datastoreItem>
</file>

<file path=customXml/itemProps21.xml><?xml version="1.0" encoding="utf-8"?>
<ds:datastoreItem xmlns:ds="http://schemas.openxmlformats.org/officeDocument/2006/customXml" ds:itemID="{8a568dfe-8904-4855-9b4b-e5919981c60e}">
  <ds:schemaRefs/>
</ds:datastoreItem>
</file>

<file path=customXml/itemProps22.xml><?xml version="1.0" encoding="utf-8"?>
<ds:datastoreItem xmlns:ds="http://schemas.openxmlformats.org/officeDocument/2006/customXml" ds:itemID="{4d2c978c-f783-4dd8-8b5a-384ab7a85bdd}">
  <ds:schemaRefs/>
</ds:datastoreItem>
</file>

<file path=customXml/itemProps23.xml><?xml version="1.0" encoding="utf-8"?>
<ds:datastoreItem xmlns:ds="http://schemas.openxmlformats.org/officeDocument/2006/customXml" ds:itemID="{14292942-c950-4483-b4bc-ba337df5b0e7}">
  <ds:schemaRefs/>
</ds:datastoreItem>
</file>

<file path=customXml/itemProps3.xml><?xml version="1.0" encoding="utf-8"?>
<ds:datastoreItem xmlns:ds="http://schemas.openxmlformats.org/officeDocument/2006/customXml" ds:itemID="{4b864666-7cb1-4d61-8dac-0d74736d7ae2}">
  <ds:schemaRefs/>
</ds:datastoreItem>
</file>

<file path=customXml/itemProps4.xml><?xml version="1.0" encoding="utf-8"?>
<ds:datastoreItem xmlns:ds="http://schemas.openxmlformats.org/officeDocument/2006/customXml" ds:itemID="{8191fa50-8ec4-4fb5-be20-c101c58abac6}">
  <ds:schemaRefs/>
</ds:datastoreItem>
</file>

<file path=customXml/itemProps5.xml><?xml version="1.0" encoding="utf-8"?>
<ds:datastoreItem xmlns:ds="http://schemas.openxmlformats.org/officeDocument/2006/customXml" ds:itemID="{9509ad85-51e3-4e44-a5c5-430a05131c82}">
  <ds:schemaRefs/>
</ds:datastoreItem>
</file>

<file path=customXml/itemProps6.xml><?xml version="1.0" encoding="utf-8"?>
<ds:datastoreItem xmlns:ds="http://schemas.openxmlformats.org/officeDocument/2006/customXml" ds:itemID="{4c3f8f8c-632b-4543-8059-d187dc9f523e}">
  <ds:schemaRefs/>
</ds:datastoreItem>
</file>

<file path=customXml/itemProps7.xml><?xml version="1.0" encoding="utf-8"?>
<ds:datastoreItem xmlns:ds="http://schemas.openxmlformats.org/officeDocument/2006/customXml" ds:itemID="{a85e9237-a18c-49e4-85a0-109faf8afb23}">
  <ds:schemaRefs/>
</ds:datastoreItem>
</file>

<file path=customXml/itemProps8.xml><?xml version="1.0" encoding="utf-8"?>
<ds:datastoreItem xmlns:ds="http://schemas.openxmlformats.org/officeDocument/2006/customXml" ds:itemID="{d453c1b9-3bd4-4b00-95ee-2f3d9ac1f10a}">
  <ds:schemaRefs/>
</ds:datastoreItem>
</file>

<file path=customXml/itemProps9.xml><?xml version="1.0" encoding="utf-8"?>
<ds:datastoreItem xmlns:ds="http://schemas.openxmlformats.org/officeDocument/2006/customXml" ds:itemID="{93bc109a-54d5-4a89-b8f4-69651ee9a4bc}">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2023-02-28T15:35:00Z</dcterms:created>
  <dc:creator>lenovo</dc:creator>
  <cp:lastModifiedBy>DELL</cp:lastModifiedBy>
  <dcterms:modified xsi:type="dcterms:W3CDTF">2024-03-19T07:11:38Z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