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color w:val="auto"/>
        </w:rPr>
      </w:pPr>
      <w:r>
        <w:rPr>
          <w:rFonts w:ascii="黑体" w:hAnsi="黑体" w:eastAsia="黑体" w:cs="黑体"/>
          <w:b/>
          <w:color w:val="auto"/>
          <w:sz w:val="44"/>
        </w:rPr>
        <w:t>2023年</w:t>
      </w:r>
      <w:r>
        <w:rPr>
          <w:rFonts w:hint="default" w:ascii="黑体" w:hAnsi="黑体" w:eastAsia="黑体" w:cs="黑体"/>
          <w:b/>
          <w:color w:val="auto"/>
          <w:sz w:val="44"/>
          <w:lang w:eastAsia="zh-CN"/>
        </w:rPr>
        <w:t>单位</w:t>
      </w:r>
      <w:r>
        <w:rPr>
          <w:rFonts w:ascii="黑体" w:hAnsi="黑体" w:eastAsia="黑体" w:cs="黑体"/>
          <w:b/>
          <w:color w:val="auto"/>
          <w:sz w:val="44"/>
        </w:rPr>
        <w:t>预算信息公开目录</w:t>
      </w:r>
    </w:p>
    <w:p>
      <w:pPr>
        <w:spacing w:before="0" w:after="0" w:line="240" w:lineRule="auto"/>
        <w:ind w:firstLine="0"/>
        <w:jc w:val="left"/>
        <w:outlineLvl w:val="9"/>
        <w:rPr>
          <w:color w:val="auto"/>
        </w:rPr>
      </w:pPr>
      <w:r>
        <w:rPr>
          <w:rFonts w:hint="default" w:ascii="方正楷体_GBK" w:hAnsi="方正楷体_GBK" w:eastAsia="方正楷体_GBK" w:cs="方正楷体_GBK"/>
          <w:b/>
          <w:color w:val="auto"/>
          <w:sz w:val="28"/>
          <w:lang w:eastAsia="zh-CN"/>
        </w:rPr>
        <w:t>单位</w:t>
      </w:r>
      <w:r>
        <w:rPr>
          <w:rFonts w:ascii="方正楷体_GBK" w:hAnsi="方正楷体_GBK" w:eastAsia="方正楷体_GBK" w:cs="方正楷体_GBK"/>
          <w:b/>
          <w:color w:val="auto"/>
          <w:sz w:val="28"/>
        </w:rPr>
        <w:t>预算公开表</w:t>
      </w:r>
    </w:p>
    <w:p>
      <w:pPr>
        <w:pStyle w:val="5"/>
        <w:tabs>
          <w:tab w:val="right" w:leader="dot" w:pos="14562"/>
        </w:tabs>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TOC \o "2-2" \h \z \u</w:instrText>
      </w:r>
      <w:r>
        <w:rPr>
          <w:rFonts w:hint="eastAsia" w:ascii="方正仿宋简体" w:hAnsi="方正仿宋简体" w:eastAsia="方正仿宋简体" w:cs="方正仿宋简体"/>
          <w:color w:val="auto"/>
          <w:sz w:val="32"/>
          <w:szCs w:val="32"/>
        </w:rPr>
        <w:fldChar w:fldCharType="separate"/>
      </w: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\l "_Toc_2_2_0000000001" </w:instrText>
      </w:r>
      <w:r>
        <w:rPr>
          <w:rFonts w:hint="eastAsia" w:ascii="方正仿宋简体" w:hAnsi="方正仿宋简体" w:eastAsia="方正仿宋简体" w:cs="方正仿宋简体"/>
          <w:color w:val="auto"/>
          <w:sz w:val="32"/>
          <w:szCs w:val="32"/>
        </w:rPr>
        <w:fldChar w:fldCharType="separate"/>
      </w:r>
      <w:r>
        <w:rPr>
          <w:rFonts w:hint="eastAsia" w:ascii="方正仿宋简体" w:hAnsi="方正仿宋简体" w:eastAsia="方正仿宋简体" w:cs="方正仿宋简体"/>
          <w:color w:val="auto"/>
          <w:sz w:val="32"/>
          <w:szCs w:val="32"/>
        </w:rPr>
        <w:t>单位预算收支总表</w:t>
      </w:r>
      <w:r>
        <w:rPr>
          <w:rFonts w:hint="eastAsia" w:ascii="方正仿宋简体" w:hAnsi="方正仿宋简体" w:eastAsia="方正仿宋简体" w:cs="方正仿宋简体"/>
          <w:color w:val="auto"/>
          <w:sz w:val="32"/>
          <w:szCs w:val="32"/>
        </w:rPr>
        <w:tab/>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fldChar w:fldCharType="end"/>
      </w:r>
    </w:p>
    <w:p>
      <w:pPr>
        <w:pStyle w:val="5"/>
        <w:tabs>
          <w:tab w:val="right" w:leader="dot" w:pos="14562"/>
        </w:tabs>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\l "_Toc_2_2_0000000002" </w:instrText>
      </w:r>
      <w:r>
        <w:rPr>
          <w:rFonts w:hint="eastAsia" w:ascii="方正仿宋简体" w:hAnsi="方正仿宋简体" w:eastAsia="方正仿宋简体" w:cs="方正仿宋简体"/>
          <w:color w:val="auto"/>
          <w:sz w:val="32"/>
          <w:szCs w:val="32"/>
        </w:rPr>
        <w:fldChar w:fldCharType="separate"/>
      </w:r>
      <w:r>
        <w:rPr>
          <w:rFonts w:hint="eastAsia" w:ascii="方正仿宋简体" w:hAnsi="方正仿宋简体" w:eastAsia="方正仿宋简体" w:cs="方正仿宋简体"/>
          <w:color w:val="auto"/>
          <w:sz w:val="32"/>
          <w:szCs w:val="32"/>
        </w:rPr>
        <w:t>单位预算收入总表</w:t>
      </w:r>
      <w:r>
        <w:rPr>
          <w:rFonts w:hint="eastAsia" w:ascii="方正仿宋简体" w:hAnsi="方正仿宋简体" w:eastAsia="方正仿宋简体" w:cs="方正仿宋简体"/>
          <w:color w:val="auto"/>
          <w:sz w:val="32"/>
          <w:szCs w:val="32"/>
        </w:rPr>
        <w:tab/>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rPr>
        <w:fldChar w:fldCharType="end"/>
      </w:r>
    </w:p>
    <w:p>
      <w:pPr>
        <w:pStyle w:val="5"/>
        <w:tabs>
          <w:tab w:val="right" w:leader="dot" w:pos="14562"/>
        </w:tabs>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\l "_Toc_2_2_0000000003" </w:instrText>
      </w:r>
      <w:r>
        <w:rPr>
          <w:rFonts w:hint="eastAsia" w:ascii="方正仿宋简体" w:hAnsi="方正仿宋简体" w:eastAsia="方正仿宋简体" w:cs="方正仿宋简体"/>
          <w:color w:val="auto"/>
          <w:sz w:val="32"/>
          <w:szCs w:val="32"/>
        </w:rPr>
        <w:fldChar w:fldCharType="separate"/>
      </w:r>
      <w:r>
        <w:rPr>
          <w:rFonts w:hint="eastAsia" w:ascii="方正仿宋简体" w:hAnsi="方正仿宋简体" w:eastAsia="方正仿宋简体" w:cs="方正仿宋简体"/>
          <w:color w:val="auto"/>
          <w:sz w:val="32"/>
          <w:szCs w:val="32"/>
        </w:rPr>
        <w:t>单位预算支出总表</w:t>
      </w:r>
      <w:r>
        <w:rPr>
          <w:rFonts w:hint="eastAsia" w:ascii="方正仿宋简体" w:hAnsi="方正仿宋简体" w:eastAsia="方正仿宋简体" w:cs="方正仿宋简体"/>
          <w:color w:val="auto"/>
          <w:sz w:val="32"/>
          <w:szCs w:val="32"/>
        </w:rPr>
        <w:tab/>
      </w:r>
      <w:r>
        <w:rPr>
          <w:rFonts w:hint="eastAsia" w:ascii="方正仿宋简体" w:hAnsi="方正仿宋简体" w:eastAsia="方正仿宋简体" w:cs="方正仿宋简体"/>
          <w:color w:val="auto"/>
          <w:sz w:val="32"/>
          <w:szCs w:val="32"/>
          <w:lang w:val="en-US" w:eastAsia="zh-CN"/>
        </w:rPr>
        <w:t>6</w:t>
      </w:r>
      <w:r>
        <w:rPr>
          <w:rFonts w:hint="eastAsia" w:ascii="方正仿宋简体" w:hAnsi="方正仿宋简体" w:eastAsia="方正仿宋简体" w:cs="方正仿宋简体"/>
          <w:color w:val="auto"/>
          <w:sz w:val="32"/>
          <w:szCs w:val="32"/>
        </w:rPr>
        <w:fldChar w:fldCharType="end"/>
      </w:r>
    </w:p>
    <w:p>
      <w:pPr>
        <w:pStyle w:val="5"/>
        <w:tabs>
          <w:tab w:val="right" w:leader="dot" w:pos="14562"/>
        </w:tabs>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\l "_Toc_2_2_0000000004" </w:instrText>
      </w:r>
      <w:r>
        <w:rPr>
          <w:rFonts w:hint="eastAsia" w:ascii="方正仿宋简体" w:hAnsi="方正仿宋简体" w:eastAsia="方正仿宋简体" w:cs="方正仿宋简体"/>
          <w:color w:val="auto"/>
          <w:sz w:val="32"/>
          <w:szCs w:val="32"/>
        </w:rPr>
        <w:fldChar w:fldCharType="separate"/>
      </w:r>
      <w:r>
        <w:rPr>
          <w:rFonts w:hint="eastAsia" w:ascii="方正仿宋简体" w:hAnsi="方正仿宋简体" w:eastAsia="方正仿宋简体" w:cs="方正仿宋简体"/>
          <w:color w:val="auto"/>
          <w:sz w:val="32"/>
          <w:szCs w:val="32"/>
        </w:rPr>
        <w:t>单位预算财政拨款收支总表</w:t>
      </w:r>
      <w:r>
        <w:rPr>
          <w:rFonts w:hint="eastAsia" w:ascii="方正仿宋简体" w:hAnsi="方正仿宋简体" w:eastAsia="方正仿宋简体" w:cs="方正仿宋简体"/>
          <w:color w:val="auto"/>
          <w:sz w:val="32"/>
          <w:szCs w:val="32"/>
        </w:rPr>
        <w:tab/>
      </w:r>
      <w:r>
        <w:rPr>
          <w:rFonts w:hint="eastAsia" w:ascii="方正仿宋简体" w:hAnsi="方正仿宋简体" w:eastAsia="方正仿宋简体" w:cs="方正仿宋简体"/>
          <w:color w:val="auto"/>
          <w:sz w:val="32"/>
          <w:szCs w:val="32"/>
        </w:rPr>
        <w:fldChar w:fldCharType="end"/>
      </w:r>
      <w:r>
        <w:rPr>
          <w:rFonts w:hint="eastAsia" w:ascii="方正仿宋简体" w:hAnsi="方正仿宋简体" w:eastAsia="方正仿宋简体" w:cs="方正仿宋简体"/>
          <w:color w:val="auto"/>
          <w:sz w:val="32"/>
          <w:szCs w:val="32"/>
          <w:lang w:val="en-US" w:eastAsia="zh-CN"/>
        </w:rPr>
        <w:t>8</w:t>
      </w:r>
    </w:p>
    <w:p>
      <w:pPr>
        <w:pStyle w:val="5"/>
        <w:tabs>
          <w:tab w:val="right" w:leader="dot" w:pos="14562"/>
        </w:tabs>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\l "_Toc_2_2_0000000005" </w:instrText>
      </w:r>
      <w:r>
        <w:rPr>
          <w:rFonts w:hint="eastAsia" w:ascii="方正仿宋简体" w:hAnsi="方正仿宋简体" w:eastAsia="方正仿宋简体" w:cs="方正仿宋简体"/>
          <w:color w:val="auto"/>
          <w:sz w:val="32"/>
          <w:szCs w:val="32"/>
        </w:rPr>
        <w:fldChar w:fldCharType="separate"/>
      </w:r>
      <w:r>
        <w:rPr>
          <w:rFonts w:hint="eastAsia" w:ascii="方正仿宋简体" w:hAnsi="方正仿宋简体" w:eastAsia="方正仿宋简体" w:cs="方正仿宋简体"/>
          <w:color w:val="auto"/>
          <w:sz w:val="32"/>
          <w:szCs w:val="32"/>
        </w:rPr>
        <w:t>单位预算一般公共预算财政拨款支出表</w:t>
      </w:r>
      <w:r>
        <w:rPr>
          <w:rFonts w:hint="eastAsia" w:ascii="方正仿宋简体" w:hAnsi="方正仿宋简体" w:eastAsia="方正仿宋简体" w:cs="方正仿宋简体"/>
          <w:color w:val="auto"/>
          <w:sz w:val="32"/>
          <w:szCs w:val="32"/>
        </w:rPr>
        <w:tab/>
      </w:r>
      <w:r>
        <w:rPr>
          <w:rFonts w:hint="eastAsia" w:ascii="方正仿宋简体" w:hAnsi="方正仿宋简体" w:eastAsia="方正仿宋简体" w:cs="方正仿宋简体"/>
          <w:color w:val="auto"/>
          <w:sz w:val="32"/>
          <w:szCs w:val="32"/>
        </w:rPr>
        <w:fldChar w:fldCharType="end"/>
      </w:r>
      <w:r>
        <w:rPr>
          <w:rFonts w:hint="eastAsia" w:ascii="方正仿宋简体" w:hAnsi="方正仿宋简体" w:eastAsia="方正仿宋简体" w:cs="方正仿宋简体"/>
          <w:color w:val="auto"/>
          <w:sz w:val="32"/>
          <w:szCs w:val="32"/>
          <w:lang w:val="en-US" w:eastAsia="zh-CN"/>
        </w:rPr>
        <w:t>12</w:t>
      </w:r>
    </w:p>
    <w:p>
      <w:pPr>
        <w:pStyle w:val="5"/>
        <w:tabs>
          <w:tab w:val="right" w:leader="dot" w:pos="14562"/>
        </w:tabs>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\l "_Toc_2_2_0000000006" </w:instrText>
      </w:r>
      <w:r>
        <w:rPr>
          <w:rFonts w:hint="eastAsia" w:ascii="方正仿宋简体" w:hAnsi="方正仿宋简体" w:eastAsia="方正仿宋简体" w:cs="方正仿宋简体"/>
          <w:color w:val="auto"/>
          <w:sz w:val="32"/>
          <w:szCs w:val="32"/>
        </w:rPr>
        <w:fldChar w:fldCharType="separate"/>
      </w:r>
      <w:r>
        <w:rPr>
          <w:rFonts w:hint="eastAsia" w:ascii="方正仿宋简体" w:hAnsi="方正仿宋简体" w:eastAsia="方正仿宋简体" w:cs="方正仿宋简体"/>
          <w:color w:val="auto"/>
          <w:sz w:val="32"/>
          <w:szCs w:val="32"/>
        </w:rPr>
        <w:t>单位预算一般公共预算财政拨款基本支出表</w:t>
      </w:r>
      <w:r>
        <w:rPr>
          <w:rFonts w:hint="eastAsia" w:ascii="方正仿宋简体" w:hAnsi="方正仿宋简体" w:eastAsia="方正仿宋简体" w:cs="方正仿宋简体"/>
          <w:color w:val="auto"/>
          <w:sz w:val="32"/>
          <w:szCs w:val="32"/>
        </w:rPr>
        <w:tab/>
      </w:r>
      <w:r>
        <w:rPr>
          <w:rFonts w:hint="eastAsia" w:ascii="方正仿宋简体" w:hAnsi="方正仿宋简体" w:eastAsia="方正仿宋简体" w:cs="方正仿宋简体"/>
          <w:color w:val="auto"/>
          <w:sz w:val="32"/>
          <w:szCs w:val="32"/>
        </w:rPr>
        <w:fldChar w:fldCharType="end"/>
      </w:r>
      <w:r>
        <w:rPr>
          <w:rFonts w:hint="eastAsia" w:ascii="方正仿宋简体" w:hAnsi="方正仿宋简体" w:eastAsia="方正仿宋简体" w:cs="方正仿宋简体"/>
          <w:color w:val="auto"/>
          <w:sz w:val="32"/>
          <w:szCs w:val="32"/>
          <w:lang w:val="en-US" w:eastAsia="zh-CN"/>
        </w:rPr>
        <w:t>13</w:t>
      </w:r>
    </w:p>
    <w:p>
      <w:pPr>
        <w:pStyle w:val="5"/>
        <w:tabs>
          <w:tab w:val="right" w:leader="dot" w:pos="14562"/>
        </w:tabs>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\l "_Toc_2_2_0000000007" </w:instrText>
      </w:r>
      <w:r>
        <w:rPr>
          <w:rFonts w:hint="eastAsia" w:ascii="方正仿宋简体" w:hAnsi="方正仿宋简体" w:eastAsia="方正仿宋简体" w:cs="方正仿宋简体"/>
          <w:color w:val="auto"/>
          <w:sz w:val="32"/>
          <w:szCs w:val="32"/>
        </w:rPr>
        <w:fldChar w:fldCharType="separate"/>
      </w:r>
      <w:r>
        <w:rPr>
          <w:rFonts w:hint="eastAsia" w:ascii="方正仿宋简体" w:hAnsi="方正仿宋简体" w:eastAsia="方正仿宋简体" w:cs="方正仿宋简体"/>
          <w:color w:val="auto"/>
          <w:sz w:val="32"/>
          <w:szCs w:val="32"/>
        </w:rPr>
        <w:t>单位预算政府基金预算财政拨款支出表</w:t>
      </w:r>
      <w:r>
        <w:rPr>
          <w:rFonts w:hint="eastAsia" w:ascii="方正仿宋简体" w:hAnsi="方正仿宋简体" w:eastAsia="方正仿宋简体" w:cs="方正仿宋简体"/>
          <w:color w:val="auto"/>
          <w:sz w:val="32"/>
          <w:szCs w:val="32"/>
        </w:rPr>
        <w:tab/>
      </w:r>
      <w:r>
        <w:rPr>
          <w:rFonts w:hint="eastAsia" w:ascii="方正仿宋简体" w:hAnsi="方正仿宋简体" w:eastAsia="方正仿宋简体" w:cs="方正仿宋简体"/>
          <w:color w:val="auto"/>
          <w:sz w:val="32"/>
          <w:szCs w:val="32"/>
        </w:rPr>
        <w:fldChar w:fldCharType="end"/>
      </w:r>
      <w:r>
        <w:rPr>
          <w:rFonts w:hint="eastAsia" w:ascii="方正仿宋简体" w:hAnsi="方正仿宋简体" w:eastAsia="方正仿宋简体" w:cs="方正仿宋简体"/>
          <w:color w:val="auto"/>
          <w:sz w:val="32"/>
          <w:szCs w:val="32"/>
          <w:lang w:val="en-US" w:eastAsia="zh-CN"/>
        </w:rPr>
        <w:t>15</w:t>
      </w:r>
    </w:p>
    <w:p>
      <w:pPr>
        <w:pStyle w:val="5"/>
        <w:tabs>
          <w:tab w:val="right" w:leader="dot" w:pos="14562"/>
        </w:tabs>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\l "_Toc_2_2_0000000008" </w:instrText>
      </w:r>
      <w:r>
        <w:rPr>
          <w:rFonts w:hint="eastAsia" w:ascii="方正仿宋简体" w:hAnsi="方正仿宋简体" w:eastAsia="方正仿宋简体" w:cs="方正仿宋简体"/>
          <w:color w:val="auto"/>
          <w:sz w:val="32"/>
          <w:szCs w:val="32"/>
        </w:rPr>
        <w:fldChar w:fldCharType="separate"/>
      </w:r>
      <w:r>
        <w:rPr>
          <w:rFonts w:hint="eastAsia" w:ascii="方正仿宋简体" w:hAnsi="方正仿宋简体" w:eastAsia="方正仿宋简体" w:cs="方正仿宋简体"/>
          <w:color w:val="auto"/>
          <w:sz w:val="32"/>
          <w:szCs w:val="32"/>
        </w:rPr>
        <w:t>单位预算国有资本经营预算财政拨款支出表</w:t>
      </w:r>
      <w:r>
        <w:rPr>
          <w:rFonts w:hint="eastAsia" w:ascii="方正仿宋简体" w:hAnsi="方正仿宋简体" w:eastAsia="方正仿宋简体" w:cs="方正仿宋简体"/>
          <w:color w:val="auto"/>
          <w:sz w:val="32"/>
          <w:szCs w:val="32"/>
        </w:rPr>
        <w:tab/>
      </w:r>
      <w:r>
        <w:rPr>
          <w:rFonts w:hint="eastAsia" w:ascii="方正仿宋简体" w:hAnsi="方正仿宋简体" w:eastAsia="方正仿宋简体" w:cs="方正仿宋简体"/>
          <w:color w:val="auto"/>
          <w:sz w:val="32"/>
          <w:szCs w:val="32"/>
        </w:rPr>
        <w:fldChar w:fldCharType="end"/>
      </w:r>
      <w:r>
        <w:rPr>
          <w:rFonts w:hint="eastAsia" w:ascii="方正仿宋简体" w:hAnsi="方正仿宋简体" w:eastAsia="方正仿宋简体" w:cs="方正仿宋简体"/>
          <w:color w:val="auto"/>
          <w:sz w:val="32"/>
          <w:szCs w:val="32"/>
          <w:lang w:val="en-US" w:eastAsia="zh-CN"/>
        </w:rPr>
        <w:t>16</w:t>
      </w:r>
    </w:p>
    <w:p>
      <w:pPr>
        <w:pStyle w:val="5"/>
        <w:tabs>
          <w:tab w:val="right" w:leader="dot" w:pos="14562"/>
        </w:tabs>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\l "_Toc_2_2_0000000009" </w:instrText>
      </w:r>
      <w:r>
        <w:rPr>
          <w:rFonts w:hint="eastAsia" w:ascii="方正仿宋简体" w:hAnsi="方正仿宋简体" w:eastAsia="方正仿宋简体" w:cs="方正仿宋简体"/>
          <w:color w:val="auto"/>
          <w:sz w:val="32"/>
          <w:szCs w:val="32"/>
        </w:rPr>
        <w:fldChar w:fldCharType="separate"/>
      </w:r>
      <w:r>
        <w:rPr>
          <w:rFonts w:hint="eastAsia" w:ascii="方正仿宋简体" w:hAnsi="方正仿宋简体" w:eastAsia="方正仿宋简体" w:cs="方正仿宋简体"/>
          <w:color w:val="auto"/>
          <w:sz w:val="32"/>
          <w:szCs w:val="32"/>
        </w:rPr>
        <w:t>单位预算财政拨款“三公”经费支出表</w:t>
      </w:r>
      <w:r>
        <w:rPr>
          <w:rFonts w:hint="eastAsia" w:ascii="方正仿宋简体" w:hAnsi="方正仿宋简体" w:eastAsia="方正仿宋简体" w:cs="方正仿宋简体"/>
          <w:color w:val="auto"/>
          <w:sz w:val="32"/>
          <w:szCs w:val="32"/>
        </w:rPr>
        <w:tab/>
      </w:r>
      <w:r>
        <w:rPr>
          <w:rFonts w:hint="eastAsia" w:ascii="方正仿宋简体" w:hAnsi="方正仿宋简体" w:eastAsia="方正仿宋简体" w:cs="方正仿宋简体"/>
          <w:color w:val="auto"/>
          <w:sz w:val="32"/>
          <w:szCs w:val="32"/>
        </w:rPr>
        <w:fldChar w:fldCharType="end"/>
      </w:r>
      <w:r>
        <w:rPr>
          <w:rFonts w:hint="eastAsia" w:ascii="方正仿宋简体" w:hAnsi="方正仿宋简体" w:eastAsia="方正仿宋简体" w:cs="方正仿宋简体"/>
          <w:color w:val="auto"/>
          <w:sz w:val="32"/>
          <w:szCs w:val="32"/>
          <w:lang w:val="en-US" w:eastAsia="zh-CN"/>
        </w:rPr>
        <w:t>17</w:t>
      </w:r>
    </w:p>
    <w:p>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fldChar w:fldCharType="end"/>
      </w:r>
    </w:p>
    <w:p>
      <w:pPr>
        <w:spacing w:before="0" w:after="0" w:line="240" w:lineRule="auto"/>
        <w:ind w:firstLine="0"/>
        <w:jc w:val="left"/>
        <w:outlineLvl w:val="9"/>
        <w:rPr>
          <w:color w:val="auto"/>
        </w:rPr>
      </w:pPr>
      <w:r>
        <w:rPr>
          <w:rFonts w:hint="eastAsia" w:ascii="方正楷体_GBK" w:hAnsi="方正楷体_GBK" w:eastAsia="方正楷体_GBK" w:cs="方正楷体_GBK"/>
          <w:b/>
          <w:color w:val="auto"/>
          <w:sz w:val="28"/>
          <w:lang w:eastAsia="zh-CN"/>
        </w:rPr>
        <w:t>单位</w:t>
      </w:r>
      <w:r>
        <w:rPr>
          <w:rFonts w:ascii="方正楷体_GBK" w:hAnsi="方正楷体_GBK" w:eastAsia="方正楷体_GBK" w:cs="方正楷体_GBK"/>
          <w:b/>
          <w:color w:val="auto"/>
          <w:sz w:val="28"/>
        </w:rPr>
        <w:t>预算信息公开情况说明</w:t>
      </w:r>
    </w:p>
    <w:p>
      <w:pPr>
        <w:pStyle w:val="5"/>
        <w:tabs>
          <w:tab w:val="right" w:leader="dot" w:pos="14562"/>
        </w:tabs>
        <w:rPr>
          <w:rFonts w:hint="default" w:ascii="方正仿宋简体" w:hAnsi="方正仿宋简体" w:eastAsia="方正仿宋简体" w:cs="方正仿宋简体"/>
          <w:color w:val="auto"/>
          <w:sz w:val="32"/>
          <w:szCs w:val="32"/>
          <w:lang w:val="en-US" w:eastAsia="zh-CN"/>
        </w:rPr>
      </w:pPr>
      <w:r>
        <w:rPr>
          <w:color w:val="auto"/>
        </w:rPr>
        <w:fldChar w:fldCharType="begin"/>
      </w:r>
      <w:r>
        <w:rPr>
          <w:color w:val="auto"/>
        </w:rPr>
        <w:instrText xml:space="preserve">TOC \o "3-3" \h \z \u</w:instrText>
      </w:r>
      <w:r>
        <w:rPr>
          <w:color w:val="auto"/>
        </w:rPr>
        <w:fldChar w:fldCharType="separate"/>
      </w: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\l "_Toc_3_3_0000000010" </w:instrText>
      </w:r>
      <w:r>
        <w:rPr>
          <w:rFonts w:hint="eastAsia" w:ascii="方正仿宋简体" w:hAnsi="方正仿宋简体" w:eastAsia="方正仿宋简体" w:cs="方正仿宋简体"/>
          <w:color w:val="auto"/>
          <w:sz w:val="32"/>
          <w:szCs w:val="32"/>
        </w:rPr>
        <w:fldChar w:fldCharType="separate"/>
      </w:r>
      <w:r>
        <w:rPr>
          <w:rFonts w:hint="eastAsia" w:ascii="方正仿宋简体" w:hAnsi="方正仿宋简体" w:eastAsia="方正仿宋简体" w:cs="方正仿宋简体"/>
          <w:color w:val="auto"/>
          <w:sz w:val="32"/>
          <w:szCs w:val="32"/>
        </w:rPr>
        <w:t>一、单位职责及机构设置情况</w:t>
      </w:r>
      <w:r>
        <w:rPr>
          <w:rFonts w:hint="eastAsia" w:ascii="方正仿宋简体" w:hAnsi="方正仿宋简体" w:eastAsia="方正仿宋简体" w:cs="方正仿宋简体"/>
          <w:color w:val="auto"/>
          <w:sz w:val="32"/>
          <w:szCs w:val="32"/>
        </w:rPr>
        <w:tab/>
      </w:r>
      <w:r>
        <w:rPr>
          <w:rFonts w:hint="eastAsia" w:ascii="方正仿宋简体" w:hAnsi="方正仿宋简体" w:eastAsia="方正仿宋简体" w:cs="方正仿宋简体"/>
          <w:color w:val="auto"/>
          <w:sz w:val="32"/>
          <w:szCs w:val="32"/>
        </w:rPr>
        <w:fldChar w:fldCharType="end"/>
      </w:r>
      <w:r>
        <w:rPr>
          <w:rFonts w:hint="eastAsia" w:ascii="方正仿宋简体" w:hAnsi="方正仿宋简体" w:eastAsia="方正仿宋简体" w:cs="方正仿宋简体"/>
          <w:color w:val="auto"/>
          <w:sz w:val="32"/>
          <w:szCs w:val="32"/>
          <w:lang w:val="en-US" w:eastAsia="zh-CN"/>
        </w:rPr>
        <w:t>18</w:t>
      </w:r>
    </w:p>
    <w:p>
      <w:pPr>
        <w:pStyle w:val="5"/>
        <w:tabs>
          <w:tab w:val="right" w:leader="dot" w:pos="14562"/>
        </w:tabs>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\l "_Toc_3_3_0000000011" </w:instrText>
      </w:r>
      <w:r>
        <w:rPr>
          <w:rFonts w:hint="eastAsia" w:ascii="方正仿宋简体" w:hAnsi="方正仿宋简体" w:eastAsia="方正仿宋简体" w:cs="方正仿宋简体"/>
          <w:color w:val="auto"/>
          <w:sz w:val="32"/>
          <w:szCs w:val="32"/>
        </w:rPr>
        <w:fldChar w:fldCharType="separate"/>
      </w:r>
      <w:r>
        <w:rPr>
          <w:rFonts w:hint="eastAsia" w:ascii="方正仿宋简体" w:hAnsi="方正仿宋简体" w:eastAsia="方正仿宋简体" w:cs="方正仿宋简体"/>
          <w:color w:val="auto"/>
          <w:sz w:val="32"/>
          <w:szCs w:val="32"/>
        </w:rPr>
        <w:t>二、单位预算安排的总体情况</w:t>
      </w:r>
      <w:r>
        <w:rPr>
          <w:rFonts w:hint="eastAsia" w:ascii="方正仿宋简体" w:hAnsi="方正仿宋简体" w:eastAsia="方正仿宋简体" w:cs="方正仿宋简体"/>
          <w:color w:val="auto"/>
          <w:sz w:val="32"/>
          <w:szCs w:val="32"/>
        </w:rPr>
        <w:tab/>
      </w:r>
      <w:r>
        <w:rPr>
          <w:rFonts w:hint="eastAsia" w:ascii="方正仿宋简体" w:hAnsi="方正仿宋简体" w:eastAsia="方正仿宋简体" w:cs="方正仿宋简体"/>
          <w:color w:val="auto"/>
          <w:sz w:val="32"/>
          <w:szCs w:val="32"/>
        </w:rPr>
        <w:fldChar w:fldCharType="end"/>
      </w:r>
      <w:r>
        <w:rPr>
          <w:rFonts w:hint="eastAsia" w:ascii="方正仿宋简体" w:hAnsi="方正仿宋简体" w:eastAsia="方正仿宋简体" w:cs="方正仿宋简体"/>
          <w:color w:val="auto"/>
          <w:sz w:val="32"/>
          <w:szCs w:val="32"/>
          <w:lang w:val="en-US" w:eastAsia="zh-CN"/>
        </w:rPr>
        <w:t>23</w:t>
      </w:r>
    </w:p>
    <w:p>
      <w:pPr>
        <w:pStyle w:val="5"/>
        <w:tabs>
          <w:tab w:val="right" w:leader="dot" w:pos="14562"/>
        </w:tabs>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\l "_Toc_3_3_0000000012" </w:instrText>
      </w:r>
      <w:r>
        <w:rPr>
          <w:rFonts w:hint="eastAsia" w:ascii="方正仿宋简体" w:hAnsi="方正仿宋简体" w:eastAsia="方正仿宋简体" w:cs="方正仿宋简体"/>
          <w:color w:val="auto"/>
          <w:sz w:val="32"/>
          <w:szCs w:val="32"/>
        </w:rPr>
        <w:fldChar w:fldCharType="separate"/>
      </w:r>
      <w:r>
        <w:rPr>
          <w:rFonts w:hint="eastAsia" w:ascii="方正仿宋简体" w:hAnsi="方正仿宋简体" w:eastAsia="方正仿宋简体" w:cs="方正仿宋简体"/>
          <w:color w:val="auto"/>
          <w:sz w:val="32"/>
          <w:szCs w:val="32"/>
        </w:rPr>
        <w:t>三、机关运行经费安排情况</w:t>
      </w:r>
      <w:r>
        <w:rPr>
          <w:rFonts w:hint="eastAsia" w:ascii="方正仿宋简体" w:hAnsi="方正仿宋简体" w:eastAsia="方正仿宋简体" w:cs="方正仿宋简体"/>
          <w:color w:val="auto"/>
          <w:sz w:val="32"/>
          <w:szCs w:val="32"/>
        </w:rPr>
        <w:tab/>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rPr>
        <w:fldChar w:fldCharType="end"/>
      </w:r>
      <w:r>
        <w:rPr>
          <w:rFonts w:hint="eastAsia" w:ascii="方正仿宋简体" w:hAnsi="方正仿宋简体" w:eastAsia="方正仿宋简体" w:cs="方正仿宋简体"/>
          <w:color w:val="auto"/>
          <w:sz w:val="32"/>
          <w:szCs w:val="32"/>
          <w:lang w:val="en-US" w:eastAsia="zh-CN"/>
        </w:rPr>
        <w:t>5</w:t>
      </w:r>
    </w:p>
    <w:p>
      <w:pPr>
        <w:pStyle w:val="5"/>
        <w:tabs>
          <w:tab w:val="right" w:leader="dot" w:pos="14562"/>
        </w:tabs>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\l "_Toc_3_3_0000000013" </w:instrText>
      </w:r>
      <w:r>
        <w:rPr>
          <w:rFonts w:hint="eastAsia" w:ascii="方正仿宋简体" w:hAnsi="方正仿宋简体" w:eastAsia="方正仿宋简体" w:cs="方正仿宋简体"/>
          <w:color w:val="auto"/>
          <w:sz w:val="32"/>
          <w:szCs w:val="32"/>
        </w:rPr>
        <w:fldChar w:fldCharType="separate"/>
      </w:r>
      <w:r>
        <w:rPr>
          <w:rFonts w:hint="eastAsia" w:ascii="方正仿宋简体" w:hAnsi="方正仿宋简体" w:eastAsia="方正仿宋简体" w:cs="方正仿宋简体"/>
          <w:color w:val="auto"/>
          <w:sz w:val="32"/>
          <w:szCs w:val="32"/>
        </w:rPr>
        <w:t>四、财政拨款“三公”经费预算情况及增减变化原因</w:t>
      </w:r>
      <w:r>
        <w:rPr>
          <w:rFonts w:hint="eastAsia" w:ascii="方正仿宋简体" w:hAnsi="方正仿宋简体" w:eastAsia="方正仿宋简体" w:cs="方正仿宋简体"/>
          <w:color w:val="auto"/>
          <w:sz w:val="32"/>
          <w:szCs w:val="32"/>
        </w:rPr>
        <w:tab/>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rPr>
        <w:fldChar w:fldCharType="end"/>
      </w:r>
      <w:r>
        <w:rPr>
          <w:rFonts w:hint="eastAsia" w:ascii="方正仿宋简体" w:hAnsi="方正仿宋简体" w:eastAsia="方正仿宋简体" w:cs="方正仿宋简体"/>
          <w:color w:val="auto"/>
          <w:sz w:val="32"/>
          <w:szCs w:val="32"/>
          <w:lang w:val="en-US" w:eastAsia="zh-CN"/>
        </w:rPr>
        <w:t>5</w:t>
      </w:r>
    </w:p>
    <w:p>
      <w:pPr>
        <w:pStyle w:val="5"/>
        <w:tabs>
          <w:tab w:val="right" w:leader="dot" w:pos="14562"/>
        </w:tabs>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\l "_Toc_3_3_0000000014" </w:instrText>
      </w:r>
      <w:r>
        <w:rPr>
          <w:rFonts w:hint="eastAsia" w:ascii="方正仿宋简体" w:hAnsi="方正仿宋简体" w:eastAsia="方正仿宋简体" w:cs="方正仿宋简体"/>
          <w:color w:val="auto"/>
          <w:sz w:val="32"/>
          <w:szCs w:val="32"/>
        </w:rPr>
        <w:fldChar w:fldCharType="separate"/>
      </w:r>
      <w:r>
        <w:rPr>
          <w:rFonts w:hint="eastAsia" w:ascii="方正仿宋简体" w:hAnsi="方正仿宋简体" w:eastAsia="方正仿宋简体" w:cs="方正仿宋简体"/>
          <w:color w:val="auto"/>
          <w:sz w:val="32"/>
          <w:szCs w:val="32"/>
        </w:rPr>
        <w:t>五、预算绩效信息</w:t>
      </w:r>
      <w:r>
        <w:rPr>
          <w:rFonts w:hint="eastAsia" w:ascii="方正仿宋简体" w:hAnsi="方正仿宋简体" w:eastAsia="方正仿宋简体" w:cs="方正仿宋简体"/>
          <w:color w:val="auto"/>
          <w:sz w:val="32"/>
          <w:szCs w:val="32"/>
        </w:rPr>
        <w:tab/>
      </w:r>
      <w:r>
        <w:rPr>
          <w:rFonts w:hint="eastAsia" w:ascii="方正仿宋简体" w:hAnsi="方正仿宋简体" w:eastAsia="方正仿宋简体" w:cs="方正仿宋简体"/>
          <w:color w:val="auto"/>
          <w:sz w:val="32"/>
          <w:szCs w:val="32"/>
        </w:rPr>
        <w:fldChar w:fldCharType="end"/>
      </w:r>
      <w:r>
        <w:rPr>
          <w:rFonts w:hint="eastAsia" w:ascii="方正仿宋简体" w:hAnsi="方正仿宋简体" w:eastAsia="方正仿宋简体" w:cs="方正仿宋简体"/>
          <w:color w:val="auto"/>
          <w:sz w:val="32"/>
          <w:szCs w:val="32"/>
          <w:lang w:val="en-US" w:eastAsia="zh-CN"/>
        </w:rPr>
        <w:t>26</w:t>
      </w:r>
    </w:p>
    <w:p>
      <w:pPr>
        <w:pStyle w:val="5"/>
        <w:tabs>
          <w:tab w:val="right" w:leader="dot" w:pos="14562"/>
        </w:tabs>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\l "_Toc_3_3_0000000015" </w:instrText>
      </w:r>
      <w:r>
        <w:rPr>
          <w:rFonts w:hint="eastAsia" w:ascii="方正仿宋简体" w:hAnsi="方正仿宋简体" w:eastAsia="方正仿宋简体" w:cs="方正仿宋简体"/>
          <w:color w:val="auto"/>
          <w:sz w:val="32"/>
          <w:szCs w:val="32"/>
        </w:rPr>
        <w:fldChar w:fldCharType="separate"/>
      </w:r>
      <w:r>
        <w:rPr>
          <w:rFonts w:hint="eastAsia" w:ascii="方正仿宋简体" w:hAnsi="方正仿宋简体" w:eastAsia="方正仿宋简体" w:cs="方正仿宋简体"/>
          <w:color w:val="auto"/>
          <w:sz w:val="32"/>
          <w:szCs w:val="32"/>
        </w:rPr>
        <w:t>六、政府采购预算情况</w:t>
      </w:r>
      <w:r>
        <w:rPr>
          <w:rFonts w:hint="eastAsia" w:ascii="方正仿宋简体" w:hAnsi="方正仿宋简体" w:eastAsia="方正仿宋简体" w:cs="方正仿宋简体"/>
          <w:color w:val="auto"/>
          <w:sz w:val="32"/>
          <w:szCs w:val="32"/>
        </w:rPr>
        <w:tab/>
      </w:r>
      <w:r>
        <w:rPr>
          <w:rFonts w:hint="eastAsia" w:ascii="方正仿宋简体" w:hAnsi="方正仿宋简体" w:eastAsia="方正仿宋简体" w:cs="方正仿宋简体"/>
          <w:color w:val="auto"/>
          <w:sz w:val="32"/>
          <w:szCs w:val="32"/>
        </w:rPr>
        <w:fldChar w:fldCharType="end"/>
      </w:r>
      <w:r>
        <w:rPr>
          <w:rFonts w:hint="eastAsia" w:ascii="方正仿宋简体" w:hAnsi="方正仿宋简体" w:eastAsia="方正仿宋简体" w:cs="方正仿宋简体"/>
          <w:color w:val="auto"/>
          <w:sz w:val="32"/>
          <w:szCs w:val="32"/>
          <w:lang w:val="en-US" w:eastAsia="zh-CN"/>
        </w:rPr>
        <w:t>82</w:t>
      </w:r>
    </w:p>
    <w:p>
      <w:pPr>
        <w:pStyle w:val="5"/>
        <w:tabs>
          <w:tab w:val="right" w:leader="dot" w:pos="14562"/>
        </w:tabs>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\l "_Toc_3_3_0000000016" </w:instrText>
      </w:r>
      <w:r>
        <w:rPr>
          <w:rFonts w:hint="eastAsia" w:ascii="方正仿宋简体" w:hAnsi="方正仿宋简体" w:eastAsia="方正仿宋简体" w:cs="方正仿宋简体"/>
          <w:color w:val="auto"/>
          <w:sz w:val="32"/>
          <w:szCs w:val="32"/>
        </w:rPr>
        <w:fldChar w:fldCharType="separate"/>
      </w:r>
      <w:r>
        <w:rPr>
          <w:rFonts w:hint="eastAsia" w:ascii="方正仿宋简体" w:hAnsi="方正仿宋简体" w:eastAsia="方正仿宋简体" w:cs="方正仿宋简体"/>
          <w:color w:val="auto"/>
          <w:sz w:val="32"/>
          <w:szCs w:val="32"/>
        </w:rPr>
        <w:t>七、国有资产信息</w:t>
      </w:r>
      <w:r>
        <w:rPr>
          <w:rFonts w:hint="eastAsia" w:ascii="方正仿宋简体" w:hAnsi="方正仿宋简体" w:eastAsia="方正仿宋简体" w:cs="方正仿宋简体"/>
          <w:color w:val="auto"/>
          <w:sz w:val="32"/>
          <w:szCs w:val="32"/>
        </w:rPr>
        <w:tab/>
      </w:r>
      <w:r>
        <w:rPr>
          <w:rFonts w:hint="eastAsia" w:ascii="方正仿宋简体" w:hAnsi="方正仿宋简体" w:eastAsia="方正仿宋简体" w:cs="方正仿宋简体"/>
          <w:color w:val="auto"/>
          <w:sz w:val="32"/>
          <w:szCs w:val="32"/>
        </w:rPr>
        <w:fldChar w:fldCharType="end"/>
      </w:r>
      <w:r>
        <w:rPr>
          <w:rFonts w:hint="eastAsia" w:ascii="方正仿宋简体" w:hAnsi="方正仿宋简体" w:eastAsia="方正仿宋简体" w:cs="方正仿宋简体"/>
          <w:color w:val="auto"/>
          <w:sz w:val="32"/>
          <w:szCs w:val="32"/>
          <w:lang w:val="en-US" w:eastAsia="zh-CN"/>
        </w:rPr>
        <w:t>82</w:t>
      </w:r>
    </w:p>
    <w:p>
      <w:pPr>
        <w:pStyle w:val="5"/>
        <w:tabs>
          <w:tab w:val="right" w:leader="dot" w:pos="14562"/>
        </w:tabs>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\l "_Toc_3_3_0000000017" </w:instrText>
      </w:r>
      <w:r>
        <w:rPr>
          <w:rFonts w:hint="eastAsia" w:ascii="方正仿宋简体" w:hAnsi="方正仿宋简体" w:eastAsia="方正仿宋简体" w:cs="方正仿宋简体"/>
          <w:color w:val="auto"/>
          <w:sz w:val="32"/>
          <w:szCs w:val="32"/>
        </w:rPr>
        <w:fldChar w:fldCharType="separate"/>
      </w:r>
      <w:r>
        <w:rPr>
          <w:rFonts w:hint="eastAsia" w:ascii="方正仿宋简体" w:hAnsi="方正仿宋简体" w:eastAsia="方正仿宋简体" w:cs="方正仿宋简体"/>
          <w:color w:val="auto"/>
          <w:sz w:val="32"/>
          <w:szCs w:val="32"/>
        </w:rPr>
        <w:t>八、名词解释</w:t>
      </w:r>
      <w:r>
        <w:rPr>
          <w:rFonts w:hint="eastAsia" w:ascii="方正仿宋简体" w:hAnsi="方正仿宋简体" w:eastAsia="方正仿宋简体" w:cs="方正仿宋简体"/>
          <w:color w:val="auto"/>
          <w:sz w:val="32"/>
          <w:szCs w:val="32"/>
        </w:rPr>
        <w:tab/>
      </w:r>
      <w:r>
        <w:rPr>
          <w:rFonts w:hint="eastAsia" w:ascii="方正仿宋简体" w:hAnsi="方正仿宋简体" w:eastAsia="方正仿宋简体" w:cs="方正仿宋简体"/>
          <w:color w:val="auto"/>
          <w:sz w:val="32"/>
          <w:szCs w:val="32"/>
        </w:rPr>
        <w:fldChar w:fldCharType="end"/>
      </w:r>
      <w:r>
        <w:rPr>
          <w:rFonts w:hint="eastAsia" w:ascii="方正仿宋简体" w:hAnsi="方正仿宋简体" w:eastAsia="方正仿宋简体" w:cs="方正仿宋简体"/>
          <w:color w:val="auto"/>
          <w:sz w:val="32"/>
          <w:szCs w:val="32"/>
          <w:lang w:val="en-US" w:eastAsia="zh-CN"/>
        </w:rPr>
        <w:t>83</w:t>
      </w:r>
    </w:p>
    <w:p>
      <w:pPr>
        <w:pStyle w:val="5"/>
        <w:tabs>
          <w:tab w:val="right" w:leader="dot" w:pos="14562"/>
        </w:tabs>
        <w:rPr>
          <w:rFonts w:hint="default" w:eastAsia="方正仿宋简体"/>
          <w:color w:val="auto"/>
          <w:lang w:val="en-US" w:eastAsia="zh-CN"/>
        </w:rPr>
      </w:pPr>
      <w:r>
        <w:rPr>
          <w:rFonts w:hint="eastAsia" w:ascii="方正仿宋简体" w:hAnsi="方正仿宋简体" w:eastAsia="方正仿宋简体" w:cs="方正仿宋简体"/>
          <w:color w:val="auto"/>
          <w:sz w:val="32"/>
          <w:szCs w:val="32"/>
        </w:rPr>
        <w:fldChar w:fldCharType="begin"/>
      </w:r>
      <w:r>
        <w:rPr>
          <w:rFonts w:hint="eastAsia" w:ascii="方正仿宋简体" w:hAnsi="方正仿宋简体" w:eastAsia="方正仿宋简体" w:cs="方正仿宋简体"/>
          <w:color w:val="auto"/>
          <w:sz w:val="32"/>
          <w:szCs w:val="32"/>
        </w:rPr>
        <w:instrText xml:space="preserve"> HYPERLINK \l "_Toc_3_3_0000000018" </w:instrText>
      </w:r>
      <w:r>
        <w:rPr>
          <w:rFonts w:hint="eastAsia" w:ascii="方正仿宋简体" w:hAnsi="方正仿宋简体" w:eastAsia="方正仿宋简体" w:cs="方正仿宋简体"/>
          <w:color w:val="auto"/>
          <w:sz w:val="32"/>
          <w:szCs w:val="32"/>
        </w:rPr>
        <w:fldChar w:fldCharType="separate"/>
      </w:r>
      <w:r>
        <w:rPr>
          <w:rFonts w:hint="eastAsia" w:ascii="方正仿宋简体" w:hAnsi="方正仿宋简体" w:eastAsia="方正仿宋简体" w:cs="方正仿宋简体"/>
          <w:color w:val="auto"/>
          <w:sz w:val="32"/>
          <w:szCs w:val="32"/>
        </w:rPr>
        <w:t>九、其他需要说明的事项</w:t>
      </w:r>
      <w:r>
        <w:rPr>
          <w:rFonts w:hint="eastAsia" w:ascii="方正仿宋简体" w:hAnsi="方正仿宋简体" w:eastAsia="方正仿宋简体" w:cs="方正仿宋简体"/>
          <w:color w:val="auto"/>
          <w:sz w:val="32"/>
          <w:szCs w:val="32"/>
        </w:rPr>
        <w:tab/>
      </w:r>
      <w:r>
        <w:rPr>
          <w:rFonts w:hint="eastAsia" w:ascii="方正仿宋简体" w:hAnsi="方正仿宋简体" w:eastAsia="方正仿宋简体" w:cs="方正仿宋简体"/>
          <w:color w:val="auto"/>
          <w:sz w:val="32"/>
          <w:szCs w:val="32"/>
        </w:rPr>
        <w:fldChar w:fldCharType="end"/>
      </w:r>
      <w:r>
        <w:rPr>
          <w:rFonts w:hint="eastAsia" w:ascii="方正仿宋简体" w:hAnsi="方正仿宋简体" w:eastAsia="方正仿宋简体" w:cs="方正仿宋简体"/>
          <w:color w:val="auto"/>
          <w:sz w:val="32"/>
          <w:szCs w:val="32"/>
          <w:lang w:val="en-US" w:eastAsia="zh-CN"/>
        </w:rPr>
        <w:t>84</w:t>
      </w:r>
    </w:p>
    <w:p>
      <w:pPr>
        <w:rPr>
          <w:color w:val="auto"/>
        </w:rPr>
      </w:pPr>
      <w:r>
        <w:rPr>
          <w:color w:val="auto"/>
        </w:rPr>
        <w:fldChar w:fldCharType="end"/>
      </w:r>
    </w:p>
    <w:p>
      <w:pPr>
        <w:rPr>
          <w:color w:val="auto"/>
        </w:r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4"/>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348001遵化市交通运输局本级</w:t>
            </w:r>
          </w:p>
        </w:tc>
        <w:tc>
          <w:tcPr>
            <w:tcW w:w="2126"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序号</w:t>
            </w:r>
          </w:p>
        </w:tc>
        <w:tc>
          <w:tcPr>
            <w:tcW w:w="6661" w:type="dxa"/>
            <w:gridSpan w:val="2"/>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收入</w:t>
            </w:r>
          </w:p>
        </w:tc>
        <w:tc>
          <w:tcPr>
            <w:tcW w:w="6661" w:type="dxa"/>
            <w:gridSpan w:val="2"/>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方正仿宋简体" w:hAnsi="方正仿宋简体" w:eastAsia="方正仿宋简体" w:cs="方正仿宋简体"/>
                <w:b w:val="0"/>
                <w:bCs w:val="0"/>
                <w:color w:val="auto"/>
              </w:rPr>
            </w:pPr>
          </w:p>
        </w:tc>
        <w:tc>
          <w:tcPr>
            <w:tcW w:w="4535" w:type="dxa"/>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项  目</w:t>
            </w:r>
          </w:p>
        </w:tc>
        <w:tc>
          <w:tcPr>
            <w:tcW w:w="2126" w:type="dxa"/>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预算数</w:t>
            </w:r>
          </w:p>
        </w:tc>
        <w:tc>
          <w:tcPr>
            <w:tcW w:w="4535" w:type="dxa"/>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项  目</w:t>
            </w:r>
          </w:p>
        </w:tc>
        <w:tc>
          <w:tcPr>
            <w:tcW w:w="2126" w:type="dxa"/>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栏次</w:t>
            </w:r>
          </w:p>
        </w:tc>
        <w:tc>
          <w:tcPr>
            <w:tcW w:w="4535" w:type="dxa"/>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w:t>
            </w:r>
          </w:p>
        </w:tc>
        <w:tc>
          <w:tcPr>
            <w:tcW w:w="2126" w:type="dxa"/>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w:t>
            </w:r>
          </w:p>
        </w:tc>
        <w:tc>
          <w:tcPr>
            <w:tcW w:w="4535" w:type="dxa"/>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w:t>
            </w:r>
          </w:p>
        </w:tc>
        <w:tc>
          <w:tcPr>
            <w:tcW w:w="2126" w:type="dxa"/>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w:t>
            </w: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一、一般公共预算拨款收入</w:t>
            </w:r>
          </w:p>
        </w:tc>
        <w:tc>
          <w:tcPr>
            <w:tcW w:w="2126" w:type="dxa"/>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11830.47</w:t>
            </w: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一、一般公共服务支出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w:t>
            </w: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二、政府性基金预算拨款收入</w:t>
            </w:r>
          </w:p>
        </w:tc>
        <w:tc>
          <w:tcPr>
            <w:tcW w:w="2126" w:type="dxa"/>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10735.61</w:t>
            </w: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二、外交支出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w:t>
            </w: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三、国有资本经营预算拨款收入</w:t>
            </w: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三、国防支出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w:t>
            </w: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四、财政专户管理资金收入</w:t>
            </w: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四、公共安全支出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w:t>
            </w: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五、事业收入</w:t>
            </w: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五、教育支出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w:t>
            </w: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六、事业单位经营收入</w:t>
            </w: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六、科学技术支出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w:t>
            </w: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七、上级补助收入</w:t>
            </w: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七、文化旅游体育与传媒支出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8</w:t>
            </w: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八、附属单位上缴收入</w:t>
            </w: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八、社会保障和就业支出</w:t>
            </w:r>
          </w:p>
        </w:tc>
        <w:tc>
          <w:tcPr>
            <w:tcW w:w="2126" w:type="dxa"/>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936.83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w:t>
            </w: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九、其他收入</w:t>
            </w: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九、社会保险基金支出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10</w:t>
            </w:r>
          </w:p>
        </w:tc>
        <w:tc>
          <w:tcPr>
            <w:tcW w:w="4535" w:type="dxa"/>
            <w:vAlign w:val="center"/>
          </w:tcPr>
          <w:p>
            <w:pPr>
              <w:pStyle w:val="17"/>
              <w:rPr>
                <w:rFonts w:hint="eastAsia" w:ascii="方正仿宋简体" w:hAnsi="方正仿宋简体" w:eastAsia="方正仿宋简体" w:cs="方正仿宋简体"/>
                <w:b w:val="0"/>
                <w:bCs w:val="0"/>
                <w:color w:val="auto"/>
              </w:rPr>
            </w:pP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十、卫生健康支出</w:t>
            </w:r>
          </w:p>
        </w:tc>
        <w:tc>
          <w:tcPr>
            <w:tcW w:w="2126" w:type="dxa"/>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11</w:t>
            </w:r>
          </w:p>
        </w:tc>
        <w:tc>
          <w:tcPr>
            <w:tcW w:w="4535" w:type="dxa"/>
            <w:vAlign w:val="center"/>
          </w:tcPr>
          <w:p>
            <w:pPr>
              <w:pStyle w:val="17"/>
              <w:rPr>
                <w:rFonts w:hint="eastAsia" w:ascii="方正仿宋简体" w:hAnsi="方正仿宋简体" w:eastAsia="方正仿宋简体" w:cs="方正仿宋简体"/>
                <w:b w:val="0"/>
                <w:bCs w:val="0"/>
                <w:color w:val="auto"/>
              </w:rPr>
            </w:pP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十一、节能环保支出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12</w:t>
            </w:r>
          </w:p>
        </w:tc>
        <w:tc>
          <w:tcPr>
            <w:tcW w:w="4535" w:type="dxa"/>
            <w:vAlign w:val="center"/>
          </w:tcPr>
          <w:p>
            <w:pPr>
              <w:pStyle w:val="17"/>
              <w:rPr>
                <w:rFonts w:hint="eastAsia" w:ascii="方正仿宋简体" w:hAnsi="方正仿宋简体" w:eastAsia="方正仿宋简体" w:cs="方正仿宋简体"/>
                <w:b w:val="0"/>
                <w:bCs w:val="0"/>
                <w:color w:val="auto"/>
              </w:rPr>
            </w:pP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十二、城乡社区支出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13</w:t>
            </w:r>
          </w:p>
        </w:tc>
        <w:tc>
          <w:tcPr>
            <w:tcW w:w="4535" w:type="dxa"/>
            <w:vAlign w:val="center"/>
          </w:tcPr>
          <w:p>
            <w:pPr>
              <w:pStyle w:val="17"/>
              <w:rPr>
                <w:rFonts w:hint="eastAsia" w:ascii="方正仿宋简体" w:hAnsi="方正仿宋简体" w:eastAsia="方正仿宋简体" w:cs="方正仿宋简体"/>
                <w:b w:val="0"/>
                <w:bCs w:val="0"/>
                <w:color w:val="auto"/>
              </w:rPr>
            </w:pP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十三、农林水支出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14</w:t>
            </w:r>
          </w:p>
        </w:tc>
        <w:tc>
          <w:tcPr>
            <w:tcW w:w="4535" w:type="dxa"/>
            <w:vAlign w:val="center"/>
          </w:tcPr>
          <w:p>
            <w:pPr>
              <w:pStyle w:val="17"/>
              <w:rPr>
                <w:rFonts w:hint="eastAsia" w:ascii="方正仿宋简体" w:hAnsi="方正仿宋简体" w:eastAsia="方正仿宋简体" w:cs="方正仿宋简体"/>
                <w:b w:val="0"/>
                <w:bCs w:val="0"/>
                <w:color w:val="auto"/>
              </w:rPr>
            </w:pP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十四、交通运输支出</w:t>
            </w:r>
          </w:p>
        </w:tc>
        <w:tc>
          <w:tcPr>
            <w:tcW w:w="2126" w:type="dxa"/>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20388.60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15</w:t>
            </w:r>
          </w:p>
        </w:tc>
        <w:tc>
          <w:tcPr>
            <w:tcW w:w="4535" w:type="dxa"/>
            <w:vAlign w:val="center"/>
          </w:tcPr>
          <w:p>
            <w:pPr>
              <w:pStyle w:val="17"/>
              <w:rPr>
                <w:rFonts w:hint="eastAsia" w:ascii="方正仿宋简体" w:hAnsi="方正仿宋简体" w:eastAsia="方正仿宋简体" w:cs="方正仿宋简体"/>
                <w:b w:val="0"/>
                <w:bCs w:val="0"/>
                <w:color w:val="auto"/>
              </w:rPr>
            </w:pP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十五、资源勘探工业信息等支出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16</w:t>
            </w:r>
          </w:p>
        </w:tc>
        <w:tc>
          <w:tcPr>
            <w:tcW w:w="4535" w:type="dxa"/>
            <w:vAlign w:val="center"/>
          </w:tcPr>
          <w:p>
            <w:pPr>
              <w:pStyle w:val="17"/>
              <w:rPr>
                <w:rFonts w:hint="eastAsia" w:ascii="方正仿宋简体" w:hAnsi="方正仿宋简体" w:eastAsia="方正仿宋简体" w:cs="方正仿宋简体"/>
                <w:b w:val="0"/>
                <w:bCs w:val="0"/>
                <w:color w:val="auto"/>
              </w:rPr>
            </w:pP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十六、商业服务业等支出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17</w:t>
            </w:r>
          </w:p>
        </w:tc>
        <w:tc>
          <w:tcPr>
            <w:tcW w:w="4535" w:type="dxa"/>
            <w:vAlign w:val="center"/>
          </w:tcPr>
          <w:p>
            <w:pPr>
              <w:pStyle w:val="17"/>
              <w:rPr>
                <w:rFonts w:hint="eastAsia" w:ascii="方正仿宋简体" w:hAnsi="方正仿宋简体" w:eastAsia="方正仿宋简体" w:cs="方正仿宋简体"/>
                <w:b w:val="0"/>
                <w:bCs w:val="0"/>
                <w:color w:val="auto"/>
              </w:rPr>
            </w:pP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十七、金融支出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18</w:t>
            </w:r>
          </w:p>
        </w:tc>
        <w:tc>
          <w:tcPr>
            <w:tcW w:w="4535" w:type="dxa"/>
            <w:vAlign w:val="center"/>
          </w:tcPr>
          <w:p>
            <w:pPr>
              <w:pStyle w:val="17"/>
              <w:rPr>
                <w:rFonts w:hint="eastAsia" w:ascii="方正仿宋简体" w:hAnsi="方正仿宋简体" w:eastAsia="方正仿宋简体" w:cs="方正仿宋简体"/>
                <w:b w:val="0"/>
                <w:bCs w:val="0"/>
                <w:color w:val="auto"/>
              </w:rPr>
            </w:pP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十八、援助其他地区支出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19</w:t>
            </w:r>
          </w:p>
        </w:tc>
        <w:tc>
          <w:tcPr>
            <w:tcW w:w="4535" w:type="dxa"/>
            <w:vAlign w:val="center"/>
          </w:tcPr>
          <w:p>
            <w:pPr>
              <w:pStyle w:val="17"/>
              <w:rPr>
                <w:rFonts w:hint="eastAsia" w:ascii="方正仿宋简体" w:hAnsi="方正仿宋简体" w:eastAsia="方正仿宋简体" w:cs="方正仿宋简体"/>
                <w:b w:val="0"/>
                <w:bCs w:val="0"/>
                <w:color w:val="auto"/>
              </w:rPr>
            </w:pP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十九、自然资源海洋气象等支出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w:t>
            </w:r>
          </w:p>
        </w:tc>
        <w:tc>
          <w:tcPr>
            <w:tcW w:w="4535" w:type="dxa"/>
            <w:vAlign w:val="center"/>
          </w:tcPr>
          <w:p>
            <w:pPr>
              <w:pStyle w:val="17"/>
              <w:rPr>
                <w:rFonts w:hint="eastAsia" w:ascii="方正仿宋简体" w:hAnsi="方正仿宋简体" w:eastAsia="方正仿宋简体" w:cs="方正仿宋简体"/>
                <w:b w:val="0"/>
                <w:bCs w:val="0"/>
                <w:color w:val="auto"/>
              </w:rPr>
            </w:pP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二十、住房保障支出</w:t>
            </w:r>
          </w:p>
        </w:tc>
        <w:tc>
          <w:tcPr>
            <w:tcW w:w="2126" w:type="dxa"/>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w:t>
            </w:r>
          </w:p>
        </w:tc>
        <w:tc>
          <w:tcPr>
            <w:tcW w:w="4535" w:type="dxa"/>
            <w:vAlign w:val="center"/>
          </w:tcPr>
          <w:p>
            <w:pPr>
              <w:pStyle w:val="17"/>
              <w:rPr>
                <w:rFonts w:hint="eastAsia" w:ascii="方正仿宋简体" w:hAnsi="方正仿宋简体" w:eastAsia="方正仿宋简体" w:cs="方正仿宋简体"/>
                <w:b w:val="0"/>
                <w:bCs w:val="0"/>
                <w:color w:val="auto"/>
              </w:rPr>
            </w:pP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二十一、粮油物资储备支出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w:t>
            </w:r>
          </w:p>
        </w:tc>
        <w:tc>
          <w:tcPr>
            <w:tcW w:w="4535" w:type="dxa"/>
            <w:vAlign w:val="center"/>
          </w:tcPr>
          <w:p>
            <w:pPr>
              <w:pStyle w:val="17"/>
              <w:rPr>
                <w:rFonts w:hint="eastAsia" w:ascii="方正仿宋简体" w:hAnsi="方正仿宋简体" w:eastAsia="方正仿宋简体" w:cs="方正仿宋简体"/>
                <w:b w:val="0"/>
                <w:bCs w:val="0"/>
                <w:color w:val="auto"/>
              </w:rPr>
            </w:pP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二十二、国有资本经营预算支出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23</w:t>
            </w:r>
          </w:p>
        </w:tc>
        <w:tc>
          <w:tcPr>
            <w:tcW w:w="4535" w:type="dxa"/>
            <w:vAlign w:val="center"/>
          </w:tcPr>
          <w:p>
            <w:pPr>
              <w:pStyle w:val="17"/>
              <w:rPr>
                <w:rFonts w:hint="eastAsia" w:ascii="方正仿宋简体" w:hAnsi="方正仿宋简体" w:eastAsia="方正仿宋简体" w:cs="方正仿宋简体"/>
                <w:b w:val="0"/>
                <w:bCs w:val="0"/>
                <w:color w:val="auto"/>
              </w:rPr>
            </w:pP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二十三、灾害防治及应急管理支出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24</w:t>
            </w:r>
          </w:p>
        </w:tc>
        <w:tc>
          <w:tcPr>
            <w:tcW w:w="4535" w:type="dxa"/>
            <w:vAlign w:val="center"/>
          </w:tcPr>
          <w:p>
            <w:pPr>
              <w:pStyle w:val="17"/>
              <w:rPr>
                <w:rFonts w:hint="eastAsia" w:ascii="方正仿宋简体" w:hAnsi="方正仿宋简体" w:eastAsia="方正仿宋简体" w:cs="方正仿宋简体"/>
                <w:b w:val="0"/>
                <w:bCs w:val="0"/>
                <w:color w:val="auto"/>
              </w:rPr>
            </w:pP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二十四、预备费</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25</w:t>
            </w:r>
          </w:p>
        </w:tc>
        <w:tc>
          <w:tcPr>
            <w:tcW w:w="4535" w:type="dxa"/>
            <w:vAlign w:val="center"/>
          </w:tcPr>
          <w:p>
            <w:pPr>
              <w:pStyle w:val="17"/>
              <w:rPr>
                <w:rFonts w:hint="eastAsia" w:ascii="方正仿宋简体" w:hAnsi="方正仿宋简体" w:eastAsia="方正仿宋简体" w:cs="方正仿宋简体"/>
                <w:b w:val="0"/>
                <w:bCs w:val="0"/>
                <w:color w:val="auto"/>
              </w:rPr>
            </w:pP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二十五、其他支出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26</w:t>
            </w:r>
          </w:p>
        </w:tc>
        <w:tc>
          <w:tcPr>
            <w:tcW w:w="4535" w:type="dxa"/>
            <w:vAlign w:val="center"/>
          </w:tcPr>
          <w:p>
            <w:pPr>
              <w:pStyle w:val="17"/>
              <w:rPr>
                <w:rFonts w:hint="eastAsia" w:ascii="方正仿宋简体" w:hAnsi="方正仿宋简体" w:eastAsia="方正仿宋简体" w:cs="方正仿宋简体"/>
                <w:b w:val="0"/>
                <w:bCs w:val="0"/>
                <w:color w:val="auto"/>
              </w:rPr>
            </w:pP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二十六、转移性支出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27</w:t>
            </w:r>
          </w:p>
        </w:tc>
        <w:tc>
          <w:tcPr>
            <w:tcW w:w="4535" w:type="dxa"/>
            <w:vAlign w:val="center"/>
          </w:tcPr>
          <w:p>
            <w:pPr>
              <w:pStyle w:val="17"/>
              <w:rPr>
                <w:rFonts w:hint="eastAsia" w:ascii="方正仿宋简体" w:hAnsi="方正仿宋简体" w:eastAsia="方正仿宋简体" w:cs="方正仿宋简体"/>
                <w:b w:val="0"/>
                <w:bCs w:val="0"/>
                <w:color w:val="auto"/>
              </w:rPr>
            </w:pP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二十七、债务还本支出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28</w:t>
            </w:r>
          </w:p>
        </w:tc>
        <w:tc>
          <w:tcPr>
            <w:tcW w:w="4535" w:type="dxa"/>
            <w:vAlign w:val="center"/>
          </w:tcPr>
          <w:p>
            <w:pPr>
              <w:pStyle w:val="17"/>
              <w:rPr>
                <w:rFonts w:hint="eastAsia" w:ascii="方正仿宋简体" w:hAnsi="方正仿宋简体" w:eastAsia="方正仿宋简体" w:cs="方正仿宋简体"/>
                <w:b w:val="0"/>
                <w:bCs w:val="0"/>
                <w:color w:val="auto"/>
              </w:rPr>
            </w:pP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二十八、债务付息支出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29</w:t>
            </w:r>
          </w:p>
        </w:tc>
        <w:tc>
          <w:tcPr>
            <w:tcW w:w="4535" w:type="dxa"/>
            <w:vAlign w:val="center"/>
          </w:tcPr>
          <w:p>
            <w:pPr>
              <w:pStyle w:val="17"/>
              <w:rPr>
                <w:rFonts w:hint="eastAsia" w:ascii="方正仿宋简体" w:hAnsi="方正仿宋简体" w:eastAsia="方正仿宋简体" w:cs="方正仿宋简体"/>
                <w:b w:val="0"/>
                <w:bCs w:val="0"/>
                <w:color w:val="auto"/>
              </w:rPr>
            </w:pP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二十九、债务发行费用支出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w:t>
            </w:r>
          </w:p>
        </w:tc>
        <w:tc>
          <w:tcPr>
            <w:tcW w:w="4535" w:type="dxa"/>
            <w:vAlign w:val="center"/>
          </w:tcPr>
          <w:p>
            <w:pPr>
              <w:pStyle w:val="17"/>
              <w:rPr>
                <w:rFonts w:hint="eastAsia" w:ascii="方正仿宋简体" w:hAnsi="方正仿宋简体" w:eastAsia="方正仿宋简体" w:cs="方正仿宋简体"/>
                <w:b w:val="0"/>
                <w:bCs w:val="0"/>
                <w:color w:val="auto"/>
              </w:rPr>
            </w:pP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三十、抗疫特别国债安排的支出</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31</w:t>
            </w:r>
          </w:p>
        </w:tc>
        <w:tc>
          <w:tcPr>
            <w:tcW w:w="4535" w:type="dxa"/>
            <w:vAlign w:val="center"/>
          </w:tcPr>
          <w:p>
            <w:pPr>
              <w:pStyle w:val="17"/>
              <w:rPr>
                <w:rFonts w:hint="eastAsia" w:ascii="方正仿宋简体" w:hAnsi="方正仿宋简体" w:eastAsia="方正仿宋简体" w:cs="方正仿宋简体"/>
                <w:b w:val="0"/>
                <w:bCs w:val="0"/>
                <w:color w:val="auto"/>
              </w:rPr>
            </w:pP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三十一、人行科目</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32</w:t>
            </w:r>
          </w:p>
        </w:tc>
        <w:tc>
          <w:tcPr>
            <w:tcW w:w="4535" w:type="dxa"/>
            <w:vAlign w:val="center"/>
          </w:tcPr>
          <w:p>
            <w:pPr>
              <w:pStyle w:val="19"/>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本年收入合计</w:t>
            </w:r>
          </w:p>
        </w:tc>
        <w:tc>
          <w:tcPr>
            <w:tcW w:w="2126" w:type="dxa"/>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22566.08</w:t>
            </w:r>
          </w:p>
        </w:tc>
        <w:tc>
          <w:tcPr>
            <w:tcW w:w="4535" w:type="dxa"/>
            <w:vAlign w:val="center"/>
          </w:tcPr>
          <w:p>
            <w:pPr>
              <w:pStyle w:val="19"/>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本年支出合计</w:t>
            </w:r>
          </w:p>
        </w:tc>
        <w:tc>
          <w:tcPr>
            <w:tcW w:w="2126" w:type="dxa"/>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22566.08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33</w:t>
            </w: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上年结转结余</w:t>
            </w:r>
          </w:p>
        </w:tc>
        <w:tc>
          <w:tcPr>
            <w:tcW w:w="2126" w:type="dxa"/>
            <w:vAlign w:val="center"/>
          </w:tcPr>
          <w:p>
            <w:pPr>
              <w:pStyle w:val="16"/>
              <w:rPr>
                <w:rFonts w:hint="eastAsia" w:ascii="方正仿宋简体" w:hAnsi="方正仿宋简体" w:eastAsia="方正仿宋简体" w:cs="方正仿宋简体"/>
                <w:b w:val="0"/>
                <w:bCs w:val="0"/>
                <w:color w:val="auto"/>
              </w:rPr>
            </w:pPr>
          </w:p>
        </w:tc>
        <w:tc>
          <w:tcPr>
            <w:tcW w:w="4535"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年终结转结余</w:t>
            </w:r>
          </w:p>
        </w:tc>
        <w:tc>
          <w:tcPr>
            <w:tcW w:w="2126"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34</w:t>
            </w:r>
          </w:p>
        </w:tc>
        <w:tc>
          <w:tcPr>
            <w:tcW w:w="4535" w:type="dxa"/>
            <w:vAlign w:val="center"/>
          </w:tcPr>
          <w:p>
            <w:pPr>
              <w:pStyle w:val="19"/>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收入总计</w:t>
            </w:r>
          </w:p>
        </w:tc>
        <w:tc>
          <w:tcPr>
            <w:tcW w:w="2126" w:type="dxa"/>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22566.08</w:t>
            </w:r>
          </w:p>
        </w:tc>
        <w:tc>
          <w:tcPr>
            <w:tcW w:w="4535" w:type="dxa"/>
            <w:vAlign w:val="center"/>
          </w:tcPr>
          <w:p>
            <w:pPr>
              <w:pStyle w:val="19"/>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支出总计</w:t>
            </w:r>
          </w:p>
        </w:tc>
        <w:tc>
          <w:tcPr>
            <w:tcW w:w="2126" w:type="dxa"/>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22566.08</w:t>
            </w:r>
          </w:p>
        </w:tc>
      </w:tr>
    </w:tbl>
    <w:p>
      <w:pPr>
        <w:rPr>
          <w:rFonts w:hint="eastAsia" w:ascii="方正仿宋简体" w:hAnsi="方正仿宋简体" w:eastAsia="方正仿宋简体" w:cs="方正仿宋简体"/>
          <w:b w:val="0"/>
          <w:bCs w:val="0"/>
          <w:color w:val="auto"/>
        </w:r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sz w:val="36"/>
        </w:rPr>
        <w:t>单位预算收入总表</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348001遵化市交通运输局本级</w:t>
            </w:r>
          </w:p>
        </w:tc>
        <w:tc>
          <w:tcPr>
            <w:tcW w:w="1153" w:type="pct"/>
            <w:gridSpan w:val="3"/>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预算年度：2023</w:t>
            </w:r>
          </w:p>
        </w:tc>
        <w:tc>
          <w:tcPr>
            <w:tcW w:w="1923" w:type="pct"/>
            <w:gridSpan w:val="5"/>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序号</w:t>
            </w:r>
          </w:p>
        </w:tc>
        <w:tc>
          <w:tcPr>
            <w:tcW w:w="769" w:type="pct"/>
            <w:gridSpan w:val="2"/>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功能分类科目</w:t>
            </w:r>
          </w:p>
        </w:tc>
        <w:tc>
          <w:tcPr>
            <w:tcW w:w="384"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合计</w:t>
            </w:r>
          </w:p>
        </w:tc>
        <w:tc>
          <w:tcPr>
            <w:tcW w:w="3076" w:type="pct"/>
            <w:gridSpan w:val="8"/>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本年收入</w:t>
            </w:r>
          </w:p>
        </w:tc>
        <w:tc>
          <w:tcPr>
            <w:tcW w:w="384"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pPr>
              <w:rPr>
                <w:rFonts w:hint="eastAsia" w:ascii="方正仿宋简体" w:hAnsi="方正仿宋简体" w:eastAsia="方正仿宋简体" w:cs="方正仿宋简体"/>
                <w:b w:val="0"/>
                <w:bCs w:val="0"/>
                <w:color w:val="auto"/>
              </w:rPr>
            </w:pPr>
          </w:p>
        </w:tc>
        <w:tc>
          <w:tcPr>
            <w:tcW w:w="38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科目    编码</w:t>
            </w:r>
          </w:p>
        </w:tc>
        <w:tc>
          <w:tcPr>
            <w:tcW w:w="38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科目名称</w:t>
            </w:r>
          </w:p>
        </w:tc>
        <w:tc>
          <w:tcPr>
            <w:tcW w:w="384" w:type="pct"/>
            <w:vMerge w:val="continue"/>
          </w:tcPr>
          <w:p>
            <w:pPr>
              <w:rPr>
                <w:rFonts w:hint="eastAsia" w:ascii="方正仿宋简体" w:hAnsi="方正仿宋简体" w:eastAsia="方正仿宋简体" w:cs="方正仿宋简体"/>
                <w:b w:val="0"/>
                <w:bCs w:val="0"/>
                <w:color w:val="auto"/>
              </w:rPr>
            </w:pPr>
          </w:p>
        </w:tc>
        <w:tc>
          <w:tcPr>
            <w:tcW w:w="38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小计</w:t>
            </w:r>
          </w:p>
        </w:tc>
        <w:tc>
          <w:tcPr>
            <w:tcW w:w="38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财政拨款 收入</w:t>
            </w:r>
          </w:p>
        </w:tc>
        <w:tc>
          <w:tcPr>
            <w:tcW w:w="38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财政专户 收入</w:t>
            </w:r>
          </w:p>
        </w:tc>
        <w:tc>
          <w:tcPr>
            <w:tcW w:w="38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事业收入</w:t>
            </w:r>
          </w:p>
        </w:tc>
        <w:tc>
          <w:tcPr>
            <w:tcW w:w="38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经营收入</w:t>
            </w:r>
          </w:p>
        </w:tc>
        <w:tc>
          <w:tcPr>
            <w:tcW w:w="38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上级补助收入</w:t>
            </w:r>
          </w:p>
        </w:tc>
        <w:tc>
          <w:tcPr>
            <w:tcW w:w="38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附属单位上缴收入</w:t>
            </w:r>
          </w:p>
        </w:tc>
        <w:tc>
          <w:tcPr>
            <w:tcW w:w="38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其他收入</w:t>
            </w:r>
          </w:p>
        </w:tc>
        <w:tc>
          <w:tcPr>
            <w:tcW w:w="384" w:type="pct"/>
            <w:vMerge w:val="continue"/>
          </w:tcPr>
          <w:p>
            <w:pPr>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栏次</w:t>
            </w:r>
          </w:p>
        </w:tc>
        <w:tc>
          <w:tcPr>
            <w:tcW w:w="38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w:t>
            </w:r>
          </w:p>
        </w:tc>
        <w:tc>
          <w:tcPr>
            <w:tcW w:w="38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w:t>
            </w:r>
          </w:p>
        </w:tc>
        <w:tc>
          <w:tcPr>
            <w:tcW w:w="38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w:t>
            </w:r>
          </w:p>
        </w:tc>
        <w:tc>
          <w:tcPr>
            <w:tcW w:w="38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w:t>
            </w:r>
          </w:p>
        </w:tc>
        <w:tc>
          <w:tcPr>
            <w:tcW w:w="38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w:t>
            </w:r>
          </w:p>
        </w:tc>
        <w:tc>
          <w:tcPr>
            <w:tcW w:w="38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w:t>
            </w:r>
          </w:p>
        </w:tc>
        <w:tc>
          <w:tcPr>
            <w:tcW w:w="38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w:t>
            </w:r>
          </w:p>
        </w:tc>
        <w:tc>
          <w:tcPr>
            <w:tcW w:w="38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8</w:t>
            </w:r>
          </w:p>
        </w:tc>
        <w:tc>
          <w:tcPr>
            <w:tcW w:w="38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w:t>
            </w:r>
          </w:p>
        </w:tc>
        <w:tc>
          <w:tcPr>
            <w:tcW w:w="38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10</w:t>
            </w:r>
          </w:p>
        </w:tc>
        <w:tc>
          <w:tcPr>
            <w:tcW w:w="38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11</w:t>
            </w:r>
          </w:p>
        </w:tc>
        <w:tc>
          <w:tcPr>
            <w:tcW w:w="38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w:t>
            </w:r>
          </w:p>
        </w:tc>
        <w:tc>
          <w:tcPr>
            <w:tcW w:w="384" w:type="pct"/>
            <w:vAlign w:val="center"/>
          </w:tcPr>
          <w:p>
            <w:pPr>
              <w:pStyle w:val="21"/>
              <w:rPr>
                <w:rFonts w:hint="eastAsia" w:ascii="方正仿宋简体" w:hAnsi="方正仿宋简体" w:eastAsia="方正仿宋简体" w:cs="方正仿宋简体"/>
                <w:b w:val="0"/>
                <w:bCs w:val="0"/>
                <w:color w:val="auto"/>
              </w:rPr>
            </w:pPr>
          </w:p>
        </w:tc>
        <w:tc>
          <w:tcPr>
            <w:tcW w:w="384" w:type="pct"/>
            <w:vAlign w:val="center"/>
          </w:tcPr>
          <w:p>
            <w:pPr>
              <w:pStyle w:val="19"/>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合计</w:t>
            </w:r>
          </w:p>
        </w:tc>
        <w:tc>
          <w:tcPr>
            <w:tcW w:w="384" w:type="pct"/>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22566.08</w:t>
            </w:r>
          </w:p>
        </w:tc>
        <w:tc>
          <w:tcPr>
            <w:tcW w:w="384" w:type="pct"/>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22566.08</w:t>
            </w:r>
          </w:p>
        </w:tc>
        <w:tc>
          <w:tcPr>
            <w:tcW w:w="384" w:type="pct"/>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22566.08</w:t>
            </w:r>
          </w:p>
        </w:tc>
        <w:tc>
          <w:tcPr>
            <w:tcW w:w="384" w:type="pct"/>
            <w:vAlign w:val="center"/>
          </w:tcPr>
          <w:p>
            <w:pPr>
              <w:pStyle w:val="20"/>
              <w:rPr>
                <w:rFonts w:hint="eastAsia" w:ascii="方正仿宋简体" w:hAnsi="方正仿宋简体" w:eastAsia="方正仿宋简体" w:cs="方正仿宋简体"/>
                <w:b w:val="0"/>
                <w:bCs w:val="0"/>
                <w:color w:val="auto"/>
              </w:rPr>
            </w:pPr>
          </w:p>
        </w:tc>
        <w:tc>
          <w:tcPr>
            <w:tcW w:w="384" w:type="pct"/>
            <w:vAlign w:val="center"/>
          </w:tcPr>
          <w:p>
            <w:pPr>
              <w:pStyle w:val="20"/>
              <w:rPr>
                <w:rFonts w:hint="eastAsia" w:ascii="方正仿宋简体" w:hAnsi="方正仿宋简体" w:eastAsia="方正仿宋简体" w:cs="方正仿宋简体"/>
                <w:b w:val="0"/>
                <w:bCs w:val="0"/>
                <w:color w:val="auto"/>
              </w:rPr>
            </w:pPr>
          </w:p>
        </w:tc>
        <w:tc>
          <w:tcPr>
            <w:tcW w:w="384" w:type="pct"/>
            <w:vAlign w:val="center"/>
          </w:tcPr>
          <w:p>
            <w:pPr>
              <w:pStyle w:val="20"/>
              <w:rPr>
                <w:rFonts w:hint="eastAsia" w:ascii="方正仿宋简体" w:hAnsi="方正仿宋简体" w:eastAsia="方正仿宋简体" w:cs="方正仿宋简体"/>
                <w:b w:val="0"/>
                <w:bCs w:val="0"/>
                <w:color w:val="auto"/>
              </w:rPr>
            </w:pPr>
          </w:p>
        </w:tc>
        <w:tc>
          <w:tcPr>
            <w:tcW w:w="384" w:type="pct"/>
            <w:vAlign w:val="center"/>
          </w:tcPr>
          <w:p>
            <w:pPr>
              <w:pStyle w:val="20"/>
              <w:rPr>
                <w:rFonts w:hint="eastAsia" w:ascii="方正仿宋简体" w:hAnsi="方正仿宋简体" w:eastAsia="方正仿宋简体" w:cs="方正仿宋简体"/>
                <w:b w:val="0"/>
                <w:bCs w:val="0"/>
                <w:color w:val="auto"/>
              </w:rPr>
            </w:pPr>
          </w:p>
        </w:tc>
        <w:tc>
          <w:tcPr>
            <w:tcW w:w="384" w:type="pct"/>
            <w:vAlign w:val="center"/>
          </w:tcPr>
          <w:p>
            <w:pPr>
              <w:pStyle w:val="20"/>
              <w:rPr>
                <w:rFonts w:hint="eastAsia" w:ascii="方正仿宋简体" w:hAnsi="方正仿宋简体" w:eastAsia="方正仿宋简体" w:cs="方正仿宋简体"/>
                <w:b w:val="0"/>
                <w:bCs w:val="0"/>
                <w:color w:val="auto"/>
              </w:rPr>
            </w:pPr>
          </w:p>
        </w:tc>
        <w:tc>
          <w:tcPr>
            <w:tcW w:w="384" w:type="pct"/>
            <w:vAlign w:val="center"/>
          </w:tcPr>
          <w:p>
            <w:pPr>
              <w:pStyle w:val="20"/>
              <w:rPr>
                <w:rFonts w:hint="eastAsia" w:ascii="方正仿宋简体" w:hAnsi="方正仿宋简体" w:eastAsia="方正仿宋简体" w:cs="方正仿宋简体"/>
                <w:b w:val="0"/>
                <w:bCs w:val="0"/>
                <w:color w:val="auto"/>
              </w:rPr>
            </w:pPr>
          </w:p>
        </w:tc>
        <w:tc>
          <w:tcPr>
            <w:tcW w:w="384" w:type="pct"/>
            <w:vAlign w:val="center"/>
          </w:tcPr>
          <w:p>
            <w:pPr>
              <w:pStyle w:val="20"/>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208</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社会保障和就业支出</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936.83</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936.83</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936.83</w:t>
            </w: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20805</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行政事业单位养老支出</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936.83</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936.83</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936.83</w:t>
            </w: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2080505</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机关事业单位基本养老保险缴费支出</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624.55</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624.55</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624.55</w:t>
            </w: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2080506</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机关事业单位职业年金缴费支出</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312.28</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312.28</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312.28</w:t>
            </w: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210</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卫生健康支出</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752.66</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752.66</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752.66</w:t>
            </w: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21011</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行政事业单位医疗</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752.66</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752.66</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752.66</w:t>
            </w: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8</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2101102</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事业单位医疗</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752.66</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752.66</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752.66</w:t>
            </w: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交通运输支出</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20388.60</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20388.60</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20388.60</w:t>
            </w: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10</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21401</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公路水路运输</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9652.99</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9652.99</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9652.99</w:t>
            </w: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11</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2140101</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行政运行</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5162.60</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5162.60</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5162.60</w:t>
            </w: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12</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2140102</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一般行政管理事务</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128.60</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128.60</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128.60</w:t>
            </w: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13</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2140104</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公路建设</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2096.00</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2096.00</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2096.00</w:t>
            </w: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14</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2140106</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公路养护</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2265.79</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2265.79</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2265.79</w:t>
            </w: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15</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21462</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车辆通行费安排的支出</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10735.61</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10735.61</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10735.61</w:t>
            </w: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16</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2146201</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公路还贷</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7852.61</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7852.61</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7852.61</w:t>
            </w: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17</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2146202</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政府还贷公路养护</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1838.00</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1838.00</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1838.00</w:t>
            </w: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18</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2146203</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政府还贷公路管理</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925.00</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925.00</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925.00</w:t>
            </w: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19</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2146299</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其他车辆通行费安排的支出</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120.00</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120.00</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120.00</w:t>
            </w: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221</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住房保障支出</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22102</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住房改革支出</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2210201</w:t>
            </w:r>
          </w:p>
        </w:tc>
        <w:tc>
          <w:tcPr>
            <w:tcW w:w="384"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住房公积金</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38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c>
          <w:tcPr>
            <w:tcW w:w="384" w:type="pct"/>
            <w:vAlign w:val="center"/>
          </w:tcPr>
          <w:p>
            <w:pPr>
              <w:pStyle w:val="16"/>
              <w:rPr>
                <w:rFonts w:hint="eastAsia" w:ascii="方正仿宋简体" w:hAnsi="方正仿宋简体" w:eastAsia="方正仿宋简体" w:cs="方正仿宋简体"/>
                <w:b w:val="0"/>
                <w:bCs w:val="0"/>
                <w:color w:val="auto"/>
              </w:rPr>
            </w:pPr>
          </w:p>
        </w:tc>
      </w:tr>
    </w:tbl>
    <w:p>
      <w:pPr>
        <w:rPr>
          <w:rFonts w:hint="eastAsia" w:ascii="方正仿宋简体" w:hAnsi="方正仿宋简体" w:eastAsia="方正仿宋简体" w:cs="方正仿宋简体"/>
          <w:b w:val="0"/>
          <w:bCs w:val="0"/>
          <w:color w:val="auto"/>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sz w:val="36"/>
        </w:rPr>
        <w:t>单位预算支出总表</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348001遵化市交通运输局本级</w:t>
            </w:r>
          </w:p>
        </w:tc>
        <w:tc>
          <w:tcPr>
            <w:tcW w:w="1110" w:type="pct"/>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预算年度：2023</w:t>
            </w:r>
          </w:p>
        </w:tc>
        <w:tc>
          <w:tcPr>
            <w:tcW w:w="2222" w:type="pct"/>
            <w:gridSpan w:val="4"/>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序号</w:t>
            </w:r>
          </w:p>
        </w:tc>
        <w:tc>
          <w:tcPr>
            <w:tcW w:w="1111" w:type="pct"/>
            <w:gridSpan w:val="2"/>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功能分类科目</w:t>
            </w:r>
          </w:p>
        </w:tc>
        <w:tc>
          <w:tcPr>
            <w:tcW w:w="555"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合计</w:t>
            </w:r>
          </w:p>
        </w:tc>
        <w:tc>
          <w:tcPr>
            <w:tcW w:w="555"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基本支出</w:t>
            </w:r>
          </w:p>
        </w:tc>
        <w:tc>
          <w:tcPr>
            <w:tcW w:w="555"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项目支出</w:t>
            </w:r>
          </w:p>
        </w:tc>
        <w:tc>
          <w:tcPr>
            <w:tcW w:w="555"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经营支出</w:t>
            </w:r>
          </w:p>
        </w:tc>
        <w:tc>
          <w:tcPr>
            <w:tcW w:w="555"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上解上级     支出</w:t>
            </w:r>
          </w:p>
        </w:tc>
        <w:tc>
          <w:tcPr>
            <w:tcW w:w="555"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pPr>
              <w:rPr>
                <w:rFonts w:hint="eastAsia" w:ascii="方正仿宋简体" w:hAnsi="方正仿宋简体" w:eastAsia="方正仿宋简体" w:cs="方正仿宋简体"/>
                <w:b w:val="0"/>
                <w:bCs w:val="0"/>
                <w:color w:val="auto"/>
              </w:rPr>
            </w:pPr>
          </w:p>
        </w:tc>
        <w:tc>
          <w:tcPr>
            <w:tcW w:w="55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科目    编码</w:t>
            </w:r>
          </w:p>
        </w:tc>
        <w:tc>
          <w:tcPr>
            <w:tcW w:w="55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科目名称</w:t>
            </w:r>
          </w:p>
        </w:tc>
        <w:tc>
          <w:tcPr>
            <w:tcW w:w="555" w:type="pct"/>
            <w:vMerge w:val="continue"/>
          </w:tcPr>
          <w:p>
            <w:pPr>
              <w:rPr>
                <w:rFonts w:hint="eastAsia" w:ascii="方正仿宋简体" w:hAnsi="方正仿宋简体" w:eastAsia="方正仿宋简体" w:cs="方正仿宋简体"/>
                <w:b w:val="0"/>
                <w:bCs w:val="0"/>
                <w:color w:val="auto"/>
              </w:rPr>
            </w:pPr>
          </w:p>
        </w:tc>
        <w:tc>
          <w:tcPr>
            <w:tcW w:w="555" w:type="pct"/>
            <w:vMerge w:val="continue"/>
          </w:tcPr>
          <w:p>
            <w:pPr>
              <w:rPr>
                <w:rFonts w:hint="eastAsia" w:ascii="方正仿宋简体" w:hAnsi="方正仿宋简体" w:eastAsia="方正仿宋简体" w:cs="方正仿宋简体"/>
                <w:b w:val="0"/>
                <w:bCs w:val="0"/>
                <w:color w:val="auto"/>
              </w:rPr>
            </w:pPr>
          </w:p>
        </w:tc>
        <w:tc>
          <w:tcPr>
            <w:tcW w:w="555" w:type="pct"/>
            <w:vMerge w:val="continue"/>
          </w:tcPr>
          <w:p>
            <w:pPr>
              <w:rPr>
                <w:rFonts w:hint="eastAsia" w:ascii="方正仿宋简体" w:hAnsi="方正仿宋简体" w:eastAsia="方正仿宋简体" w:cs="方正仿宋简体"/>
                <w:b w:val="0"/>
                <w:bCs w:val="0"/>
                <w:color w:val="auto"/>
              </w:rPr>
            </w:pPr>
          </w:p>
        </w:tc>
        <w:tc>
          <w:tcPr>
            <w:tcW w:w="555" w:type="pct"/>
            <w:vMerge w:val="continue"/>
          </w:tcPr>
          <w:p>
            <w:pPr>
              <w:rPr>
                <w:rFonts w:hint="eastAsia" w:ascii="方正仿宋简体" w:hAnsi="方正仿宋简体" w:eastAsia="方正仿宋简体" w:cs="方正仿宋简体"/>
                <w:b w:val="0"/>
                <w:bCs w:val="0"/>
                <w:color w:val="auto"/>
              </w:rPr>
            </w:pPr>
          </w:p>
        </w:tc>
        <w:tc>
          <w:tcPr>
            <w:tcW w:w="555" w:type="pct"/>
            <w:vMerge w:val="continue"/>
          </w:tcPr>
          <w:p>
            <w:pPr>
              <w:rPr>
                <w:rFonts w:hint="eastAsia" w:ascii="方正仿宋简体" w:hAnsi="方正仿宋简体" w:eastAsia="方正仿宋简体" w:cs="方正仿宋简体"/>
                <w:b w:val="0"/>
                <w:bCs w:val="0"/>
                <w:color w:val="auto"/>
              </w:rPr>
            </w:pPr>
          </w:p>
        </w:tc>
        <w:tc>
          <w:tcPr>
            <w:tcW w:w="555" w:type="pct"/>
            <w:vMerge w:val="continue"/>
          </w:tcPr>
          <w:p>
            <w:pPr>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栏次</w:t>
            </w:r>
          </w:p>
        </w:tc>
        <w:tc>
          <w:tcPr>
            <w:tcW w:w="55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w:t>
            </w:r>
          </w:p>
        </w:tc>
        <w:tc>
          <w:tcPr>
            <w:tcW w:w="55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w:t>
            </w:r>
          </w:p>
        </w:tc>
        <w:tc>
          <w:tcPr>
            <w:tcW w:w="55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w:t>
            </w:r>
          </w:p>
        </w:tc>
        <w:tc>
          <w:tcPr>
            <w:tcW w:w="55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w:t>
            </w:r>
          </w:p>
        </w:tc>
        <w:tc>
          <w:tcPr>
            <w:tcW w:w="55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w:t>
            </w:r>
          </w:p>
        </w:tc>
        <w:tc>
          <w:tcPr>
            <w:tcW w:w="55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w:t>
            </w:r>
          </w:p>
        </w:tc>
        <w:tc>
          <w:tcPr>
            <w:tcW w:w="55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w:t>
            </w:r>
          </w:p>
        </w:tc>
        <w:tc>
          <w:tcPr>
            <w:tcW w:w="55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w:t>
            </w:r>
          </w:p>
        </w:tc>
        <w:tc>
          <w:tcPr>
            <w:tcW w:w="555" w:type="pct"/>
            <w:vAlign w:val="center"/>
          </w:tcPr>
          <w:p>
            <w:pPr>
              <w:pStyle w:val="21"/>
              <w:rPr>
                <w:rFonts w:hint="eastAsia" w:ascii="方正仿宋简体" w:hAnsi="方正仿宋简体" w:eastAsia="方正仿宋简体" w:cs="方正仿宋简体"/>
                <w:b w:val="0"/>
                <w:bCs w:val="0"/>
                <w:color w:val="auto"/>
              </w:rPr>
            </w:pPr>
          </w:p>
        </w:tc>
        <w:tc>
          <w:tcPr>
            <w:tcW w:w="555" w:type="pct"/>
            <w:vAlign w:val="center"/>
          </w:tcPr>
          <w:p>
            <w:pPr>
              <w:pStyle w:val="19"/>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合计</w:t>
            </w:r>
          </w:p>
        </w:tc>
        <w:tc>
          <w:tcPr>
            <w:tcW w:w="555" w:type="pct"/>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22566.08</w:t>
            </w:r>
          </w:p>
        </w:tc>
        <w:tc>
          <w:tcPr>
            <w:tcW w:w="555" w:type="pct"/>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7286.48</w:t>
            </w:r>
          </w:p>
        </w:tc>
        <w:tc>
          <w:tcPr>
            <w:tcW w:w="555" w:type="pct"/>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15279.60</w:t>
            </w:r>
          </w:p>
        </w:tc>
        <w:tc>
          <w:tcPr>
            <w:tcW w:w="555" w:type="pct"/>
            <w:vAlign w:val="center"/>
          </w:tcPr>
          <w:p>
            <w:pPr>
              <w:pStyle w:val="20"/>
              <w:rPr>
                <w:rFonts w:hint="eastAsia" w:ascii="方正仿宋简体" w:hAnsi="方正仿宋简体" w:eastAsia="方正仿宋简体" w:cs="方正仿宋简体"/>
                <w:b w:val="0"/>
                <w:bCs w:val="0"/>
                <w:color w:val="auto"/>
              </w:rPr>
            </w:pPr>
          </w:p>
        </w:tc>
        <w:tc>
          <w:tcPr>
            <w:tcW w:w="555" w:type="pct"/>
            <w:vAlign w:val="center"/>
          </w:tcPr>
          <w:p>
            <w:pPr>
              <w:pStyle w:val="20"/>
              <w:rPr>
                <w:rFonts w:hint="eastAsia" w:ascii="方正仿宋简体" w:hAnsi="方正仿宋简体" w:eastAsia="方正仿宋简体" w:cs="方正仿宋简体"/>
                <w:b w:val="0"/>
                <w:bCs w:val="0"/>
                <w:color w:val="auto"/>
              </w:rPr>
            </w:pPr>
          </w:p>
        </w:tc>
        <w:tc>
          <w:tcPr>
            <w:tcW w:w="555" w:type="pct"/>
            <w:vAlign w:val="center"/>
          </w:tcPr>
          <w:p>
            <w:pPr>
              <w:pStyle w:val="20"/>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208</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社会保障和就业支出</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936.83</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936.83</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20805</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行政事业单位养老支出</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936.83</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936.83</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2080505</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机关事业单位基本养老保险缴费支出</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624.55</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624.55</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2080506</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机关事业单位职业年金缴费支出</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312.28</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312.28</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210</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卫生健康支出</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752.66</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752.66</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21011</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行政事业单位医疗</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752.66</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752.66</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8</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2101102</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事业单位医疗</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752.66</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752.66</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交通运输支出</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20388.60</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5109.00</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15279.60</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10</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21401</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公路水路运输</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9652.99</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5109.00</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4543.99</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11</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2140101</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行政运行</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5162.60</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5109.00</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53.60</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12</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2140102</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一般行政管理事务</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128.60</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128.60</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13</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2140104</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公路建设</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2096.00</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2096.00</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14</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2140106</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公路养护</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2265.79</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2265.79</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15</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21462</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车辆通行费安排的支出</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10735.61</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10735.61</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16</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2146201</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公路还贷</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7852.61</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7852.61</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17</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2146202</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政府还贷公路养护</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1838.00</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1838.00</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18</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2146203</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政府还贷公路管理</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925.00</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925.00</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19</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2146299</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其他车辆通行费安排的支出</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120.00</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120.00</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221</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住房保障支出</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22102</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住房改革支出</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2210201</w:t>
            </w:r>
          </w:p>
        </w:tc>
        <w:tc>
          <w:tcPr>
            <w:tcW w:w="55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住房公积金</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55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c>
          <w:tcPr>
            <w:tcW w:w="555" w:type="pct"/>
            <w:vAlign w:val="center"/>
          </w:tcPr>
          <w:p>
            <w:pPr>
              <w:pStyle w:val="16"/>
              <w:rPr>
                <w:rFonts w:hint="eastAsia" w:ascii="方正仿宋简体" w:hAnsi="方正仿宋简体" w:eastAsia="方正仿宋简体" w:cs="方正仿宋简体"/>
                <w:b w:val="0"/>
                <w:bCs w:val="0"/>
                <w:color w:val="auto"/>
              </w:rPr>
            </w:pPr>
          </w:p>
        </w:tc>
      </w:tr>
    </w:tbl>
    <w:p>
      <w:pPr>
        <w:rPr>
          <w:rFonts w:hint="eastAsia" w:ascii="方正仿宋简体" w:hAnsi="方正仿宋简体" w:eastAsia="方正仿宋简体" w:cs="方正仿宋简体"/>
          <w:b w:val="0"/>
          <w:bCs w:val="0"/>
          <w:color w:val="auto"/>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sz w:val="36"/>
        </w:rPr>
        <w:t>单位预算财政拨款收支总表</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348001遵化市交通运输局本级</w:t>
            </w:r>
          </w:p>
        </w:tc>
        <w:tc>
          <w:tcPr>
            <w:tcW w:w="625" w:type="pct"/>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预算年度：2023</w:t>
            </w:r>
          </w:p>
        </w:tc>
        <w:tc>
          <w:tcPr>
            <w:tcW w:w="2500" w:type="pct"/>
            <w:gridSpan w:val="4"/>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序号</w:t>
            </w:r>
          </w:p>
        </w:tc>
        <w:tc>
          <w:tcPr>
            <w:tcW w:w="1250" w:type="pct"/>
            <w:gridSpan w:val="2"/>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收入</w:t>
            </w:r>
          </w:p>
        </w:tc>
        <w:tc>
          <w:tcPr>
            <w:tcW w:w="3125" w:type="pct"/>
            <w:gridSpan w:val="5"/>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pPr>
              <w:rPr>
                <w:rFonts w:hint="eastAsia" w:ascii="方正仿宋简体" w:hAnsi="方正仿宋简体" w:eastAsia="方正仿宋简体" w:cs="方正仿宋简体"/>
                <w:b w:val="0"/>
                <w:bCs w:val="0"/>
                <w:color w:val="auto"/>
              </w:rPr>
            </w:pPr>
          </w:p>
        </w:tc>
        <w:tc>
          <w:tcPr>
            <w:tcW w:w="62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项  目</w:t>
            </w:r>
          </w:p>
        </w:tc>
        <w:tc>
          <w:tcPr>
            <w:tcW w:w="62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金额</w:t>
            </w:r>
          </w:p>
        </w:tc>
        <w:tc>
          <w:tcPr>
            <w:tcW w:w="62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项  目</w:t>
            </w:r>
          </w:p>
        </w:tc>
        <w:tc>
          <w:tcPr>
            <w:tcW w:w="62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合计</w:t>
            </w:r>
          </w:p>
        </w:tc>
        <w:tc>
          <w:tcPr>
            <w:tcW w:w="62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一般公共预算财政拨款</w:t>
            </w:r>
          </w:p>
        </w:tc>
        <w:tc>
          <w:tcPr>
            <w:tcW w:w="62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政府性基金预算财政    拨款</w:t>
            </w:r>
          </w:p>
        </w:tc>
        <w:tc>
          <w:tcPr>
            <w:tcW w:w="62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栏次</w:t>
            </w:r>
          </w:p>
        </w:tc>
        <w:tc>
          <w:tcPr>
            <w:tcW w:w="62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w:t>
            </w:r>
          </w:p>
        </w:tc>
        <w:tc>
          <w:tcPr>
            <w:tcW w:w="62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w:t>
            </w:r>
          </w:p>
        </w:tc>
        <w:tc>
          <w:tcPr>
            <w:tcW w:w="62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w:t>
            </w:r>
          </w:p>
        </w:tc>
        <w:tc>
          <w:tcPr>
            <w:tcW w:w="62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w:t>
            </w:r>
          </w:p>
        </w:tc>
        <w:tc>
          <w:tcPr>
            <w:tcW w:w="62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w:t>
            </w:r>
          </w:p>
        </w:tc>
        <w:tc>
          <w:tcPr>
            <w:tcW w:w="62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w:t>
            </w:r>
          </w:p>
        </w:tc>
        <w:tc>
          <w:tcPr>
            <w:tcW w:w="625"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w:t>
            </w: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一、一般公共预算拨款</w:t>
            </w:r>
          </w:p>
        </w:tc>
        <w:tc>
          <w:tcPr>
            <w:tcW w:w="62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11830.47</w:t>
            </w: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一、一般公共服务支出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w:t>
            </w: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二、政府性基金预算拨款</w:t>
            </w:r>
          </w:p>
        </w:tc>
        <w:tc>
          <w:tcPr>
            <w:tcW w:w="62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10735.61</w:t>
            </w: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二、外交支出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w:t>
            </w: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三、国有资本经营预算拨款</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三、国防支出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四、公共安全支出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五、教育支出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六、科学技术支出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七、文化旅游体育与传媒支出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8</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八、社会保障和就业支出</w:t>
            </w:r>
          </w:p>
        </w:tc>
        <w:tc>
          <w:tcPr>
            <w:tcW w:w="62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936.83</w:t>
            </w:r>
          </w:p>
        </w:tc>
        <w:tc>
          <w:tcPr>
            <w:tcW w:w="62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936.83</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九、社会保险基金支出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10</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十、卫生健康支出</w:t>
            </w:r>
          </w:p>
        </w:tc>
        <w:tc>
          <w:tcPr>
            <w:tcW w:w="62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752.66</w:t>
            </w:r>
          </w:p>
        </w:tc>
        <w:tc>
          <w:tcPr>
            <w:tcW w:w="62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752.66</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11</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十一、节能环保支出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12</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十二、城乡社区支出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13</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十三、农林水支出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14</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十四、交通运输支出</w:t>
            </w:r>
          </w:p>
        </w:tc>
        <w:tc>
          <w:tcPr>
            <w:tcW w:w="62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20388.60</w:t>
            </w:r>
          </w:p>
        </w:tc>
        <w:tc>
          <w:tcPr>
            <w:tcW w:w="62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9652.99</w:t>
            </w:r>
          </w:p>
        </w:tc>
        <w:tc>
          <w:tcPr>
            <w:tcW w:w="62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10735.61</w:t>
            </w: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15</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十五、资源勘探工业信息等支出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16</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十六、商业服务业等支出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17</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十七、金融支出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18</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十八、援助其他地区支出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19</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十九、自然资源海洋气象等支出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二十、住房保障支出</w:t>
            </w:r>
          </w:p>
        </w:tc>
        <w:tc>
          <w:tcPr>
            <w:tcW w:w="62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625"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二十一、粮油物资储备支出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二十二、国有资本经营预算支出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23</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二十三、灾害防治及应急管理支出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24</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二十四、预备费</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25</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二十五、其他支出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26</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二十六、转移性支出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27</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二十七、债务还本支出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28</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二十八、债务付息支出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29</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二十九、债务发行费用支出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三十、抗疫特别国债安排的支出</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31</w:t>
            </w: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三十一、人行科目</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32</w:t>
            </w:r>
          </w:p>
        </w:tc>
        <w:tc>
          <w:tcPr>
            <w:tcW w:w="625" w:type="pct"/>
            <w:vAlign w:val="center"/>
          </w:tcPr>
          <w:p>
            <w:pPr>
              <w:pStyle w:val="19"/>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本年收入合计</w:t>
            </w:r>
          </w:p>
        </w:tc>
        <w:tc>
          <w:tcPr>
            <w:tcW w:w="625" w:type="pct"/>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22566.08</w:t>
            </w:r>
          </w:p>
        </w:tc>
        <w:tc>
          <w:tcPr>
            <w:tcW w:w="625" w:type="pct"/>
            <w:vAlign w:val="center"/>
          </w:tcPr>
          <w:p>
            <w:pPr>
              <w:pStyle w:val="19"/>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本年支出合计</w:t>
            </w:r>
          </w:p>
        </w:tc>
        <w:tc>
          <w:tcPr>
            <w:tcW w:w="625" w:type="pct"/>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22566.08</w:t>
            </w:r>
          </w:p>
        </w:tc>
        <w:tc>
          <w:tcPr>
            <w:tcW w:w="625" w:type="pct"/>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11830.47</w:t>
            </w:r>
          </w:p>
        </w:tc>
        <w:tc>
          <w:tcPr>
            <w:tcW w:w="625" w:type="pct"/>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10735.61</w:t>
            </w:r>
          </w:p>
        </w:tc>
        <w:tc>
          <w:tcPr>
            <w:tcW w:w="625" w:type="pct"/>
            <w:vAlign w:val="center"/>
          </w:tcPr>
          <w:p>
            <w:pPr>
              <w:pStyle w:val="20"/>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33</w:t>
            </w: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年初财政拨款结转和结余</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年末财政拨款结转和结余</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34</w:t>
            </w: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一、一般公共预算拨款</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35</w:t>
            </w: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二、政府性基金预算拨款</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36</w:t>
            </w:r>
          </w:p>
        </w:tc>
        <w:tc>
          <w:tcPr>
            <w:tcW w:w="625"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三、国有资本经营预算拨款</w:t>
            </w: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7"/>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c>
          <w:tcPr>
            <w:tcW w:w="625"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37</w:t>
            </w:r>
          </w:p>
        </w:tc>
        <w:tc>
          <w:tcPr>
            <w:tcW w:w="625" w:type="pct"/>
            <w:vAlign w:val="center"/>
          </w:tcPr>
          <w:p>
            <w:pPr>
              <w:pStyle w:val="19"/>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收入总计</w:t>
            </w:r>
          </w:p>
        </w:tc>
        <w:tc>
          <w:tcPr>
            <w:tcW w:w="625" w:type="pct"/>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22566.08</w:t>
            </w:r>
          </w:p>
        </w:tc>
        <w:tc>
          <w:tcPr>
            <w:tcW w:w="625" w:type="pct"/>
            <w:vAlign w:val="center"/>
          </w:tcPr>
          <w:p>
            <w:pPr>
              <w:pStyle w:val="19"/>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支出总计</w:t>
            </w:r>
          </w:p>
        </w:tc>
        <w:tc>
          <w:tcPr>
            <w:tcW w:w="625" w:type="pct"/>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22566.08</w:t>
            </w:r>
          </w:p>
        </w:tc>
        <w:tc>
          <w:tcPr>
            <w:tcW w:w="625" w:type="pct"/>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11830.47</w:t>
            </w:r>
          </w:p>
        </w:tc>
        <w:tc>
          <w:tcPr>
            <w:tcW w:w="625" w:type="pct"/>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10735.61</w:t>
            </w:r>
          </w:p>
        </w:tc>
        <w:tc>
          <w:tcPr>
            <w:tcW w:w="625" w:type="pct"/>
            <w:vAlign w:val="center"/>
          </w:tcPr>
          <w:p>
            <w:pPr>
              <w:pStyle w:val="20"/>
              <w:rPr>
                <w:rFonts w:hint="eastAsia" w:ascii="方正仿宋简体" w:hAnsi="方正仿宋简体" w:eastAsia="方正仿宋简体" w:cs="方正仿宋简体"/>
                <w:b w:val="0"/>
                <w:bCs w:val="0"/>
                <w:color w:val="auto"/>
              </w:rPr>
            </w:pPr>
          </w:p>
        </w:tc>
      </w:tr>
    </w:tbl>
    <w:p>
      <w:pPr>
        <w:rPr>
          <w:rFonts w:hint="eastAsia" w:ascii="方正仿宋简体" w:hAnsi="方正仿宋简体" w:eastAsia="方正仿宋简体" w:cs="方正仿宋简体"/>
          <w:b w:val="0"/>
          <w:bCs w:val="0"/>
          <w:color w:val="auto"/>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sz w:val="36"/>
        </w:rPr>
        <w:t>单位预算一般公共预算财政拨款支出表</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348001遵化市交通运输局本级</w:t>
            </w:r>
          </w:p>
        </w:tc>
        <w:tc>
          <w:tcPr>
            <w:tcW w:w="833" w:type="pct"/>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序号</w:t>
            </w:r>
          </w:p>
        </w:tc>
        <w:tc>
          <w:tcPr>
            <w:tcW w:w="1666" w:type="pct"/>
            <w:gridSpan w:val="2"/>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功能分类科目</w:t>
            </w:r>
          </w:p>
        </w:tc>
        <w:tc>
          <w:tcPr>
            <w:tcW w:w="833"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合计</w:t>
            </w:r>
          </w:p>
        </w:tc>
        <w:tc>
          <w:tcPr>
            <w:tcW w:w="833"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基本支出</w:t>
            </w:r>
          </w:p>
        </w:tc>
        <w:tc>
          <w:tcPr>
            <w:tcW w:w="833"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方正仿宋简体" w:hAnsi="方正仿宋简体" w:eastAsia="方正仿宋简体" w:cs="方正仿宋简体"/>
                <w:b w:val="0"/>
                <w:bCs w:val="0"/>
                <w:color w:val="auto"/>
              </w:rPr>
            </w:pP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科目编码</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科目名称</w:t>
            </w:r>
          </w:p>
        </w:tc>
        <w:tc>
          <w:tcPr>
            <w:tcW w:w="833" w:type="pct"/>
            <w:vMerge w:val="continue"/>
          </w:tcPr>
          <w:p>
            <w:pPr>
              <w:rPr>
                <w:rFonts w:hint="eastAsia" w:ascii="方正仿宋简体" w:hAnsi="方正仿宋简体" w:eastAsia="方正仿宋简体" w:cs="方正仿宋简体"/>
                <w:b w:val="0"/>
                <w:bCs w:val="0"/>
                <w:color w:val="auto"/>
              </w:rPr>
            </w:pPr>
          </w:p>
        </w:tc>
        <w:tc>
          <w:tcPr>
            <w:tcW w:w="833" w:type="pct"/>
            <w:vMerge w:val="continue"/>
          </w:tcPr>
          <w:p>
            <w:pPr>
              <w:rPr>
                <w:rFonts w:hint="eastAsia" w:ascii="方正仿宋简体" w:hAnsi="方正仿宋简体" w:eastAsia="方正仿宋简体" w:cs="方正仿宋简体"/>
                <w:b w:val="0"/>
                <w:bCs w:val="0"/>
                <w:color w:val="auto"/>
              </w:rPr>
            </w:pPr>
          </w:p>
        </w:tc>
        <w:tc>
          <w:tcPr>
            <w:tcW w:w="833" w:type="pct"/>
            <w:vMerge w:val="continue"/>
          </w:tcPr>
          <w:p>
            <w:pPr>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栏次</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w:t>
            </w:r>
          </w:p>
        </w:tc>
        <w:tc>
          <w:tcPr>
            <w:tcW w:w="833" w:type="pct"/>
            <w:vAlign w:val="center"/>
          </w:tcPr>
          <w:p>
            <w:pPr>
              <w:pStyle w:val="21"/>
              <w:rPr>
                <w:rFonts w:hint="eastAsia" w:ascii="方正仿宋简体" w:hAnsi="方正仿宋简体" w:eastAsia="方正仿宋简体" w:cs="方正仿宋简体"/>
                <w:b w:val="0"/>
                <w:bCs w:val="0"/>
                <w:color w:val="auto"/>
              </w:rPr>
            </w:pPr>
          </w:p>
        </w:tc>
        <w:tc>
          <w:tcPr>
            <w:tcW w:w="833" w:type="pct"/>
            <w:vAlign w:val="center"/>
          </w:tcPr>
          <w:p>
            <w:pPr>
              <w:pStyle w:val="19"/>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合计</w:t>
            </w:r>
          </w:p>
        </w:tc>
        <w:tc>
          <w:tcPr>
            <w:tcW w:w="833" w:type="pct"/>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11830.47</w:t>
            </w:r>
          </w:p>
        </w:tc>
        <w:tc>
          <w:tcPr>
            <w:tcW w:w="833" w:type="pct"/>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7286.48</w:t>
            </w:r>
          </w:p>
        </w:tc>
        <w:tc>
          <w:tcPr>
            <w:tcW w:w="833" w:type="pct"/>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4543.99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208</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社会保障和就业支出</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936.83</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936.83</w:t>
            </w: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20805</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行政事业单位养老支出</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936.83</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936.83</w:t>
            </w: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2080505</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机关事业单位基本养老保险缴费支出</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624.55</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624.55</w:t>
            </w: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2080506</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机关事业单位职业年金缴费支出</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312.28</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312.28</w:t>
            </w: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210</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卫生健康支出</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752.66</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752.66</w:t>
            </w: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21011</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行政事业单位医疗</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752.66</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752.66</w:t>
            </w: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8</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2101102</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事业单位医疗</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752.66</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752.66</w:t>
            </w: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交通运输支出</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9652.99</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5109.00</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4543.99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10</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21401</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公路水路运输</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9652.99</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5109.00</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4543.99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11</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2140101</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行政运行</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5162.60</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5109.00</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12</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2140102</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一般行政管理事务</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128.60</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128.60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13</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2140104</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公路建设</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2096.00</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14</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2140106</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公路养护</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2265.79</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2265.79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15</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221</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住房保障支出</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16</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22102</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住房改革支出</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17</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2210201</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住房公积金</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833" w:type="pct"/>
            <w:vAlign w:val="center"/>
          </w:tcPr>
          <w:p>
            <w:pPr>
              <w:pStyle w:val="16"/>
              <w:rPr>
                <w:rFonts w:hint="eastAsia" w:ascii="方正仿宋简体" w:hAnsi="方正仿宋简体" w:eastAsia="方正仿宋简体" w:cs="方正仿宋简体"/>
                <w:b w:val="0"/>
                <w:bCs w:val="0"/>
                <w:color w:val="auto"/>
              </w:rPr>
            </w:pPr>
          </w:p>
        </w:tc>
      </w:tr>
    </w:tbl>
    <w:p>
      <w:pPr>
        <w:rPr>
          <w:rFonts w:hint="eastAsia" w:ascii="方正仿宋简体" w:hAnsi="方正仿宋简体" w:eastAsia="方正仿宋简体" w:cs="方正仿宋简体"/>
          <w:b w:val="0"/>
          <w:bCs w:val="0"/>
          <w:color w:val="auto"/>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sz w:val="36"/>
        </w:rPr>
        <w:t>单位预算一般公共预算财政拨款基本支出表</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348001遵化市交通运输局本级</w:t>
            </w:r>
          </w:p>
        </w:tc>
        <w:tc>
          <w:tcPr>
            <w:tcW w:w="833" w:type="pct"/>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序号</w:t>
            </w:r>
          </w:p>
        </w:tc>
        <w:tc>
          <w:tcPr>
            <w:tcW w:w="1666" w:type="pct"/>
            <w:gridSpan w:val="2"/>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支出</w:t>
            </w:r>
            <w:r>
              <w:rPr>
                <w:rFonts w:hint="eastAsia" w:ascii="方正仿宋简体" w:hAnsi="方正仿宋简体" w:eastAsia="方正仿宋简体" w:cs="方正仿宋简体"/>
                <w:b w:val="0"/>
                <w:bCs w:val="0"/>
                <w:color w:val="auto"/>
                <w:lang w:eastAsia="zh-CN"/>
              </w:rPr>
              <w:t>单位</w:t>
            </w:r>
            <w:r>
              <w:rPr>
                <w:rFonts w:hint="eastAsia" w:ascii="方正仿宋简体" w:hAnsi="方正仿宋简体" w:eastAsia="方正仿宋简体" w:cs="方正仿宋简体"/>
                <w:b w:val="0"/>
                <w:bCs w:val="0"/>
                <w:color w:val="auto"/>
              </w:rPr>
              <w:t>经济分类科目</w:t>
            </w:r>
          </w:p>
        </w:tc>
        <w:tc>
          <w:tcPr>
            <w:tcW w:w="2499" w:type="pct"/>
            <w:gridSpan w:val="3"/>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方正仿宋简体" w:hAnsi="方正仿宋简体" w:eastAsia="方正仿宋简体" w:cs="方正仿宋简体"/>
                <w:b w:val="0"/>
                <w:bCs w:val="0"/>
                <w:color w:val="auto"/>
              </w:rPr>
            </w:pP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科目编码</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科目名称</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合计</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人员经费</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栏次</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w:t>
            </w:r>
          </w:p>
        </w:tc>
        <w:tc>
          <w:tcPr>
            <w:tcW w:w="833" w:type="pct"/>
            <w:vAlign w:val="center"/>
          </w:tcPr>
          <w:p>
            <w:pPr>
              <w:pStyle w:val="21"/>
              <w:rPr>
                <w:rFonts w:hint="eastAsia" w:ascii="方正仿宋简体" w:hAnsi="方正仿宋简体" w:eastAsia="方正仿宋简体" w:cs="方正仿宋简体"/>
                <w:b w:val="0"/>
                <w:bCs w:val="0"/>
                <w:color w:val="auto"/>
              </w:rPr>
            </w:pPr>
          </w:p>
        </w:tc>
        <w:tc>
          <w:tcPr>
            <w:tcW w:w="833" w:type="pct"/>
            <w:vAlign w:val="center"/>
          </w:tcPr>
          <w:p>
            <w:pPr>
              <w:pStyle w:val="19"/>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合计</w:t>
            </w:r>
          </w:p>
        </w:tc>
        <w:tc>
          <w:tcPr>
            <w:tcW w:w="833" w:type="pct"/>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7286.48</w:t>
            </w:r>
          </w:p>
        </w:tc>
        <w:tc>
          <w:tcPr>
            <w:tcW w:w="833" w:type="pct"/>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7221.68</w:t>
            </w:r>
          </w:p>
        </w:tc>
        <w:tc>
          <w:tcPr>
            <w:tcW w:w="833" w:type="pct"/>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301</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工资福利支出</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6563.34</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6563.34</w:t>
            </w: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30101</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基本工资</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3494.43</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3494.43</w:t>
            </w: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30102</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津贴补贴</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421.97</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421.97</w:t>
            </w: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30103</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奖金</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534.87</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534.87</w:t>
            </w: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30107</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绩效工资</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7.86</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7.86</w:t>
            </w: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30108</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机关事业单位基本养老保险缴费</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697.86</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697.86</w:t>
            </w: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8</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30109</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职业年金缴费</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312.28</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312.28</w:t>
            </w: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30110</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职工基本医疗保险缴费</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595.23</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595.23</w:t>
            </w: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10</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30111</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公务员医疗补助缴费</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8.79</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8.79</w:t>
            </w: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11</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30112</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其他社会保障缴费</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2.06</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2.06</w:t>
            </w: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12</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30113</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住房公积金</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487.99</w:t>
            </w: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13</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302</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商品和服务支出</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64.80</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14</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30201</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办公费</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0.36</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15</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30206</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电费</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0.24</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16</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30207</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邮电费</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0.12</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17</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30208</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取暖费</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39.59</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18</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30211</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差旅费</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0.24</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19</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30215</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会议费</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0.06</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30216</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培训费</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0.06</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30217</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公务接待费</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0.03</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22</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30228</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工会经费</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1.44</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23</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30229</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福利费</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1.59</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24</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30231</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公务用车运行维护费</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8.20</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25</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30239</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其他交通费用</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7.50</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26</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30299</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其他商品和服务支出</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5.37</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27</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303</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对个人和家庭的补助</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658.34</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658.34</w:t>
            </w: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28</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30302</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退休费</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479.18</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479.18</w:t>
            </w: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29</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30304</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抚恤金</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19.12</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19.12</w:t>
            </w: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30307</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医疗费补助</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160.04</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160.04</w:t>
            </w:r>
          </w:p>
        </w:tc>
        <w:tc>
          <w:tcPr>
            <w:tcW w:w="833" w:type="pct"/>
            <w:vAlign w:val="center"/>
          </w:tcPr>
          <w:p>
            <w:pPr>
              <w:pStyle w:val="16"/>
              <w:rPr>
                <w:rFonts w:hint="eastAsia" w:ascii="方正仿宋简体" w:hAnsi="方正仿宋简体" w:eastAsia="方正仿宋简体" w:cs="方正仿宋简体"/>
                <w:b w:val="0"/>
                <w:bCs w:val="0"/>
                <w:color w:val="auto"/>
              </w:rPr>
            </w:pPr>
          </w:p>
        </w:tc>
      </w:tr>
    </w:tbl>
    <w:p>
      <w:pPr>
        <w:rPr>
          <w:rFonts w:hint="eastAsia" w:ascii="方正仿宋简体" w:hAnsi="方正仿宋简体" w:eastAsia="方正仿宋简体" w:cs="方正仿宋简体"/>
          <w:b w:val="0"/>
          <w:bCs w:val="0"/>
          <w:color w:val="auto"/>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sz w:val="36"/>
        </w:rPr>
        <w:t>单位预算政府基金预算财政拨款支出表</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348001遵化市交通运输局本级</w:t>
            </w:r>
          </w:p>
        </w:tc>
        <w:tc>
          <w:tcPr>
            <w:tcW w:w="833" w:type="pct"/>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序号</w:t>
            </w:r>
          </w:p>
        </w:tc>
        <w:tc>
          <w:tcPr>
            <w:tcW w:w="1666" w:type="pct"/>
            <w:gridSpan w:val="2"/>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功能分类科目</w:t>
            </w:r>
          </w:p>
        </w:tc>
        <w:tc>
          <w:tcPr>
            <w:tcW w:w="833"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合计</w:t>
            </w:r>
          </w:p>
        </w:tc>
        <w:tc>
          <w:tcPr>
            <w:tcW w:w="833"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基本支出</w:t>
            </w:r>
          </w:p>
        </w:tc>
        <w:tc>
          <w:tcPr>
            <w:tcW w:w="833"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方正仿宋简体" w:hAnsi="方正仿宋简体" w:eastAsia="方正仿宋简体" w:cs="方正仿宋简体"/>
                <w:b w:val="0"/>
                <w:bCs w:val="0"/>
                <w:color w:val="auto"/>
              </w:rPr>
            </w:pP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科目编码</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科目名称</w:t>
            </w:r>
          </w:p>
        </w:tc>
        <w:tc>
          <w:tcPr>
            <w:tcW w:w="833" w:type="pct"/>
            <w:vMerge w:val="continue"/>
          </w:tcPr>
          <w:p>
            <w:pPr>
              <w:rPr>
                <w:rFonts w:hint="eastAsia" w:ascii="方正仿宋简体" w:hAnsi="方正仿宋简体" w:eastAsia="方正仿宋简体" w:cs="方正仿宋简体"/>
                <w:b w:val="0"/>
                <w:bCs w:val="0"/>
                <w:color w:val="auto"/>
              </w:rPr>
            </w:pPr>
          </w:p>
        </w:tc>
        <w:tc>
          <w:tcPr>
            <w:tcW w:w="833" w:type="pct"/>
            <w:vMerge w:val="continue"/>
          </w:tcPr>
          <w:p>
            <w:pPr>
              <w:rPr>
                <w:rFonts w:hint="eastAsia" w:ascii="方正仿宋简体" w:hAnsi="方正仿宋简体" w:eastAsia="方正仿宋简体" w:cs="方正仿宋简体"/>
                <w:b w:val="0"/>
                <w:bCs w:val="0"/>
                <w:color w:val="auto"/>
              </w:rPr>
            </w:pPr>
          </w:p>
        </w:tc>
        <w:tc>
          <w:tcPr>
            <w:tcW w:w="833" w:type="pct"/>
            <w:vMerge w:val="continue"/>
          </w:tcPr>
          <w:p>
            <w:pPr>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栏次</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w:t>
            </w:r>
          </w:p>
        </w:tc>
        <w:tc>
          <w:tcPr>
            <w:tcW w:w="833" w:type="pct"/>
            <w:vAlign w:val="center"/>
          </w:tcPr>
          <w:p>
            <w:pPr>
              <w:pStyle w:val="21"/>
              <w:rPr>
                <w:rFonts w:hint="eastAsia" w:ascii="方正仿宋简体" w:hAnsi="方正仿宋简体" w:eastAsia="方正仿宋简体" w:cs="方正仿宋简体"/>
                <w:b w:val="0"/>
                <w:bCs w:val="0"/>
                <w:color w:val="auto"/>
              </w:rPr>
            </w:pPr>
          </w:p>
        </w:tc>
        <w:tc>
          <w:tcPr>
            <w:tcW w:w="833" w:type="pct"/>
            <w:vAlign w:val="center"/>
          </w:tcPr>
          <w:p>
            <w:pPr>
              <w:pStyle w:val="19"/>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合计</w:t>
            </w:r>
          </w:p>
        </w:tc>
        <w:tc>
          <w:tcPr>
            <w:tcW w:w="833" w:type="pct"/>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10735.61</w:t>
            </w:r>
          </w:p>
        </w:tc>
        <w:tc>
          <w:tcPr>
            <w:tcW w:w="833" w:type="pct"/>
            <w:vAlign w:val="center"/>
          </w:tcPr>
          <w:p>
            <w:pPr>
              <w:pStyle w:val="20"/>
              <w:rPr>
                <w:rFonts w:hint="eastAsia" w:ascii="方正仿宋简体" w:hAnsi="方正仿宋简体" w:eastAsia="方正仿宋简体" w:cs="方正仿宋简体"/>
                <w:b w:val="0"/>
                <w:bCs w:val="0"/>
                <w:color w:val="auto"/>
              </w:rPr>
            </w:pPr>
          </w:p>
        </w:tc>
        <w:tc>
          <w:tcPr>
            <w:tcW w:w="833" w:type="pct"/>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10735.61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交通运输支出</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10735.61</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10735.61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21462</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车辆通行费安排的支出</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10735.61</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10735.61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2146201</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公路还贷</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7852.61</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7852.61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2146202</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政府还贷公路养护</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1838.00</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1838.00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2146203</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政府还贷公路管理</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925.00</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2146299</w:t>
            </w:r>
          </w:p>
        </w:tc>
        <w:tc>
          <w:tcPr>
            <w:tcW w:w="833"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其他车辆通行费安排的支出</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120.00</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120.00</w:t>
            </w:r>
          </w:p>
        </w:tc>
      </w:tr>
    </w:tbl>
    <w:p>
      <w:pPr>
        <w:rPr>
          <w:rFonts w:hint="eastAsia" w:ascii="方正仿宋简体" w:hAnsi="方正仿宋简体" w:eastAsia="方正仿宋简体" w:cs="方正仿宋简体"/>
          <w:b w:val="0"/>
          <w:bCs w:val="0"/>
          <w:color w:val="auto"/>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sz w:val="36"/>
        </w:rPr>
        <w:t>单位预算国有资本经营预算财政拨款支出表</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348001遵化市交通运输局本级</w:t>
            </w:r>
          </w:p>
        </w:tc>
        <w:tc>
          <w:tcPr>
            <w:tcW w:w="833" w:type="pct"/>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序号</w:t>
            </w:r>
          </w:p>
        </w:tc>
        <w:tc>
          <w:tcPr>
            <w:tcW w:w="1666" w:type="pct"/>
            <w:gridSpan w:val="2"/>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功能分类科目</w:t>
            </w:r>
          </w:p>
        </w:tc>
        <w:tc>
          <w:tcPr>
            <w:tcW w:w="833"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合计</w:t>
            </w:r>
          </w:p>
        </w:tc>
        <w:tc>
          <w:tcPr>
            <w:tcW w:w="833"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基本支出</w:t>
            </w:r>
          </w:p>
        </w:tc>
        <w:tc>
          <w:tcPr>
            <w:tcW w:w="833"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方正仿宋简体" w:hAnsi="方正仿宋简体" w:eastAsia="方正仿宋简体" w:cs="方正仿宋简体"/>
                <w:b w:val="0"/>
                <w:bCs w:val="0"/>
                <w:color w:val="auto"/>
              </w:rPr>
            </w:pP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科目编码</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科目名称</w:t>
            </w:r>
          </w:p>
        </w:tc>
        <w:tc>
          <w:tcPr>
            <w:tcW w:w="833" w:type="pct"/>
            <w:vMerge w:val="continue"/>
          </w:tcPr>
          <w:p>
            <w:pPr>
              <w:rPr>
                <w:rFonts w:hint="eastAsia" w:ascii="方正仿宋简体" w:hAnsi="方正仿宋简体" w:eastAsia="方正仿宋简体" w:cs="方正仿宋简体"/>
                <w:b w:val="0"/>
                <w:bCs w:val="0"/>
                <w:color w:val="auto"/>
              </w:rPr>
            </w:pPr>
          </w:p>
        </w:tc>
        <w:tc>
          <w:tcPr>
            <w:tcW w:w="833" w:type="pct"/>
            <w:vMerge w:val="continue"/>
          </w:tcPr>
          <w:p>
            <w:pPr>
              <w:rPr>
                <w:rFonts w:hint="eastAsia" w:ascii="方正仿宋简体" w:hAnsi="方正仿宋简体" w:eastAsia="方正仿宋简体" w:cs="方正仿宋简体"/>
                <w:b w:val="0"/>
                <w:bCs w:val="0"/>
                <w:color w:val="auto"/>
              </w:rPr>
            </w:pPr>
          </w:p>
        </w:tc>
        <w:tc>
          <w:tcPr>
            <w:tcW w:w="833" w:type="pct"/>
            <w:vMerge w:val="continue"/>
          </w:tcPr>
          <w:p>
            <w:pPr>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栏次</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rPr>
                <w:rFonts w:hint="eastAsia" w:ascii="方正仿宋简体" w:hAnsi="方正仿宋简体" w:eastAsia="方正仿宋简体" w:cs="方正仿宋简体"/>
                <w:b w:val="0"/>
                <w:bCs w:val="0"/>
                <w:color w:val="auto"/>
              </w:rPr>
            </w:pPr>
          </w:p>
        </w:tc>
        <w:tc>
          <w:tcPr>
            <w:tcW w:w="833" w:type="pct"/>
            <w:vAlign w:val="center"/>
          </w:tcPr>
          <w:p>
            <w:pPr>
              <w:pStyle w:val="17"/>
              <w:rPr>
                <w:rFonts w:hint="eastAsia" w:ascii="方正仿宋简体" w:hAnsi="方正仿宋简体" w:eastAsia="方正仿宋简体" w:cs="方正仿宋简体"/>
                <w:b w:val="0"/>
                <w:bCs w:val="0"/>
                <w:color w:val="auto"/>
              </w:rPr>
            </w:pPr>
          </w:p>
        </w:tc>
        <w:tc>
          <w:tcPr>
            <w:tcW w:w="833" w:type="pct"/>
            <w:vAlign w:val="center"/>
          </w:tcPr>
          <w:p>
            <w:pPr>
              <w:pStyle w:val="17"/>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p>
        </w:tc>
      </w:tr>
    </w:tbl>
    <w:p>
      <w:pPr>
        <w:spacing w:before="0" w:after="0" w:line="240" w:lineRule="auto"/>
        <w:ind w:firstLine="420"/>
        <w:jc w:val="left"/>
        <w:outlineLvl w:val="9"/>
        <w:rPr>
          <w:rFonts w:hint="eastAsia" w:ascii="方正仿宋简体" w:hAnsi="方正仿宋简体" w:eastAsia="方正仿宋简体" w:cs="方正仿宋简体"/>
          <w:b w:val="0"/>
          <w:bCs w:val="0"/>
          <w:color w:val="auto"/>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bCs w:val="0"/>
          <w:color w:val="auto"/>
          <w:sz w:val="21"/>
        </w:rPr>
        <w:t>注：无国有资本经营预算财政拨款预算，空表列示。</w:t>
      </w:r>
    </w:p>
    <w:p>
      <w:pPr>
        <w:spacing w:before="0" w:after="0" w:line="240" w:lineRule="auto"/>
        <w:ind w:firstLine="0"/>
        <w:jc w:val="center"/>
        <w:outlineLvl w:val="4"/>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sz w:val="36"/>
        </w:rPr>
        <w:t>单位预算财政拨款“三公”经费支出表</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348001遵化市交通运输局本级</w:t>
            </w:r>
          </w:p>
        </w:tc>
        <w:tc>
          <w:tcPr>
            <w:tcW w:w="833" w:type="pct"/>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序号</w:t>
            </w:r>
          </w:p>
        </w:tc>
        <w:tc>
          <w:tcPr>
            <w:tcW w:w="832" w:type="pct"/>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项  目</w:t>
            </w:r>
          </w:p>
        </w:tc>
        <w:tc>
          <w:tcPr>
            <w:tcW w:w="3334" w:type="pct"/>
            <w:gridSpan w:val="4"/>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Merge w:val="continue"/>
          </w:tcPr>
          <w:p>
            <w:pPr>
              <w:rPr>
                <w:rFonts w:hint="eastAsia" w:ascii="方正仿宋简体" w:hAnsi="方正仿宋简体" w:eastAsia="方正仿宋简体" w:cs="方正仿宋简体"/>
                <w:b w:val="0"/>
                <w:bCs w:val="0"/>
                <w:color w:val="auto"/>
              </w:rPr>
            </w:pPr>
          </w:p>
        </w:tc>
        <w:tc>
          <w:tcPr>
            <w:tcW w:w="832" w:type="pct"/>
            <w:vMerge w:val="continue"/>
          </w:tcPr>
          <w:p>
            <w:pPr>
              <w:rPr>
                <w:rFonts w:hint="eastAsia" w:ascii="方正仿宋简体" w:hAnsi="方正仿宋简体" w:eastAsia="方正仿宋简体" w:cs="方正仿宋简体"/>
                <w:b w:val="0"/>
                <w:bCs w:val="0"/>
                <w:color w:val="auto"/>
              </w:rPr>
            </w:pPr>
          </w:p>
        </w:tc>
        <w:tc>
          <w:tcPr>
            <w:tcW w:w="83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合计</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一般公共预算              财政拨款</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政府性基金                  预算拨款</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栏次</w:t>
            </w:r>
          </w:p>
        </w:tc>
        <w:tc>
          <w:tcPr>
            <w:tcW w:w="832"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w:t>
            </w:r>
          </w:p>
        </w:tc>
        <w:tc>
          <w:tcPr>
            <w:tcW w:w="834"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w:t>
            </w:r>
          </w:p>
        </w:tc>
        <w:tc>
          <w:tcPr>
            <w:tcW w:w="833" w:type="pc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w:t>
            </w:r>
          </w:p>
        </w:tc>
        <w:tc>
          <w:tcPr>
            <w:tcW w:w="832" w:type="pct"/>
            <w:vAlign w:val="center"/>
          </w:tcPr>
          <w:p>
            <w:pPr>
              <w:pStyle w:val="19"/>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合计</w:t>
            </w:r>
          </w:p>
        </w:tc>
        <w:tc>
          <w:tcPr>
            <w:tcW w:w="834" w:type="pct"/>
            <w:vAlign w:val="center"/>
          </w:tcPr>
          <w:p>
            <w:pPr>
              <w:pStyle w:val="20"/>
              <w:rPr>
                <w:rFonts w:hint="default" w:ascii="方正仿宋简体" w:hAnsi="方正仿宋简体" w:eastAsia="方正仿宋简体" w:cs="方正仿宋简体"/>
                <w:b w:val="0"/>
                <w:bCs w:val="0"/>
                <w:color w:val="auto"/>
                <w:lang w:val="en-US" w:eastAsia="zh-CN"/>
              </w:rPr>
            </w:pPr>
            <w:r>
              <w:rPr>
                <w:rFonts w:hint="eastAsia" w:ascii="方正仿宋简体" w:hAnsi="方正仿宋简体" w:eastAsia="方正仿宋简体" w:cs="方正仿宋简体"/>
                <w:b w:val="0"/>
                <w:bCs w:val="0"/>
                <w:color w:val="auto"/>
              </w:rPr>
              <w:t>8.</w:t>
            </w:r>
            <w:r>
              <w:rPr>
                <w:rFonts w:hint="eastAsia" w:ascii="方正仿宋简体" w:hAnsi="方正仿宋简体" w:eastAsia="方正仿宋简体" w:cs="方正仿宋简体"/>
                <w:b w:val="0"/>
                <w:bCs w:val="0"/>
                <w:color w:val="auto"/>
                <w:lang w:val="en-US" w:eastAsia="zh-CN"/>
              </w:rPr>
              <w:t>23</w:t>
            </w:r>
          </w:p>
        </w:tc>
        <w:tc>
          <w:tcPr>
            <w:tcW w:w="833" w:type="pct"/>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8.</w:t>
            </w:r>
            <w:r>
              <w:rPr>
                <w:rFonts w:hint="eastAsia" w:ascii="方正仿宋简体" w:hAnsi="方正仿宋简体" w:eastAsia="方正仿宋简体" w:cs="方正仿宋简体"/>
                <w:b w:val="0"/>
                <w:bCs w:val="0"/>
                <w:color w:val="auto"/>
                <w:lang w:val="en-US" w:eastAsia="zh-CN"/>
              </w:rPr>
              <w:t>2</w:t>
            </w:r>
            <w:r>
              <w:rPr>
                <w:rFonts w:hint="eastAsia" w:ascii="方正仿宋简体" w:hAnsi="方正仿宋简体" w:eastAsia="方正仿宋简体" w:cs="方正仿宋简体"/>
                <w:b w:val="0"/>
                <w:bCs w:val="0"/>
                <w:color w:val="auto"/>
              </w:rPr>
              <w:t>3</w:t>
            </w:r>
          </w:p>
        </w:tc>
        <w:tc>
          <w:tcPr>
            <w:tcW w:w="833" w:type="pct"/>
            <w:vAlign w:val="center"/>
          </w:tcPr>
          <w:p>
            <w:pPr>
              <w:pStyle w:val="20"/>
              <w:rPr>
                <w:rFonts w:hint="eastAsia" w:ascii="方正仿宋简体" w:hAnsi="方正仿宋简体" w:eastAsia="方正仿宋简体" w:cs="方正仿宋简体"/>
                <w:b w:val="0"/>
                <w:bCs w:val="0"/>
                <w:color w:val="auto"/>
              </w:rPr>
            </w:pPr>
          </w:p>
        </w:tc>
        <w:tc>
          <w:tcPr>
            <w:tcW w:w="833" w:type="pct"/>
            <w:vAlign w:val="center"/>
          </w:tcPr>
          <w:p>
            <w:pPr>
              <w:pStyle w:val="20"/>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w:t>
            </w:r>
          </w:p>
        </w:tc>
        <w:tc>
          <w:tcPr>
            <w:tcW w:w="832"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“三公”经费小计</w:t>
            </w:r>
          </w:p>
        </w:tc>
        <w:tc>
          <w:tcPr>
            <w:tcW w:w="83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8.23</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8.23</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w:t>
            </w:r>
          </w:p>
        </w:tc>
        <w:tc>
          <w:tcPr>
            <w:tcW w:w="832"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一、因公出国（境）费</w:t>
            </w:r>
          </w:p>
        </w:tc>
        <w:tc>
          <w:tcPr>
            <w:tcW w:w="834"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w:t>
            </w:r>
          </w:p>
        </w:tc>
        <w:tc>
          <w:tcPr>
            <w:tcW w:w="832"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 xml:space="preserve">    其中：教学科研人员因公出国（境）费</w:t>
            </w:r>
          </w:p>
        </w:tc>
        <w:tc>
          <w:tcPr>
            <w:tcW w:w="834"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w:t>
            </w:r>
          </w:p>
        </w:tc>
        <w:tc>
          <w:tcPr>
            <w:tcW w:w="832"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 xml:space="preserve">          其他因公出国（境）费</w:t>
            </w:r>
          </w:p>
        </w:tc>
        <w:tc>
          <w:tcPr>
            <w:tcW w:w="834"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w:t>
            </w:r>
          </w:p>
        </w:tc>
        <w:tc>
          <w:tcPr>
            <w:tcW w:w="832"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二、公务用车购置及运维费</w:t>
            </w:r>
          </w:p>
        </w:tc>
        <w:tc>
          <w:tcPr>
            <w:tcW w:w="83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8.20</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8.20</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w:t>
            </w:r>
          </w:p>
        </w:tc>
        <w:tc>
          <w:tcPr>
            <w:tcW w:w="832"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 xml:space="preserve">    其中：公务用车购置费</w:t>
            </w:r>
          </w:p>
        </w:tc>
        <w:tc>
          <w:tcPr>
            <w:tcW w:w="834"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8</w:t>
            </w:r>
          </w:p>
        </w:tc>
        <w:tc>
          <w:tcPr>
            <w:tcW w:w="832"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 xml:space="preserve">          公务用车运行维护费</w:t>
            </w:r>
          </w:p>
        </w:tc>
        <w:tc>
          <w:tcPr>
            <w:tcW w:w="83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8.20</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8.20</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9</w:t>
            </w:r>
          </w:p>
        </w:tc>
        <w:tc>
          <w:tcPr>
            <w:tcW w:w="832" w:type="pct"/>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三、公务接待费</w:t>
            </w:r>
          </w:p>
        </w:tc>
        <w:tc>
          <w:tcPr>
            <w:tcW w:w="834"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0.03</w:t>
            </w:r>
          </w:p>
        </w:tc>
        <w:tc>
          <w:tcPr>
            <w:tcW w:w="833" w:type="pct"/>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0.03</w:t>
            </w:r>
          </w:p>
        </w:tc>
        <w:tc>
          <w:tcPr>
            <w:tcW w:w="833" w:type="pct"/>
            <w:vAlign w:val="center"/>
          </w:tcPr>
          <w:p>
            <w:pPr>
              <w:pStyle w:val="16"/>
              <w:rPr>
                <w:rFonts w:hint="eastAsia" w:ascii="方正仿宋简体" w:hAnsi="方正仿宋简体" w:eastAsia="方正仿宋简体" w:cs="方正仿宋简体"/>
                <w:b w:val="0"/>
                <w:bCs w:val="0"/>
                <w:color w:val="auto"/>
              </w:rPr>
            </w:pPr>
          </w:p>
        </w:tc>
        <w:tc>
          <w:tcPr>
            <w:tcW w:w="833" w:type="pct"/>
            <w:vAlign w:val="center"/>
          </w:tcPr>
          <w:p>
            <w:pPr>
              <w:pStyle w:val="16"/>
              <w:rPr>
                <w:rFonts w:hint="eastAsia" w:ascii="方正仿宋简体" w:hAnsi="方正仿宋简体" w:eastAsia="方正仿宋简体" w:cs="方正仿宋简体"/>
                <w:b w:val="0"/>
                <w:bCs w:val="0"/>
                <w:color w:val="auto"/>
              </w:rPr>
            </w:pPr>
          </w:p>
        </w:tc>
      </w:tr>
    </w:tbl>
    <w:p>
      <w:pPr>
        <w:rPr>
          <w:rFonts w:hint="eastAsia" w:ascii="方正仿宋简体" w:hAnsi="方正仿宋简体" w:eastAsia="方正仿宋简体" w:cs="方正仿宋简体"/>
          <w:b w:val="0"/>
          <w:bCs w:val="0"/>
          <w:color w:val="auto"/>
        </w:rPr>
      </w:pPr>
    </w:p>
    <w:p>
      <w:pPr>
        <w:rPr>
          <w:rFonts w:hint="eastAsia" w:ascii="方正仿宋简体" w:hAnsi="方正仿宋简体" w:eastAsia="方正仿宋简体" w:cs="方正仿宋简体"/>
          <w:b w:val="0"/>
          <w:bCs w:val="0"/>
          <w:color w:val="auto"/>
        </w:rPr>
      </w:pPr>
    </w:p>
    <w:p>
      <w:pPr>
        <w:rPr>
          <w:rFonts w:hint="eastAsia" w:ascii="方正仿宋简体" w:hAnsi="方正仿宋简体" w:eastAsia="方正仿宋简体" w:cs="方正仿宋简体"/>
          <w:b w:val="0"/>
          <w:bCs w:val="0"/>
          <w:color w:val="auto"/>
        </w:rPr>
      </w:pPr>
    </w:p>
    <w:p>
      <w:pPr>
        <w:rPr>
          <w:rFonts w:hint="eastAsia" w:ascii="方正仿宋简体" w:hAnsi="方正仿宋简体" w:eastAsia="方正仿宋简体" w:cs="方正仿宋简体"/>
          <w:b w:val="0"/>
          <w:bCs w:val="0"/>
          <w:color w:val="auto"/>
        </w:rPr>
        <w:sectPr>
          <w:pgSz w:w="16840" w:h="11900" w:orient="landscape"/>
          <w:pgMar w:top="1361" w:right="1020" w:bottom="1361" w:left="1020" w:header="720" w:footer="720" w:gutter="0"/>
          <w:pgNumType w:fmt="decimal"/>
          <w:cols w:space="720" w:num="1"/>
        </w:sectPr>
      </w:pP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4"/>
        <w:rPr>
          <w:color w:val="auto"/>
        </w:rPr>
      </w:pPr>
      <w:r>
        <w:rPr>
          <w:rFonts w:hint="eastAsia" w:ascii="方正仿宋简体" w:hAnsi="方正仿宋简体" w:eastAsia="方正仿宋简体" w:cs="方正仿宋简体"/>
          <w:b w:val="0"/>
          <w:color w:val="auto"/>
          <w:sz w:val="44"/>
        </w:rPr>
        <w:t>遵化市交通运输局本级2023年单位预算信息公开情况说明</w:t>
      </w:r>
    </w:p>
    <w:p>
      <w:pPr>
        <w:spacing w:beforeLines="0" w:afterLines="0" w:line="570" w:lineRule="exact"/>
        <w:ind w:firstLine="56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eastAsia="zh-CN"/>
        </w:rPr>
        <w:t>《中华人民共和国预算法》</w:t>
      </w:r>
      <w:r>
        <w:rPr>
          <w:rFonts w:hint="eastAsia" w:ascii="方正仿宋简体" w:hAnsi="方正仿宋简体" w:eastAsia="方正仿宋简体" w:cs="方正仿宋简体"/>
          <w:color w:val="000000"/>
          <w:sz w:val="32"/>
          <w:szCs w:val="32"/>
        </w:rPr>
        <w:t>、《地方预决算公开操作规程》和《关于进一步推进预算公开工作的实施意见》规定，现将遵化市交通运输局2023年</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预算公开如下：</w:t>
      </w:r>
    </w:p>
    <w:p>
      <w:pPr>
        <w:spacing w:before="10" w:beforeLines="0" w:after="10" w:afterLines="0" w:line="570" w:lineRule="exact"/>
        <w:ind w:firstLine="640"/>
        <w:outlineLvl w:val="2"/>
        <w:rPr>
          <w:rFonts w:hint="eastAsia" w:ascii="方正黑体简体" w:hAnsi="方正黑体简体" w:eastAsia="方正黑体简体" w:cs="方正黑体简体"/>
          <w:sz w:val="32"/>
          <w:szCs w:val="32"/>
        </w:rPr>
      </w:pPr>
      <w:bookmarkStart w:id="0" w:name="_Toc_3_3_0000000010"/>
      <w:r>
        <w:rPr>
          <w:rFonts w:hint="eastAsia" w:ascii="方正黑体简体" w:hAnsi="方正黑体简体" w:eastAsia="方正黑体简体" w:cs="方正黑体简体"/>
          <w:color w:val="000000"/>
          <w:sz w:val="32"/>
          <w:szCs w:val="32"/>
        </w:rPr>
        <w:t>一、</w:t>
      </w: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职责及机构设置情况</w:t>
      </w:r>
      <w:bookmarkEnd w:id="0"/>
    </w:p>
    <w:p>
      <w:pPr>
        <w:widowControl w:val="0"/>
        <w:autoSpaceDE w:val="0"/>
        <w:spacing w:beforeLines="0" w:afterLines="0" w:line="570" w:lineRule="exact"/>
        <w:ind w:firstLine="560"/>
        <w:rPr>
          <w:rFonts w:hint="eastAsia" w:ascii="方正楷体简体" w:hAnsi="方正楷体简体" w:eastAsia="方正楷体简体" w:cs="方正楷体简体"/>
          <w:kern w:val="2"/>
          <w:sz w:val="32"/>
          <w:szCs w:val="32"/>
        </w:rPr>
      </w:pPr>
      <w:r>
        <w:rPr>
          <w:rFonts w:hint="eastAsia" w:ascii="方正楷体简体" w:hAnsi="方正楷体简体" w:eastAsia="方正楷体简体" w:cs="方正楷体简体"/>
          <w:kern w:val="2"/>
          <w:sz w:val="32"/>
          <w:szCs w:val="32"/>
          <w:lang w:eastAsia="zh-CN" w:bidi="ar"/>
        </w:rPr>
        <w:t>（一）单位职责</w:t>
      </w:r>
    </w:p>
    <w:p>
      <w:pPr>
        <w:pStyle w:val="22"/>
        <w:spacing w:beforeLines="0" w:afterLines="0"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根据《遵化市交通运输局职能配置、内设机构和人员编制规定》，遵化市交通运输局的主要职责是：</w:t>
      </w:r>
    </w:p>
    <w:p>
      <w:pPr>
        <w:pStyle w:val="22"/>
        <w:spacing w:beforeLines="0" w:afterLines="0"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遵化市交通运输局(简称市交通运输局)为市政府工作</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，机构规格正科级。贯彻落实党中央和省委、唐山市委、遵化市委关于交通运输工作的方针政策和决策部署，坚持和加强党对交通运输工作的集中统一领导。主要职责是:</w:t>
      </w:r>
    </w:p>
    <w:p>
      <w:pPr>
        <w:pStyle w:val="22"/>
        <w:spacing w:beforeLines="0" w:afterLines="0"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会同有关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推进全市综合交通运输体系建设，统筹规划公路、水路、民航行业发展，建立健全与全市综合交通运输体系相适应的制度体制机制，优化市内交通运输主要通道和重要枢纽节点布局，促进各种交通运输方式融合。</w:t>
      </w:r>
    </w:p>
    <w:p>
      <w:pPr>
        <w:pStyle w:val="22"/>
        <w:spacing w:beforeLines="0" w:afterLines="0"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会同有关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组织拟订全市综合交通运输发展战略和政策，组织编制全市综合运输体系规划，拟订公路、水路、民航发展战略、政策和规划并监督实施，指导综合交通运输枢纽规划和管理。参与拟订物流业发展战略和规划，拟订有关政策和标准并监督实施。</w:t>
      </w:r>
    </w:p>
    <w:p>
      <w:pPr>
        <w:pStyle w:val="22"/>
        <w:spacing w:beforeLines="0" w:afterLines="0"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负责交通运输综合行政执法政策标准制定、监督指导、重大案件查处和跨区域执法的组织协调工作。指导全市交通运输综合执法和队伍建设有关工作。指导全市交通运输行业体制改革工作。</w:t>
      </w:r>
    </w:p>
    <w:p>
      <w:pPr>
        <w:pStyle w:val="22"/>
        <w:spacing w:beforeLines="0" w:afterLines="0"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负责拟定全市综合交通运输标准，组织拟订并监督实施全市公路行业标准，协调衔接各种交通运输方式标准。</w:t>
      </w:r>
    </w:p>
    <w:p>
      <w:pPr>
        <w:pStyle w:val="22"/>
        <w:spacing w:beforeLines="0" w:afterLines="0"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rPr>
        <w:t>承担全市道路、水路运输市场监管责任。组织拟订道路、水路运输有关政策金准入退出制度、技术标准和运营规范并监督实施。指导城乡客运及有关设施规划和管理，指导城市客运工作。</w:t>
      </w:r>
    </w:p>
    <w:p>
      <w:pPr>
        <w:pStyle w:val="22"/>
        <w:spacing w:beforeLines="0" w:afterLines="0"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6、</w:t>
      </w:r>
      <w:r>
        <w:rPr>
          <w:rFonts w:hint="eastAsia" w:ascii="方正仿宋简体" w:hAnsi="方正仿宋简体" w:eastAsia="方正仿宋简体" w:cs="方正仿宋简体"/>
          <w:sz w:val="32"/>
          <w:szCs w:val="32"/>
        </w:rPr>
        <w:t>负责提出全市交通运输行业固定资产投资规模和方向、市财政性资金安排意见按市政府规定权限审批、核准市规划内和年度计划规模内的固定资产投资</w:t>
      </w:r>
    </w:p>
    <w:p>
      <w:pPr>
        <w:pStyle w:val="22"/>
        <w:spacing w:beforeLines="0" w:afterLines="0"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项目。负责交通国有资产管理和交通专项资金的管理、使用。指导行业内部审计工作。承担交通运输行业财政预算资金的绩效监督和管理工作。</w:t>
      </w:r>
    </w:p>
    <w:p>
      <w:pPr>
        <w:pStyle w:val="22"/>
        <w:spacing w:beforeLines="0" w:afterLines="0"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7、</w:t>
      </w:r>
      <w:r>
        <w:rPr>
          <w:rFonts w:hint="eastAsia" w:ascii="方正仿宋简体" w:hAnsi="方正仿宋简体" w:eastAsia="方正仿宋简体" w:cs="方正仿宋简体"/>
          <w:sz w:val="32"/>
          <w:szCs w:val="32"/>
        </w:rPr>
        <w:t>承担全市公路、永路建设市场监管责任。拟订公路、水路建设相关政策、制度和技术标准并监督实施。组织协调公路、水路有关重点工程建设会工程质量和安全生产监督管理工作，指导交通运输基础设施管理和维护负责全市交通基本建设项目招投标活动的类督管理。负责全市收费公路管理。</w:t>
      </w:r>
    </w:p>
    <w:p>
      <w:pPr>
        <w:pStyle w:val="22"/>
        <w:spacing w:beforeLines="0" w:afterLines="0"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8、</w:t>
      </w:r>
      <w:r>
        <w:rPr>
          <w:rFonts w:hint="eastAsia" w:ascii="方正仿宋简体" w:hAnsi="方正仿宋简体" w:eastAsia="方正仿宋简体" w:cs="方正仿宋简体"/>
          <w:sz w:val="32"/>
          <w:szCs w:val="32"/>
        </w:rPr>
        <w:t>指导全市公路、水路行业安全生产和应急管理。按规定组织协调国家、省、市重点物资科紧急客货运输。负责市内高速公路及国家、省、县重虑于线公路网运行监测和应急处置协调工作。承担国防交通战备工作。</w:t>
      </w:r>
    </w:p>
    <w:p>
      <w:pPr>
        <w:pStyle w:val="22"/>
        <w:spacing w:beforeLines="0" w:afterLines="0"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9、</w:t>
      </w:r>
      <w:r>
        <w:rPr>
          <w:rFonts w:hint="eastAsia" w:ascii="方正仿宋简体" w:hAnsi="方正仿宋简体" w:eastAsia="方正仿宋简体" w:cs="方正仿宋简体"/>
          <w:sz w:val="32"/>
          <w:szCs w:val="32"/>
        </w:rPr>
        <w:t>指导全市交通运输信息化建设。承担综合交通运输统计工作，监测分析交通运输运行情况，发布有关信息。指导公路、水路行业环境保护和节能减排。</w:t>
      </w:r>
    </w:p>
    <w:p>
      <w:pPr>
        <w:pStyle w:val="22"/>
        <w:spacing w:beforeLines="0" w:afterLines="0"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10、</w:t>
      </w:r>
      <w:r>
        <w:rPr>
          <w:rFonts w:hint="eastAsia" w:ascii="方正仿宋简体" w:hAnsi="方正仿宋简体" w:eastAsia="方正仿宋简体" w:cs="方正仿宋简体"/>
          <w:sz w:val="32"/>
          <w:szCs w:val="32"/>
        </w:rPr>
        <w:t>负责拟订全市交通运输行业科技政策、技术标准和规范，组织科技开发，推动行业技术进步。指导行业教育培训工作。指导行业精神文明建设。</w:t>
      </w:r>
    </w:p>
    <w:p>
      <w:pPr>
        <w:pStyle w:val="22"/>
        <w:spacing w:beforeLines="0" w:afterLines="0"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11、</w:t>
      </w:r>
      <w:r>
        <w:rPr>
          <w:rFonts w:hint="eastAsia" w:ascii="方正仿宋简体" w:hAnsi="方正仿宋简体" w:eastAsia="方正仿宋简体" w:cs="方正仿宋简体"/>
          <w:sz w:val="32"/>
          <w:szCs w:val="32"/>
        </w:rPr>
        <w:t>承担管辖水域水上交通安全监督责任。负责水上交通管制、船舶及相关水上设施检验、登记和防止污染等工作。负责渔船检验和监督管理。依法组织或参与事故调香处理。指导辖区海事和船员管理有关事宜。</w:t>
      </w:r>
    </w:p>
    <w:p>
      <w:pPr>
        <w:pStyle w:val="22"/>
        <w:spacing w:beforeLines="0" w:afterLines="0"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12、</w:t>
      </w:r>
      <w:r>
        <w:rPr>
          <w:rFonts w:hint="eastAsia" w:ascii="方正仿宋简体" w:hAnsi="方正仿宋简体" w:eastAsia="方正仿宋简体" w:cs="方正仿宋简体"/>
          <w:sz w:val="32"/>
          <w:szCs w:val="32"/>
        </w:rPr>
        <w:t>负责全市交通运输行业涉外事宜，开展与国际和港澳台地区交通运输经济技术合作与交流</w:t>
      </w:r>
    </w:p>
    <w:p>
      <w:pPr>
        <w:pStyle w:val="22"/>
        <w:spacing w:beforeLines="0" w:afterLines="0"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13、</w:t>
      </w:r>
      <w:r>
        <w:rPr>
          <w:rFonts w:hint="eastAsia" w:ascii="方正仿宋简体" w:hAnsi="方正仿宋简体" w:eastAsia="方正仿宋简体" w:cs="方正仿宋简体"/>
          <w:sz w:val="32"/>
          <w:szCs w:val="32"/>
        </w:rPr>
        <w:t>负责京津冀协同发展交通一体化组实协调工作。</w:t>
      </w:r>
    </w:p>
    <w:p>
      <w:pPr>
        <w:pStyle w:val="22"/>
        <w:spacing w:beforeLines="0" w:afterLines="0" w:line="570" w:lineRule="exact"/>
        <w:rPr>
          <w:rFonts w:hint="eastAsia"/>
          <w:sz w:val="28"/>
          <w:szCs w:val="24"/>
        </w:rPr>
      </w:pPr>
      <w:r>
        <w:rPr>
          <w:rFonts w:hint="eastAsia" w:ascii="方正仿宋简体" w:hAnsi="方正仿宋简体" w:eastAsia="方正仿宋简体" w:cs="方正仿宋简体"/>
          <w:sz w:val="32"/>
          <w:szCs w:val="32"/>
          <w:lang w:eastAsia="zh-CN"/>
        </w:rPr>
        <w:t>14、</w:t>
      </w:r>
      <w:r>
        <w:rPr>
          <w:rFonts w:hint="eastAsia" w:ascii="方正仿宋简体" w:hAnsi="方正仿宋简体" w:eastAsia="方正仿宋简体" w:cs="方正仿宋简体"/>
          <w:sz w:val="32"/>
          <w:szCs w:val="32"/>
        </w:rPr>
        <w:t>完成市委、市政府交办的其他任务。</w:t>
      </w:r>
    </w:p>
    <w:p>
      <w:pPr>
        <w:widowControl w:val="0"/>
        <w:autoSpaceDE w:val="0"/>
        <w:spacing w:beforeLines="0" w:afterLines="0" w:line="570" w:lineRule="exact"/>
        <w:ind w:firstLine="560"/>
        <w:rPr>
          <w:rFonts w:hint="eastAsia" w:ascii="方正楷体简体" w:hAnsi="方正楷体简体" w:eastAsia="方正楷体简体" w:cs="方正楷体简体"/>
          <w:kern w:val="2"/>
          <w:sz w:val="32"/>
          <w:szCs w:val="32"/>
        </w:rPr>
      </w:pPr>
      <w:r>
        <w:rPr>
          <w:rFonts w:hint="eastAsia" w:ascii="方正楷体简体" w:hAnsi="方正楷体简体" w:eastAsia="方正楷体简体" w:cs="方正楷体简体"/>
          <w:kern w:val="2"/>
          <w:sz w:val="32"/>
          <w:szCs w:val="32"/>
          <w:lang w:eastAsia="zh-CN" w:bidi="ar"/>
        </w:rPr>
        <w:t>（二）机构设置</w:t>
      </w:r>
    </w:p>
    <w:p>
      <w:pPr>
        <w:pStyle w:val="22"/>
        <w:numPr>
          <w:ilvl w:val="0"/>
          <w:numId w:val="0"/>
        </w:numPr>
        <w:spacing w:line="57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办公室</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负责机关自常运转工作，承担机关公文审核、文电、</w:t>
      </w:r>
      <w:r>
        <w:rPr>
          <w:rFonts w:hint="eastAsia" w:ascii="方正仿宋简体" w:hAnsi="方正仿宋简体" w:eastAsia="方正仿宋简体" w:cs="方正仿宋简体"/>
          <w:sz w:val="32"/>
          <w:szCs w:val="32"/>
          <w:lang w:eastAsia="zh-CN"/>
        </w:rPr>
        <w:t>机</w:t>
      </w:r>
      <w:r>
        <w:rPr>
          <w:rFonts w:hint="eastAsia" w:ascii="方正仿宋简体" w:hAnsi="方正仿宋简体" w:eastAsia="方正仿宋简体" w:cs="方正仿宋简体"/>
          <w:sz w:val="32"/>
          <w:szCs w:val="32"/>
        </w:rPr>
        <w:t>要、会务、保密、信访、文秘档案、史志等工作;负责组织重要会议和调研，</w:t>
      </w:r>
      <w:r>
        <w:rPr>
          <w:rFonts w:hint="eastAsia" w:ascii="方正仿宋简体" w:hAnsi="方正仿宋简体" w:eastAsia="方正仿宋简体" w:cs="方正仿宋简体"/>
          <w:sz w:val="32"/>
          <w:szCs w:val="32"/>
          <w:lang w:eastAsia="zh-CN"/>
        </w:rPr>
        <w:t>负责</w:t>
      </w:r>
      <w:r>
        <w:rPr>
          <w:rFonts w:hint="eastAsia" w:ascii="方正仿宋简体" w:hAnsi="方正仿宋简体" w:eastAsia="方正仿宋简体" w:cs="方正仿宋简体"/>
          <w:sz w:val="32"/>
          <w:szCs w:val="32"/>
        </w:rPr>
        <w:t>重要文稿的起草，负责交通运输法制建设、行政执法监督、行政</w:t>
      </w:r>
      <w:r>
        <w:rPr>
          <w:rFonts w:hint="eastAsia" w:ascii="方正仿宋简体" w:hAnsi="方正仿宋简体" w:eastAsia="方正仿宋简体" w:cs="方正仿宋简体"/>
          <w:sz w:val="32"/>
          <w:szCs w:val="32"/>
          <w:lang w:eastAsia="zh-CN"/>
        </w:rPr>
        <w:t>复</w:t>
      </w:r>
      <w:r>
        <w:rPr>
          <w:rFonts w:hint="eastAsia" w:ascii="方正仿宋简体" w:hAnsi="方正仿宋简体" w:eastAsia="方正仿宋简体" w:cs="方正仿宋简体"/>
          <w:sz w:val="32"/>
          <w:szCs w:val="32"/>
        </w:rPr>
        <w:t>议和行政应诉工作;组织起草相关规范性文件，承担有关交通运输地方立法规划和协调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承担有关规范性文件，以局名义做</w:t>
      </w:r>
      <w:r>
        <w:rPr>
          <w:rFonts w:hint="eastAsia" w:ascii="方正仿宋简体" w:hAnsi="方正仿宋简体" w:eastAsia="方正仿宋简体" w:cs="方正仿宋简体"/>
          <w:sz w:val="32"/>
          <w:szCs w:val="32"/>
          <w:lang w:eastAsia="zh-CN"/>
        </w:rPr>
        <w:t>出</w:t>
      </w:r>
      <w:r>
        <w:rPr>
          <w:rFonts w:hint="eastAsia" w:ascii="方正仿宋简体" w:hAnsi="方正仿宋简体" w:eastAsia="方正仿宋简体" w:cs="方正仿宋简体"/>
          <w:sz w:val="32"/>
          <w:szCs w:val="32"/>
        </w:rPr>
        <w:t>的重大执法决定、重大行政</w:t>
      </w:r>
      <w:r>
        <w:rPr>
          <w:rFonts w:hint="eastAsia" w:ascii="方正仿宋简体" w:hAnsi="方正仿宋简体" w:eastAsia="方正仿宋简体" w:cs="方正仿宋简体"/>
          <w:sz w:val="32"/>
          <w:szCs w:val="32"/>
          <w:lang w:eastAsia="zh-CN"/>
        </w:rPr>
        <w:t>决</w:t>
      </w:r>
      <w:r>
        <w:rPr>
          <w:rFonts w:hint="eastAsia" w:ascii="方正仿宋简体" w:hAnsi="方正仿宋简体" w:eastAsia="方正仿宋简体" w:cs="方正仿宋简体"/>
          <w:sz w:val="32"/>
          <w:szCs w:val="32"/>
        </w:rPr>
        <w:t>策的</w:t>
      </w:r>
      <w:r>
        <w:rPr>
          <w:rFonts w:hint="eastAsia" w:ascii="方正仿宋简体" w:hAnsi="方正仿宋简体" w:eastAsia="方正仿宋简体" w:cs="方正仿宋简体"/>
          <w:sz w:val="32"/>
          <w:szCs w:val="32"/>
          <w:lang w:eastAsia="zh-CN"/>
        </w:rPr>
        <w:t>合法性</w:t>
      </w:r>
      <w:r>
        <w:rPr>
          <w:rFonts w:hint="eastAsia" w:ascii="方正仿宋简体" w:hAnsi="方正仿宋简体" w:eastAsia="方正仿宋简体" w:cs="方正仿宋简体"/>
          <w:sz w:val="32"/>
          <w:szCs w:val="32"/>
        </w:rPr>
        <w:t>审核;组织开展行业法律法规的政策研究;组织重大行政</w:t>
      </w:r>
      <w:r>
        <w:rPr>
          <w:rFonts w:hint="eastAsia" w:ascii="方正仿宋简体" w:hAnsi="方正仿宋简体" w:eastAsia="方正仿宋简体" w:cs="方正仿宋简体"/>
          <w:sz w:val="32"/>
          <w:szCs w:val="32"/>
          <w:lang w:eastAsia="zh-CN"/>
        </w:rPr>
        <w:t>行</w:t>
      </w:r>
      <w:r>
        <w:rPr>
          <w:rFonts w:hint="eastAsia" w:ascii="方正仿宋简体" w:hAnsi="方正仿宋简体" w:eastAsia="方正仿宋简体" w:cs="方正仿宋简体"/>
          <w:sz w:val="32"/>
          <w:szCs w:val="32"/>
        </w:rPr>
        <w:t>为听证工作;指导行业体制改革:综合协调、监督指导全市交通</w:t>
      </w:r>
      <w:r>
        <w:rPr>
          <w:rFonts w:hint="eastAsia" w:ascii="方正仿宋简体" w:hAnsi="方正仿宋简体" w:eastAsia="方正仿宋简体" w:cs="方正仿宋简体"/>
          <w:sz w:val="32"/>
          <w:szCs w:val="32"/>
          <w:lang w:eastAsia="zh-CN"/>
        </w:rPr>
        <w:t>运输</w:t>
      </w:r>
      <w:r>
        <w:rPr>
          <w:rFonts w:hint="eastAsia" w:ascii="方正仿宋简体" w:hAnsi="方正仿宋简体" w:eastAsia="方正仿宋简体" w:cs="方正仿宋简体"/>
          <w:sz w:val="32"/>
          <w:szCs w:val="32"/>
        </w:rPr>
        <w:t>领域环保、</w:t>
      </w:r>
      <w:r>
        <w:rPr>
          <w:rFonts w:hint="eastAsia" w:ascii="方正仿宋简体" w:hAnsi="方正仿宋简体" w:eastAsia="方正仿宋简体" w:cs="方正仿宋简体"/>
          <w:sz w:val="32"/>
          <w:szCs w:val="32"/>
          <w:lang w:eastAsia="zh-CN"/>
        </w:rPr>
        <w:t>大</w:t>
      </w:r>
      <w:r>
        <w:rPr>
          <w:rFonts w:hint="eastAsia" w:ascii="方正仿宋简体" w:hAnsi="方正仿宋简体" w:eastAsia="方正仿宋简体" w:cs="方正仿宋简体"/>
          <w:sz w:val="32"/>
          <w:szCs w:val="32"/>
        </w:rPr>
        <w:t>气污染防治工作。员责对全市交通重大决策</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重要工作、重点项目的推进落实情况进行督导检查</w:t>
      </w:r>
      <w:r>
        <w:rPr>
          <w:rFonts w:hint="eastAsia" w:ascii="方正仿宋简体" w:hAnsi="方正仿宋简体" w:eastAsia="方正仿宋简体" w:cs="方正仿宋简体"/>
          <w:sz w:val="32"/>
          <w:szCs w:val="32"/>
          <w:lang w:eastAsia="zh-CN"/>
        </w:rPr>
        <w:t>；负责督办</w:t>
      </w:r>
      <w:r>
        <w:rPr>
          <w:rFonts w:hint="eastAsia" w:ascii="方正仿宋简体" w:hAnsi="方正仿宋简体" w:eastAsia="方正仿宋简体" w:cs="方正仿宋简体"/>
          <w:sz w:val="32"/>
          <w:szCs w:val="32"/>
        </w:rPr>
        <w:t>局直属各单位、各</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工作目标的落实情况;负责人大代表、政协委员建议提案办理工作。负责汇总编报局预决算及公示工作;负责</w:t>
      </w:r>
      <w:r>
        <w:rPr>
          <w:rFonts w:hint="eastAsia" w:ascii="方正仿宋简体" w:hAnsi="方正仿宋简体" w:eastAsia="方正仿宋简体" w:cs="方正仿宋简体"/>
          <w:sz w:val="32"/>
          <w:szCs w:val="32"/>
          <w:lang w:eastAsia="zh-CN"/>
        </w:rPr>
        <w:t>专项资金的</w:t>
      </w:r>
      <w:r>
        <w:rPr>
          <w:rFonts w:hint="eastAsia" w:ascii="方正仿宋简体" w:hAnsi="方正仿宋简体" w:eastAsia="方正仿宋简体" w:cs="方正仿宋简体"/>
          <w:sz w:val="32"/>
          <w:szCs w:val="32"/>
        </w:rPr>
        <w:t>拨付审核、使用项目须数评价，办理政府采购、财政国</w:t>
      </w:r>
      <w:r>
        <w:rPr>
          <w:rFonts w:hint="eastAsia" w:ascii="方正仿宋简体" w:hAnsi="方正仿宋简体" w:eastAsia="方正仿宋简体" w:cs="方正仿宋简体"/>
          <w:sz w:val="32"/>
          <w:szCs w:val="32"/>
          <w:lang w:eastAsia="zh-CN"/>
        </w:rPr>
        <w:t>支付</w:t>
      </w:r>
      <w:r>
        <w:rPr>
          <w:rFonts w:hint="eastAsia" w:ascii="方正仿宋简体" w:hAnsi="方正仿宋简体" w:eastAsia="方正仿宋简体" w:cs="方正仿宋简体"/>
          <w:sz w:val="32"/>
          <w:szCs w:val="32"/>
        </w:rPr>
        <w:t>手续及资</w:t>
      </w:r>
      <w:r>
        <w:rPr>
          <w:rFonts w:hint="eastAsia" w:ascii="方正仿宋简体" w:hAnsi="方正仿宋简体" w:eastAsia="方正仿宋简体" w:cs="方正仿宋简体"/>
          <w:sz w:val="32"/>
          <w:szCs w:val="32"/>
          <w:lang w:eastAsia="zh-CN"/>
        </w:rPr>
        <w:t>金</w:t>
      </w:r>
      <w:r>
        <w:rPr>
          <w:rFonts w:hint="eastAsia" w:ascii="方正仿宋简体" w:hAnsi="方正仿宋简体" w:eastAsia="方正仿宋简体" w:cs="方正仿宋简体"/>
          <w:sz w:val="32"/>
          <w:szCs w:val="32"/>
        </w:rPr>
        <w:t>支付等工作;</w:t>
      </w:r>
      <w:r>
        <w:rPr>
          <w:rFonts w:hint="eastAsia" w:ascii="方正仿宋简体" w:hAnsi="方正仿宋简体" w:eastAsia="方正仿宋简体" w:cs="方正仿宋简体"/>
          <w:sz w:val="32"/>
          <w:szCs w:val="32"/>
          <w:lang w:eastAsia="zh-CN"/>
        </w:rPr>
        <w:t>负责机关及财务集中管理单位会计核算、会计监督，资产资金管理监督工作；负责国有资产管理；负责对会计独量核算单位经济活动的业务指导;负责交通建设债务管理工作。负责机关和所属单位的审计工作。负责对全局财务收支等重要经济活动、固定资产投资项目，所属单位主要负责人经济责任审计。指导行业内那审计工作。</w:t>
      </w:r>
    </w:p>
    <w:p>
      <w:pPr>
        <w:pStyle w:val="22"/>
        <w:numPr>
          <w:ilvl w:val="0"/>
          <w:numId w:val="0"/>
        </w:numPr>
        <w:spacing w:line="57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人事科。承担机关和所属事业单位的干部人事、机构编制、绩效管理、劳动工资和人才工作，指导交通系统人才队伍建设。组织协调交通运输科技项目研发、科技成果鉴定和新技术、新材料、新工艺的推广应用;组织交通行业科技合作和科技交流活动;组织局机关和所属单位各类人员的培训和继续教育工作。负责言退休干部工作。</w:t>
      </w:r>
    </w:p>
    <w:p>
      <w:pPr>
        <w:pStyle w:val="22"/>
        <w:numPr>
          <w:ilvl w:val="0"/>
          <w:numId w:val="0"/>
        </w:num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综合规划与公路科(交通战备办公室）。编制全市综合交通运输发展规划和计划;拟定专项规划及分年度实施的资金投资计划；审定(拟订)交通基础设施、公路客货运输、水路运输等专项规划和年度计划，参与拟定全市物流业规划和相关政策;负责(指导)交通基础设施新改建项目的前期工作和后期评价;负责有关统计、预测和资料信息收集汇总工作。贯彻执行公路建设、养护、运营相关政策、制度和标准并监督实施。负责公路，水路建设市场、招投标、资质、信用、工程质量、工程造价、安全生产的监督管理等工作。委责全市国防交通和局直属单位的民兵武装工作</w:t>
      </w:r>
      <w:r>
        <w:rPr>
          <w:rFonts w:hint="eastAsia" w:ascii="方正仿宋简体" w:hAnsi="方正仿宋简体" w:eastAsia="方正仿宋简体" w:cs="方正仿宋简体"/>
          <w:sz w:val="32"/>
          <w:szCs w:val="32"/>
        </w:rPr>
        <w:t>。</w:t>
      </w:r>
    </w:p>
    <w:p>
      <w:pPr>
        <w:pStyle w:val="22"/>
        <w:numPr>
          <w:ilvl w:val="0"/>
          <w:numId w:val="0"/>
        </w:num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综合运输和安全监督科(应急办公室)。承担交通综合运输体系的建设和组织协调工作;参与运价政策拟订和定价活动;组织协调本辖区内国家重点物资、战备物资、</w:t>
      </w:r>
      <w:r>
        <w:rPr>
          <w:rFonts w:hint="eastAsia" w:ascii="方正仿宋简体" w:hAnsi="方正仿宋简体" w:eastAsia="方正仿宋简体" w:cs="方正仿宋简体"/>
          <w:sz w:val="32"/>
          <w:szCs w:val="32"/>
          <w:lang w:eastAsia="zh-CN"/>
        </w:rPr>
        <w:t>抢</w:t>
      </w:r>
      <w:r>
        <w:rPr>
          <w:rFonts w:hint="eastAsia" w:ascii="方正仿宋简体" w:hAnsi="方正仿宋简体" w:eastAsia="方正仿宋简体" w:cs="方正仿宋简体"/>
          <w:sz w:val="32"/>
          <w:szCs w:val="32"/>
        </w:rPr>
        <w:t>险物资和紧急客货运输的道路运输保障工作;负责京津冀交通运输一体化相关项目的论证、推进、对接的组织协调工作;组织拟订道路运输行业政策、规划、服务规范、技术标准等工作;依法办理交通运输场站等基础建设财政资金项目的计划，申报、验收等工作;负责道路运输、水路运输行业财政资金政策性补贴管理工作。负责监督、指导全市交通运输行业管理和行业政策、规划、服务规范、技术标准的落实;组织全市道路运输、水路运输企业和从业人员服务质量信誉考核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组织、协调京津冀及全市跨</w:t>
      </w:r>
      <w:r>
        <w:rPr>
          <w:rFonts w:hint="eastAsia" w:ascii="方正仿宋简体" w:hAnsi="方正仿宋简体" w:eastAsia="方正仿宋简体" w:cs="方正仿宋简体"/>
          <w:sz w:val="32"/>
          <w:szCs w:val="32"/>
          <w:lang w:eastAsia="zh-CN"/>
        </w:rPr>
        <w:t>区域</w:t>
      </w:r>
      <w:r>
        <w:rPr>
          <w:rFonts w:hint="eastAsia" w:ascii="方正仿宋简体" w:hAnsi="方正仿宋简体" w:eastAsia="方正仿宋简体" w:cs="方正仿宋简体"/>
          <w:sz w:val="32"/>
          <w:szCs w:val="32"/>
        </w:rPr>
        <w:t>交通运输执法专项整治和重大交通运输综合执法活动;按照行业执法</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要求，负责组织道路货物车辆、道路旅客运输车辆、出租客运车辆的车辆技术管理工作和水运船舶的船舶技术管理工作;负责依法承办法律法规指定或者确需本级交通运输主管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办理的行政执法案件或出具承办意见案件;负责组织道路运输、水路运输行业综合性资料统计和上报工作。贯彻执行国家、省、市和交通运输行业有关安全管理的政策、法规，组织协调指导局职责范围内的安全生产工作和应急处置体系建设，督促局行政执法和行政管理单位严格履行自身安全监管职能，负责局直属单位安全生产责任制的考核。依法依规组织协调或参与有关事故调查处理。</w:t>
      </w:r>
      <w:r>
        <w:rPr>
          <w:rFonts w:hint="eastAsia" w:ascii="方正仿宋简体" w:hAnsi="方正仿宋简体" w:eastAsia="方正仿宋简体" w:cs="方正仿宋简体"/>
          <w:sz w:val="32"/>
          <w:szCs w:val="32"/>
          <w:lang w:eastAsia="zh-CN"/>
        </w:rPr>
        <w:t>负责局</w:t>
      </w:r>
      <w:r>
        <w:rPr>
          <w:rFonts w:hint="eastAsia" w:ascii="方正仿宋简体" w:hAnsi="方正仿宋简体" w:eastAsia="方正仿宋简体" w:cs="方正仿宋简体"/>
          <w:sz w:val="32"/>
          <w:szCs w:val="32"/>
        </w:rPr>
        <w:t>机关安全保卫工作，监督指导直属单位安全保卫 消</w:t>
      </w:r>
      <w:r>
        <w:rPr>
          <w:rFonts w:hint="eastAsia" w:ascii="方正仿宋简体" w:hAnsi="方正仿宋简体" w:eastAsia="方正仿宋简体" w:cs="方正仿宋简体"/>
          <w:sz w:val="32"/>
          <w:szCs w:val="32"/>
          <w:lang w:eastAsia="zh-CN"/>
        </w:rPr>
        <w:t>防</w:t>
      </w:r>
      <w:r>
        <w:rPr>
          <w:rFonts w:hint="eastAsia" w:ascii="方正仿宋简体" w:hAnsi="方正仿宋简体" w:eastAsia="方正仿宋简体" w:cs="方正仿宋简体"/>
          <w:sz w:val="32"/>
          <w:szCs w:val="32"/>
        </w:rPr>
        <w:t>安全工作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负责受理辖区内公民，法人或共地组织所申请的有关道路运输经营许可和行政审批事项;受理</w:t>
      </w:r>
      <w:r>
        <w:rPr>
          <w:rFonts w:hint="eastAsia" w:ascii="方正仿宋简体" w:hAnsi="方正仿宋简体" w:eastAsia="方正仿宋简体" w:cs="方正仿宋简体"/>
          <w:sz w:val="32"/>
          <w:szCs w:val="32"/>
          <w:lang w:eastAsia="zh-CN"/>
        </w:rPr>
        <w:t>辖区</w:t>
      </w:r>
      <w:r>
        <w:rPr>
          <w:rFonts w:hint="eastAsia" w:ascii="方正仿宋简体" w:hAnsi="方正仿宋简体" w:eastAsia="方正仿宋简体" w:cs="方正仿宋简体"/>
          <w:sz w:val="32"/>
          <w:szCs w:val="32"/>
        </w:rPr>
        <w:t>内公民、法人或其他组织所申请的涉及公路路产路权的</w:t>
      </w:r>
      <w:r>
        <w:rPr>
          <w:rFonts w:hint="eastAsia" w:ascii="方正仿宋简体" w:hAnsi="方正仿宋简体" w:eastAsia="方正仿宋简体" w:cs="方正仿宋简体"/>
          <w:sz w:val="32"/>
          <w:szCs w:val="32"/>
          <w:lang w:eastAsia="zh-CN"/>
        </w:rPr>
        <w:t>行政</w:t>
      </w:r>
      <w:r>
        <w:rPr>
          <w:rFonts w:hint="eastAsia" w:ascii="方正仿宋简体" w:hAnsi="方正仿宋简体" w:eastAsia="方正仿宋简体" w:cs="方正仿宋简体"/>
          <w:sz w:val="32"/>
          <w:szCs w:val="32"/>
        </w:rPr>
        <w:t>许可和行政</w:t>
      </w:r>
      <w:r>
        <w:rPr>
          <w:rFonts w:hint="eastAsia" w:ascii="方正仿宋简体" w:hAnsi="方正仿宋简体" w:eastAsia="方正仿宋简体" w:cs="方正仿宋简体"/>
          <w:sz w:val="32"/>
          <w:szCs w:val="32"/>
          <w:lang w:eastAsia="zh-CN"/>
        </w:rPr>
        <w:t>审批事项</w:t>
      </w:r>
      <w:r>
        <w:rPr>
          <w:rFonts w:hint="eastAsia" w:ascii="方正仿宋简体" w:hAnsi="方正仿宋简体" w:eastAsia="方正仿宋简体" w:cs="方正仿宋简体"/>
          <w:sz w:val="32"/>
          <w:szCs w:val="32"/>
        </w:rPr>
        <w:t>。负责船舶检验工作的监督管理，指导本辖区地方海事和船员管理有关工作。指导水路行业安全生产。</w:t>
      </w:r>
    </w:p>
    <w:p>
      <w:pPr>
        <w:pStyle w:val="22"/>
        <w:numPr>
          <w:ilvl w:val="0"/>
          <w:numId w:val="0"/>
        </w:num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直属机关党委</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负责机关和是属单位党群工作。</w:t>
      </w:r>
    </w:p>
    <w:p>
      <w:pPr>
        <w:spacing w:beforeLines="0" w:afterLines="0" w:line="57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line="570" w:lineRule="exact"/>
              <w:rPr>
                <w:rFonts w:hint="eastAsia" w:ascii="方正仿宋简体" w:hAnsi="方正仿宋简体" w:eastAsia="方正仿宋简体" w:cs="方正仿宋简体"/>
                <w:b w:val="0"/>
                <w:sz w:val="32"/>
                <w:szCs w:val="32"/>
              </w:rPr>
            </w:pPr>
            <w:r>
              <w:rPr>
                <w:rFonts w:hint="eastAsia" w:ascii="方正仿宋简体" w:hAnsi="方正仿宋简体" w:eastAsia="方正仿宋简体" w:cs="方正仿宋简体"/>
                <w:b w:val="0"/>
                <w:sz w:val="32"/>
                <w:szCs w:val="32"/>
              </w:rPr>
              <w:t>单位名称</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line="570" w:lineRule="exact"/>
              <w:rPr>
                <w:rFonts w:hint="eastAsia" w:ascii="方正仿宋简体" w:hAnsi="方正仿宋简体" w:eastAsia="方正仿宋简体" w:cs="方正仿宋简体"/>
                <w:b w:val="0"/>
                <w:sz w:val="32"/>
                <w:szCs w:val="32"/>
              </w:rPr>
            </w:pPr>
            <w:r>
              <w:rPr>
                <w:rFonts w:hint="eastAsia" w:ascii="方正仿宋简体" w:hAnsi="方正仿宋简体" w:eastAsia="方正仿宋简体" w:cs="方正仿宋简体"/>
                <w:b w:val="0"/>
                <w:sz w:val="32"/>
                <w:szCs w:val="32"/>
              </w:rPr>
              <w:t>单位性质</w:t>
            </w:r>
          </w:p>
        </w:tc>
        <w:tc>
          <w:tcPr>
            <w:tcW w:w="212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line="570" w:lineRule="exact"/>
              <w:rPr>
                <w:rFonts w:hint="eastAsia" w:ascii="方正仿宋简体" w:hAnsi="方正仿宋简体" w:eastAsia="方正仿宋简体" w:cs="方正仿宋简体"/>
                <w:b w:val="0"/>
                <w:sz w:val="32"/>
                <w:szCs w:val="32"/>
              </w:rPr>
            </w:pPr>
            <w:r>
              <w:rPr>
                <w:rFonts w:hint="eastAsia" w:ascii="方正仿宋简体" w:hAnsi="方正仿宋简体" w:eastAsia="方正仿宋简体" w:cs="方正仿宋简体"/>
                <w:b w:val="0"/>
                <w:sz w:val="32"/>
                <w:szCs w:val="32"/>
              </w:rPr>
              <w:t>单位规格</w:t>
            </w:r>
          </w:p>
        </w:tc>
        <w:tc>
          <w:tcPr>
            <w:tcW w:w="382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line="570" w:lineRule="exact"/>
              <w:rPr>
                <w:rFonts w:hint="eastAsia" w:ascii="方正仿宋简体" w:hAnsi="方正仿宋简体" w:eastAsia="方正仿宋简体" w:cs="方正仿宋简体"/>
                <w:b w:val="0"/>
                <w:sz w:val="32"/>
                <w:szCs w:val="32"/>
              </w:rPr>
            </w:pPr>
            <w:r>
              <w:rPr>
                <w:rFonts w:hint="eastAsia" w:ascii="方正仿宋简体" w:hAnsi="方正仿宋简体" w:eastAsia="方正仿宋简体" w:cs="方正仿宋简体"/>
                <w:b w:val="0"/>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spacing w:beforeLines="0" w:afterLines="0"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遵化市交通运输局本级</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8"/>
              <w:spacing w:beforeLines="0" w:afterLines="0" w:line="57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行政</w:t>
            </w:r>
          </w:p>
        </w:tc>
        <w:tc>
          <w:tcPr>
            <w:tcW w:w="212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8"/>
              <w:spacing w:beforeLines="0" w:afterLines="0"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82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8"/>
              <w:spacing w:beforeLines="0" w:afterLines="0"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财政性资金零补助</w:t>
            </w:r>
          </w:p>
        </w:tc>
      </w:tr>
    </w:tbl>
    <w:p>
      <w:pPr>
        <w:spacing w:before="10" w:beforeLines="0" w:after="10" w:afterLines="0" w:line="570" w:lineRule="exact"/>
        <w:ind w:firstLine="640"/>
        <w:outlineLvl w:val="2"/>
        <w:rPr>
          <w:rFonts w:hint="eastAsia"/>
          <w:sz w:val="24"/>
          <w:szCs w:val="24"/>
        </w:rPr>
      </w:pPr>
      <w:bookmarkStart w:id="1" w:name="_Toc_3_3_0000000011"/>
      <w:r>
        <w:rPr>
          <w:rFonts w:hint="eastAsia" w:ascii="黑体" w:hAnsi="黑体" w:eastAsia="黑体" w:cs="黑体"/>
          <w:color w:val="000000"/>
          <w:sz w:val="32"/>
          <w:szCs w:val="24"/>
        </w:rPr>
        <w:t>二、</w:t>
      </w:r>
      <w:r>
        <w:rPr>
          <w:rFonts w:hint="eastAsia" w:ascii="黑体" w:hAnsi="黑体" w:eastAsia="黑体" w:cs="黑体"/>
          <w:color w:val="000000"/>
          <w:sz w:val="32"/>
          <w:szCs w:val="24"/>
          <w:lang w:eastAsia="zh-CN"/>
        </w:rPr>
        <w:t>单位</w:t>
      </w:r>
      <w:r>
        <w:rPr>
          <w:rFonts w:hint="eastAsia" w:ascii="黑体" w:hAnsi="黑体" w:eastAsia="黑体" w:cs="黑体"/>
          <w:color w:val="000000"/>
          <w:sz w:val="32"/>
          <w:szCs w:val="24"/>
        </w:rPr>
        <w:t>预算安排的总体情况</w:t>
      </w:r>
      <w:bookmarkEnd w:id="1"/>
    </w:p>
    <w:p>
      <w:pPr>
        <w:spacing w:beforeLines="0" w:afterLines="0" w:line="570" w:lineRule="exact"/>
        <w:ind w:firstLine="56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eastAsia="zh-CN"/>
        </w:rPr>
        <w:t>市单位</w:t>
      </w:r>
      <w:r>
        <w:rPr>
          <w:rFonts w:hint="eastAsia" w:ascii="方正仿宋简体" w:hAnsi="方正仿宋简体" w:eastAsia="方正仿宋简体" w:cs="方正仿宋简体"/>
          <w:color w:val="000000"/>
          <w:sz w:val="32"/>
          <w:szCs w:val="32"/>
        </w:rPr>
        <w:t>预算的编制实行综合预算管理，即全部收入和支出都反映在预算中。遵化市交通运输局机关及所属事业单位的收支包含在</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预算中。</w:t>
      </w:r>
    </w:p>
    <w:p>
      <w:pPr>
        <w:pStyle w:val="23"/>
        <w:spacing w:beforeLines="0" w:afterLines="0" w:line="570" w:lineRule="exac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（一）、收入说明</w:t>
      </w:r>
    </w:p>
    <w:p>
      <w:pPr>
        <w:pStyle w:val="23"/>
        <w:spacing w:beforeLines="0" w:afterLines="0"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当年全部收入。2023年预算收入22566.08万元，其中：一般公共预算收入11830.47万元，基金预算收入10735.61万元，财政专户核拨收入0万元，其他来源收入0万元。</w:t>
      </w:r>
    </w:p>
    <w:p>
      <w:pPr>
        <w:pStyle w:val="23"/>
        <w:spacing w:beforeLines="0" w:afterLines="0" w:line="570" w:lineRule="exac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（二）、支出说明</w:t>
      </w:r>
    </w:p>
    <w:p>
      <w:pPr>
        <w:pStyle w:val="23"/>
        <w:spacing w:beforeLines="0" w:afterLines="0"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收支预算总表支出栏、基本支出表、项目支出表按经济分类和支出功能分类科目编制，反映遵化市交通运输局2023年度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预算中支出预算的总体情况。2023年支出预算21580.08万元，其中基本支出7286.48万元，包括人员经费7221.68万元和日常公用经费64.8万元；项目支出14293.6万元， 国防公路建设工役人员生活补贴45.6万元、伤残职工抚恤金等资金8万元、治超站等执法专项经费110万元、安可计算机购置18.6万元、农村公路建设改造工程1162万元、城乡客运公交专项运营补贴334万元、乡村振兴农村公路养护资金990万元、国省干线日常养护经费443万元、农村公路养护工程补助资金405万元、交通道路保洁一体化服务费41.79万元、偿还邦宽线贷款本金及利息7852.61万元、省道邦宽线重点路段大修工程1425万元、邦宽线养护经费413万元、通行费安排收费站人员经费834万元、通行费安排收费站运转经费91万元、通行费安排交通设施维修维护资金120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冀财建【2022】266号河北省财政厅关于提前下达2023年普通国省干线公路建设养护发展专项资金（公路超限检测站补助部分）40万元、冀财建【2022】266号河北省财政厅关于提前下达2023年普通国省干线公路建设养护发展专项资金（日常养护补助部分）40万元、冀财建【2022】267号河北省财政厅关于提前下达2023年农村公路建设养护发展专项资金（农村公路建设养护发展专项资金农村公路日常养护部分）84万元、冀财建【2022】267号河北省财政厅关于提前下达2023年农村公路建设养护发展专项资金（农村公路建设养护发展专项资金农村公路养护工程部分）222万元、冀财建【2022】268号河北省财政厅关于提前下达2023年道路场站建设及事业发展专项资金（道路场站建设及事业发展专项资金）600万元。</w:t>
      </w:r>
    </w:p>
    <w:p>
      <w:pPr>
        <w:pStyle w:val="23"/>
        <w:spacing w:beforeLines="0" w:afterLines="0" w:line="570" w:lineRule="exac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（三）、比上年增减情况</w:t>
      </w:r>
    </w:p>
    <w:p>
      <w:pPr>
        <w:pStyle w:val="23"/>
        <w:spacing w:beforeLines="0" w:afterLines="0" w:line="57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22566.08万元，2022年预算收支安排23803.86万元，较2022年预算减少1237.78万元，其中：基本支出增加了1555.74万元，主要原因工资及取暖费的增加；项目支出减少2793.52万元，主要原因是上级专项资金的减少。</w:t>
      </w:r>
    </w:p>
    <w:p>
      <w:pPr>
        <w:keepNext w:val="0"/>
        <w:keepLines w:val="0"/>
        <w:widowControl w:val="0"/>
        <w:suppressLineNumbers w:val="0"/>
        <w:autoSpaceDE w:val="0"/>
        <w:autoSpaceDN/>
        <w:spacing w:before="10" w:beforeAutospacing="0" w:after="10" w:afterAutospacing="0" w:line="570" w:lineRule="exact"/>
        <w:ind w:left="0" w:right="0" w:firstLine="640"/>
        <w:jc w:val="left"/>
        <w:outlineLvl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kern w:val="0"/>
          <w:sz w:val="32"/>
          <w:szCs w:val="32"/>
          <w:lang w:val="en-US" w:eastAsia="zh-CN" w:bidi="ar"/>
        </w:rPr>
        <w:t>三、机关运行经费安排情况</w:t>
      </w:r>
    </w:p>
    <w:p>
      <w:pPr>
        <w:pStyle w:val="8"/>
        <w:keepNext w:val="0"/>
        <w:keepLines w:val="0"/>
        <w:widowControl w:val="0"/>
        <w:suppressLineNumbers w:val="0"/>
        <w:autoSpaceDE w:val="0"/>
        <w:autoSpaceDN/>
        <w:spacing w:before="0" w:beforeAutospacing="0" w:after="0" w:afterAutospacing="0" w:line="570" w:lineRule="exact"/>
        <w:ind w:left="0" w:right="0"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val="en-US" w:eastAsia="zh-CN" w:bidi="ar"/>
        </w:rPr>
        <w:t>2023年，我局机关运行经费共计安排64.8万元，主要用于办公费、电费、邮电费、办公用房取暖费、差旅费、会议费、培训费、公务接待费、工会经费、福利费、公务用车运行维护费、其他交通费用、其他商品和服务支出。</w:t>
      </w:r>
    </w:p>
    <w:p>
      <w:pPr>
        <w:keepNext w:val="0"/>
        <w:keepLines w:val="0"/>
        <w:widowControl w:val="0"/>
        <w:suppressLineNumbers w:val="0"/>
        <w:autoSpaceDE w:val="0"/>
        <w:autoSpaceDN/>
        <w:spacing w:before="10" w:beforeAutospacing="0" w:after="10" w:afterAutospacing="0" w:line="570" w:lineRule="exact"/>
        <w:ind w:left="0" w:right="0" w:firstLine="640"/>
        <w:jc w:val="left"/>
        <w:outlineLvl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kern w:val="0"/>
          <w:sz w:val="32"/>
          <w:szCs w:val="32"/>
          <w:lang w:val="en-US" w:eastAsia="zh-CN" w:bidi="ar"/>
        </w:rPr>
        <w:t>四、财政拨款“三公”经费预算情况及增减变化原因</w:t>
      </w:r>
    </w:p>
    <w:p>
      <w:pPr>
        <w:pStyle w:val="8"/>
        <w:keepNext w:val="0"/>
        <w:keepLines w:val="0"/>
        <w:widowControl w:val="0"/>
        <w:suppressLineNumbers w:val="0"/>
        <w:autoSpaceDE w:val="0"/>
        <w:autoSpaceDN/>
        <w:spacing w:before="0" w:beforeAutospacing="0" w:after="0" w:afterAutospacing="0" w:line="570" w:lineRule="exact"/>
        <w:ind w:left="0" w:right="0"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val="en-US" w:eastAsia="zh-CN" w:bidi="ar"/>
        </w:rPr>
        <w:t>2023年，我局财政拨款“三公”经费预算安排8.23万元，与上年持平。具体安排情况为：</w:t>
      </w:r>
    </w:p>
    <w:p>
      <w:pPr>
        <w:pStyle w:val="8"/>
        <w:keepNext w:val="0"/>
        <w:keepLines w:val="0"/>
        <w:widowControl w:val="0"/>
        <w:suppressLineNumbers w:val="0"/>
        <w:autoSpaceDE w:val="0"/>
        <w:autoSpaceDN/>
        <w:spacing w:before="0" w:beforeAutospacing="0" w:after="0" w:afterAutospacing="0" w:line="570" w:lineRule="exact"/>
        <w:ind w:left="0" w:right="0" w:firstLine="56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kern w:val="0"/>
          <w:sz w:val="32"/>
          <w:szCs w:val="32"/>
          <w:lang w:val="en-US" w:eastAsia="zh-CN" w:bidi="ar"/>
        </w:rPr>
        <w:t>（一）公务用车购置及运维费</w:t>
      </w:r>
      <w:r>
        <w:rPr>
          <w:rFonts w:hint="eastAsia" w:ascii="方正仿宋简体" w:hAnsi="方正仿宋简体" w:eastAsia="方正仿宋简体" w:cs="方正仿宋简体"/>
          <w:kern w:val="0"/>
          <w:sz w:val="32"/>
          <w:szCs w:val="32"/>
          <w:lang w:val="en-US" w:eastAsia="zh-CN" w:bidi="ar"/>
        </w:rPr>
        <w:t>。共计安排8.2万元，与上年持平。</w:t>
      </w:r>
    </w:p>
    <w:p>
      <w:pPr>
        <w:pStyle w:val="8"/>
        <w:keepNext w:val="0"/>
        <w:keepLines w:val="0"/>
        <w:widowControl w:val="0"/>
        <w:suppressLineNumbers w:val="0"/>
        <w:autoSpaceDE w:val="0"/>
        <w:autoSpaceDN/>
        <w:spacing w:before="0" w:beforeAutospacing="0" w:after="0" w:afterAutospacing="0" w:line="570" w:lineRule="exact"/>
        <w:ind w:left="0" w:right="0"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val="en-US" w:eastAsia="zh-CN" w:bidi="ar"/>
        </w:rPr>
        <w:t>1、公务用车购置安排0万元。与上年持平。</w:t>
      </w:r>
    </w:p>
    <w:p>
      <w:pPr>
        <w:pStyle w:val="8"/>
        <w:keepNext w:val="0"/>
        <w:keepLines w:val="0"/>
        <w:widowControl w:val="0"/>
        <w:suppressLineNumbers w:val="0"/>
        <w:autoSpaceDE w:val="0"/>
        <w:autoSpaceDN/>
        <w:spacing w:before="0" w:beforeAutospacing="0" w:after="0" w:afterAutospacing="0" w:line="570" w:lineRule="exact"/>
        <w:ind w:left="0" w:right="0" w:firstLine="560"/>
        <w:jc w:val="left"/>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2、公务运行维护经费安排8.2万元，与上年持平。车辆运行维护费严格按照统一定额标准，公车数量未发生增减，车辆运行维护费无变化。</w:t>
      </w:r>
    </w:p>
    <w:p>
      <w:pPr>
        <w:pStyle w:val="8"/>
        <w:keepNext w:val="0"/>
        <w:keepLines w:val="0"/>
        <w:widowControl w:val="0"/>
        <w:suppressLineNumbers w:val="0"/>
        <w:autoSpaceDE w:val="0"/>
        <w:autoSpaceDN/>
        <w:spacing w:before="0" w:beforeAutospacing="0" w:after="0" w:afterAutospacing="0" w:line="570" w:lineRule="exact"/>
        <w:ind w:left="0" w:right="0" w:firstLine="56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kern w:val="0"/>
          <w:sz w:val="32"/>
          <w:szCs w:val="32"/>
          <w:lang w:val="en-US" w:eastAsia="zh-CN" w:bidi="ar"/>
        </w:rPr>
        <w:t>（二）公务接待费</w:t>
      </w:r>
      <w:r>
        <w:rPr>
          <w:rFonts w:hint="eastAsia" w:ascii="方正仿宋简体" w:hAnsi="方正仿宋简体" w:eastAsia="方正仿宋简体" w:cs="方正仿宋简体"/>
          <w:kern w:val="0"/>
          <w:sz w:val="32"/>
          <w:szCs w:val="32"/>
          <w:lang w:val="en-US" w:eastAsia="zh-CN" w:bidi="ar"/>
        </w:rPr>
        <w:t>。安排0.03万元，与上年持平。按照统一定额标准计算，无增加变化。</w:t>
      </w:r>
    </w:p>
    <w:p>
      <w:pPr>
        <w:pStyle w:val="8"/>
        <w:keepNext w:val="0"/>
        <w:keepLines w:val="0"/>
        <w:widowControl w:val="0"/>
        <w:suppressLineNumbers w:val="0"/>
        <w:autoSpaceDE w:val="0"/>
        <w:autoSpaceDN/>
        <w:spacing w:before="0" w:beforeAutospacing="0" w:after="0" w:afterAutospacing="0" w:line="570" w:lineRule="exact"/>
        <w:ind w:left="0" w:right="0" w:firstLine="56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kern w:val="0"/>
          <w:sz w:val="32"/>
          <w:szCs w:val="32"/>
          <w:lang w:val="en-US" w:eastAsia="zh-CN" w:bidi="ar"/>
        </w:rPr>
        <w:t>（三）因公出国（境）费</w:t>
      </w:r>
      <w:r>
        <w:rPr>
          <w:rFonts w:hint="eastAsia" w:ascii="方正仿宋简体" w:hAnsi="方正仿宋简体" w:eastAsia="方正仿宋简体" w:cs="方正仿宋简体"/>
          <w:kern w:val="0"/>
          <w:sz w:val="32"/>
          <w:szCs w:val="32"/>
          <w:lang w:val="en-US" w:eastAsia="zh-CN" w:bidi="ar"/>
        </w:rPr>
        <w:t>。安排0元，与上年持平，无增减变化。没有因公出国安排，所以未安排因公出国费。</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ascii="黑体" w:hAnsi="黑体" w:eastAsia="黑体" w:cs="黑体"/>
          <w:color w:val="auto"/>
          <w:sz w:val="32"/>
        </w:r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color w:val="auto"/>
        </w:rPr>
        <w:sectPr>
          <w:pgSz w:w="16840" w:h="11900" w:orient="landscape"/>
          <w:pgMar w:top="1361" w:right="1020" w:bottom="1361" w:left="1020" w:header="720" w:footer="720" w:gutter="0"/>
          <w:pgNumType w:fmt="decimal"/>
          <w:cols w:space="720" w:num="1"/>
        </w:sectPr>
      </w:pPr>
      <w:r>
        <w:rPr>
          <w:rFonts w:ascii="黑体" w:hAnsi="黑体" w:eastAsia="黑体" w:cs="黑体"/>
          <w:color w:val="auto"/>
          <w:sz w:val="32"/>
        </w:rPr>
        <w:t>五、预算绩效信息</w:t>
      </w:r>
    </w:p>
    <w:p>
      <w:pPr>
        <w:rPr>
          <w:rFonts w:hint="eastAsia" w:ascii="方正仿宋简体" w:hAnsi="方正仿宋简体" w:eastAsia="方正仿宋简体" w:cs="方正仿宋简体"/>
          <w:b w:val="0"/>
          <w:bCs/>
          <w:color w:val="auto"/>
          <w:lang w:val="en-US" w:eastAsia="zh-CN"/>
        </w:rPr>
      </w:pPr>
      <w:bookmarkStart w:id="2" w:name="_Toc_4_4_0000000004"/>
      <w:r>
        <w:rPr>
          <w:rFonts w:hint="eastAsia" w:ascii="方正仿宋简体" w:hAnsi="方正仿宋简体" w:eastAsia="方正仿宋简体" w:cs="方正仿宋简体"/>
          <w:b w:val="0"/>
          <w:bCs/>
          <w:color w:val="auto"/>
          <w:lang w:val="en-US" w:eastAsia="zh-CN"/>
        </w:rPr>
        <w:t>1.安可计算机购置绩效目标表</w:t>
      </w:r>
      <w:bookmarkEnd w:id="2"/>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348001遵化市交通运输局本级</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项目编码</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13028123P00031210002N</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项目名称</w:t>
            </w:r>
          </w:p>
        </w:tc>
        <w:tc>
          <w:tcPr>
            <w:tcW w:w="2142" w:type="pct"/>
            <w:gridSpan w:val="3"/>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预算规模及资金用途</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18.60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其中：财政    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18.60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其他资金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预算数18.6万元。其中：财政资金18.6万元，其他资金0万元。主要用于：更好的保障设施完好无损，发现问题及时维修，做到设施齐全干净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资金支出计划（%）</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10月底</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90%</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绩效目标</w:t>
            </w: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1.做好购置工作，保障单位业务开展，提高服务保障能力。</w:t>
            </w:r>
            <w:r>
              <w:rPr>
                <w:rFonts w:hint="eastAsia" w:ascii="方正仿宋简体" w:hAnsi="方正仿宋简体" w:eastAsia="方正仿宋简体" w:cs="方正仿宋简体"/>
                <w:b w:val="0"/>
                <w:bCs/>
                <w:color w:val="auto"/>
                <w:lang w:val="en-US" w:eastAsia="zh-CN"/>
              </w:rPr>
              <w:tab/>
            </w:r>
            <w:r>
              <w:rPr>
                <w:rFonts w:hint="eastAsia" w:ascii="方正仿宋简体" w:hAnsi="方正仿宋简体" w:eastAsia="方正仿宋简体" w:cs="方正仿宋简体"/>
                <w:b w:val="0"/>
                <w:bCs/>
                <w:color w:val="auto"/>
                <w:lang w:val="en-US" w:eastAsia="zh-CN"/>
              </w:rPr>
              <w:tab/>
            </w:r>
            <w:r>
              <w:rPr>
                <w:rFonts w:hint="eastAsia" w:ascii="方正仿宋简体" w:hAnsi="方正仿宋简体" w:eastAsia="方正仿宋简体" w:cs="方正仿宋简体"/>
                <w:b w:val="0"/>
                <w:bCs/>
                <w:color w:val="auto"/>
                <w:lang w:val="en-US" w:eastAsia="zh-CN"/>
              </w:rPr>
              <w:tab/>
            </w:r>
            <w:r>
              <w:rPr>
                <w:rFonts w:hint="eastAsia" w:ascii="方正仿宋简体" w:hAnsi="方正仿宋简体" w:eastAsia="方正仿宋简体" w:cs="方正仿宋简体"/>
                <w:b w:val="0"/>
                <w:bCs/>
                <w:color w:val="auto"/>
                <w:lang w:val="en-US" w:eastAsia="zh-CN"/>
              </w:rPr>
              <w:tab/>
            </w:r>
            <w:r>
              <w:rPr>
                <w:rFonts w:hint="eastAsia" w:ascii="方正仿宋简体" w:hAnsi="方正仿宋简体" w:eastAsia="方正仿宋简体" w:cs="方正仿宋简体"/>
                <w:b w:val="0"/>
                <w:bCs/>
                <w:color w:val="auto"/>
                <w:lang w:val="en-US" w:eastAsia="zh-CN"/>
              </w:rPr>
              <w:tab/>
            </w:r>
            <w:r>
              <w:rPr>
                <w:rFonts w:hint="eastAsia" w:ascii="方正仿宋简体" w:hAnsi="方正仿宋简体" w:eastAsia="方正仿宋简体" w:cs="方正仿宋简体"/>
                <w:b w:val="0"/>
                <w:bCs/>
                <w:color w:val="auto"/>
                <w:lang w:val="en-US" w:eastAsia="zh-CN"/>
              </w:rPr>
              <w:tab/>
            </w:r>
          </w:p>
          <w:p>
            <w:pPr>
              <w:rPr>
                <w:rFonts w:hint="eastAsia" w:ascii="方正仿宋简体" w:hAnsi="方正仿宋简体" w:eastAsia="方正仿宋简体" w:cs="方正仿宋简体"/>
                <w:b w:val="0"/>
                <w:bCs/>
                <w:color w:val="auto"/>
                <w:lang w:val="en-US" w:eastAsia="zh-CN"/>
              </w:rPr>
            </w:pPr>
          </w:p>
        </w:tc>
      </w:tr>
    </w:tbl>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一级指标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二级指标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三级指标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绩效指标描述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产出指标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数量指标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设备购置数量</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设备购置完成数量</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21台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质量指标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验收合格率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验收合格率=验收合格的设备数量/当年购置设备数量*100%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时效指标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购置完成时限</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购置完成时限</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2023年12月31日</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成本指标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预算执行率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预算执行率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经济效益指标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节约项目开支</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践行厉行节约反对浪费制度体系建设</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≥95%</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提升公共服务水平</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购置对公共服务水平的提升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≥95%</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工作环境改善程度</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对工作环境的改善程度</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≥95%</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可持续影响指标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提高发改领域服务保障能力</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有利于业务开展，提高服务保障能力</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≥95%</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遵化市委办公室遵化市人民政府办公室关于印发《遵化市交通运输局职能配置、内设机构和人员编制规定》的通知（遵办字【2019】47号）</w:t>
            </w:r>
          </w:p>
        </w:tc>
      </w:tr>
    </w:tbl>
    <w:p>
      <w:pPr>
        <w:rPr>
          <w:rFonts w:hint="eastAsia" w:ascii="方正仿宋简体" w:hAnsi="方正仿宋简体" w:eastAsia="方正仿宋简体" w:cs="方正仿宋简体"/>
          <w:b w:val="0"/>
          <w:bCs/>
          <w:color w:val="auto"/>
          <w:lang w:val="en-US" w:eastAsia="zh-CN"/>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p>
      <w:pPr>
        <w:rPr>
          <w:rFonts w:hint="eastAsia" w:ascii="方正仿宋简体" w:hAnsi="方正仿宋简体" w:eastAsia="方正仿宋简体" w:cs="方正仿宋简体"/>
          <w:b w:val="0"/>
          <w:bCs/>
          <w:color w:val="auto"/>
          <w:lang w:val="en-US" w:eastAsia="zh-CN"/>
        </w:rPr>
      </w:pPr>
      <w:bookmarkStart w:id="3" w:name="_Toc_4_4_0000000005"/>
      <w:r>
        <w:rPr>
          <w:rFonts w:hint="eastAsia" w:ascii="方正仿宋简体" w:hAnsi="方正仿宋简体" w:eastAsia="方正仿宋简体" w:cs="方正仿宋简体"/>
          <w:b w:val="0"/>
          <w:bCs/>
          <w:color w:val="auto"/>
          <w:lang w:val="en-US" w:eastAsia="zh-CN"/>
        </w:rPr>
        <w:t>2.邦宽线养护经费绩效目标表</w:t>
      </w:r>
      <w:bookmarkEnd w:id="3"/>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348001遵化市交通运输局本级</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项目编码</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13028123P00030410002T</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项目名称</w:t>
            </w:r>
          </w:p>
        </w:tc>
        <w:tc>
          <w:tcPr>
            <w:tcW w:w="2142" w:type="pct"/>
            <w:gridSpan w:val="3"/>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邦宽线养护经费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预算规模及资金用途</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413.00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其中：财政    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413.00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其他资金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预算数413万元。其中：财政资金413万元，其他资金0万元。主要用于：邦宽线公路做到整洁、美观，车辆、行人出行。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资金支出计划（%）</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10月底</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90%</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绩效目标</w:t>
            </w: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1.邦宽线公路做到整洁、美观，车辆、行人出行做到畅通、安全，项目资金专款专用，全部用于养护方面开支。</w:t>
            </w:r>
          </w:p>
          <w:p>
            <w:pPr>
              <w:rPr>
                <w:rFonts w:hint="eastAsia" w:ascii="方正仿宋简体" w:hAnsi="方正仿宋简体" w:eastAsia="方正仿宋简体" w:cs="方正仿宋简体"/>
                <w:b w:val="0"/>
                <w:bCs/>
                <w:color w:val="auto"/>
                <w:lang w:val="en-US" w:eastAsia="zh-CN"/>
              </w:rPr>
            </w:pPr>
          </w:p>
        </w:tc>
      </w:tr>
    </w:tbl>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一级指标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二级指标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三级指标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绩效指标描述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产出指标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数量指标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公路里程</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项目资金主要用于邦宽线的日常养护工作，邦宽线遵化段里程共计51.748公里　。</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51.75公里</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质量指标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工程质量合格率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合格以上项目个数占总项目个数的比例</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时效指标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资金列支时间</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计划按季度拨付农村公路配套资金，于2022年底，资金全部列支到位。保障公路建设及养护工作的正常开展。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成本指标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减少养护工程投资</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按照养护工程重点，充分有效利用项目资金，降低成本节约资金。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经济效益指标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对社会经济发展的影响</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公路建设和养护，有效推动沿线乡镇经济发展。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便捷群众出行、方便货物运输</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方便群众出行，改善群众出行条件，构建外通内畅运输网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项目实施对环境的影响</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公路的公益性建设，会使得农村公路得到保洁和畅通，促进生态效益发展。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可持续影响指标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项目建成后对交通状况改善影响时间</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公路建设维护提高公路好路率,使得交通状况保持良好，保障了行人车辆出行安全畅通。</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社会公众出行满意度　</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社会公众出行满意度　</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bl>
    <w:p>
      <w:pPr>
        <w:rPr>
          <w:rFonts w:hint="eastAsia" w:ascii="方正仿宋简体" w:hAnsi="方正仿宋简体" w:eastAsia="方正仿宋简体" w:cs="方正仿宋简体"/>
          <w:b w:val="0"/>
          <w:bCs/>
          <w:color w:val="auto"/>
          <w:lang w:val="en-US" w:eastAsia="zh-CN"/>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p>
      <w:pPr>
        <w:rPr>
          <w:rFonts w:hint="eastAsia" w:ascii="方正仿宋简体" w:hAnsi="方正仿宋简体" w:eastAsia="方正仿宋简体" w:cs="方正仿宋简体"/>
          <w:b w:val="0"/>
          <w:bCs/>
          <w:color w:val="auto"/>
          <w:lang w:val="en-US" w:eastAsia="zh-CN"/>
        </w:rPr>
      </w:pPr>
      <w:bookmarkStart w:id="4" w:name="_Toc_4_4_0000000006"/>
      <w:r>
        <w:rPr>
          <w:rFonts w:hint="eastAsia" w:ascii="方正仿宋简体" w:hAnsi="方正仿宋简体" w:eastAsia="方正仿宋简体" w:cs="方正仿宋简体"/>
          <w:b w:val="0"/>
          <w:bCs/>
          <w:color w:val="auto"/>
          <w:lang w:val="en-US" w:eastAsia="zh-CN"/>
        </w:rPr>
        <w:t>3.偿还邦宽线贷款本金及利息绩效目标表</w:t>
      </w:r>
      <w:bookmarkEnd w:id="4"/>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348001遵化市交通运输局本级</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项目编码</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13028123P00029810002T</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项目名称</w:t>
            </w:r>
          </w:p>
        </w:tc>
        <w:tc>
          <w:tcPr>
            <w:tcW w:w="2142" w:type="pct"/>
            <w:gridSpan w:val="3"/>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偿还邦宽线贷款本金及利息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预算规模及资金用途</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7852.61</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其中：财政    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7852.61</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其他资金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预算数7852.61万元。其中：财政资金7852.61万元，其他资金0万元。主要用于：国防公路建设人员生活补贴。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资金支出计划（%）</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10月底</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90%</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绩效目标</w:t>
            </w: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1.完善资金收缴体系，加大通行费收入，加快还贷进度。依据还贷合同约定，及时偿还贷款。　</w:t>
            </w:r>
          </w:p>
          <w:p>
            <w:pPr>
              <w:rPr>
                <w:rFonts w:hint="eastAsia" w:ascii="方正仿宋简体" w:hAnsi="方正仿宋简体" w:eastAsia="方正仿宋简体" w:cs="方正仿宋简体"/>
                <w:b w:val="0"/>
                <w:bCs/>
                <w:color w:val="auto"/>
                <w:lang w:val="en-US" w:eastAsia="zh-CN"/>
              </w:rPr>
            </w:pPr>
          </w:p>
        </w:tc>
      </w:tr>
    </w:tbl>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一级指标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二级指标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三级指标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绩效指标描述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产出指标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数量指标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贷款本金及利息</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根据收费能力测算，2023年计划偿还本息6326万元</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≥7852.61万元</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质量指标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按时还本还息</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结合实际并及时合理调整收费机制，尽量提高通行费收入金额，已保障及早偿还邦宽线修建贷款。</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≥95%</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时效指标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按合同约定每月20日前</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根据建遵基贷字【2019】01号合同规定，于每月20日前偿还建设银行贷款。</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成本指标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银行利息通知单　</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根据每月通行费收入，经测算按银行利息通知单及时拨付资金，并做好还贷手续。　</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经济效益指标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完善管理体制，增加收费额</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合理运行收费机制、加大通行收费力度，以尽快还清贷款。</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≥95%</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及时还贷，保证信誉度 </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及时还贷履行了合同期限，保证了还贷信誉，使我单位不会失信，在社会中的信誉不会下滑。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促进生态建设</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还贷结余资金能够用于公路养护，保证公路好路率，促进生态效益建设。</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可持续影响指标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持续影响单位信誉</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按照贷款合同约定按期偿还本金、支付利息，不出现贷款本息逾期现象，保持良好信誉。</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≥95%</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bl>
    <w:p>
      <w:pPr>
        <w:rPr>
          <w:rFonts w:hint="eastAsia" w:ascii="方正仿宋简体" w:hAnsi="方正仿宋简体" w:eastAsia="方正仿宋简体" w:cs="方正仿宋简体"/>
          <w:b w:val="0"/>
          <w:bCs/>
          <w:color w:val="auto"/>
          <w:lang w:val="en-US" w:eastAsia="zh-CN"/>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p>
      <w:pPr>
        <w:rPr>
          <w:rFonts w:hint="eastAsia" w:ascii="方正仿宋简体" w:hAnsi="方正仿宋简体" w:eastAsia="方正仿宋简体" w:cs="方正仿宋简体"/>
          <w:b w:val="0"/>
          <w:bCs/>
          <w:color w:val="auto"/>
          <w:lang w:val="en-US" w:eastAsia="zh-CN"/>
        </w:rPr>
      </w:pPr>
      <w:bookmarkStart w:id="5" w:name="_Toc_4_4_0000000007"/>
      <w:r>
        <w:rPr>
          <w:rFonts w:hint="eastAsia" w:ascii="方正仿宋简体" w:hAnsi="方正仿宋简体" w:eastAsia="方正仿宋简体" w:cs="方正仿宋简体"/>
          <w:b w:val="0"/>
          <w:bCs/>
          <w:color w:val="auto"/>
          <w:lang w:val="en-US" w:eastAsia="zh-CN"/>
        </w:rPr>
        <w:t>4.城乡客运公交专项运营补贴绩效目标表</w:t>
      </w:r>
      <w:bookmarkEnd w:id="5"/>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348001遵化市交通运输局本级</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项目编码</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13028123P00026610003D</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项目名称</w:t>
            </w:r>
          </w:p>
        </w:tc>
        <w:tc>
          <w:tcPr>
            <w:tcW w:w="2142" w:type="pct"/>
            <w:gridSpan w:val="3"/>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城乡客运公交专项运营补贴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预算规模及资金用途</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334.00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其中：财政    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334.00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其他资金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预算数334万元。其中：财政资金334万元，其他资金0万元。主要用于：更好的保障设施完好无损，发现问题及时维修，做到设施齐全干净.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资金支出计划（%）</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10月底</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90%</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绩效目标</w:t>
            </w: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1.积极落实上级政策精神，于今年底实现公交化全覆盖，带动经济快速发展，提高社会发展活力，提高城乡居民生产生活水平、降低车辆排放空气污染。</w:t>
            </w:r>
          </w:p>
          <w:p>
            <w:pPr>
              <w:rPr>
                <w:rFonts w:hint="eastAsia" w:ascii="方正仿宋简体" w:hAnsi="方正仿宋简体" w:eastAsia="方正仿宋简体" w:cs="方正仿宋简体"/>
                <w:b w:val="0"/>
                <w:bCs/>
                <w:color w:val="auto"/>
                <w:lang w:val="en-US" w:eastAsia="zh-CN"/>
              </w:rPr>
            </w:pPr>
          </w:p>
        </w:tc>
      </w:tr>
    </w:tbl>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一级指标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二级指标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三级指标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绩效指标描述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产出指标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数量指标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建设城乡客运线路数量</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该指标项目通车完成情况，共计6条线路。</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6条</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遵政办字【2021】45号遵化市人民政府关于印发《遵化市城乡客运一体化改造实施方案》的通知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质量指标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城乡客运旅客数量增长率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本年运输旅客数较上年增长比率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时效指标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完成城乡公交一体化时限</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按照上级指示精神，计划于今年底实现公交化全覆盖</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于今年底实现公交化全覆盖</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成本指标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预算执行率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预算执行率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经济效益指标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客运运输能力带动经济发展</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客运运输的能力提高，促进了客流量的增加，刺激了经济发展。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提高了社会发展活力</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客运人数流量的增加，促进了社会发展活力。</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加速了生态环境建设进程</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新能源公交车的投入使用，减少了私家车的出行数量，降低了空气污染，提升了生态环境质量。</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可持续影响指标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持续影响城乡居民生成生活</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城乡公交一体化的实施，给城乡居民带来极大便利，方便了生活，降低了开支，对多方面起到了持续的积极作用。</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群众满意度</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群众满意度</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遵政办字【2021】45号遵化市人民政府关于印发《遵化市城乡客运公交一体化改造实施方案》的通知</w:t>
            </w:r>
          </w:p>
        </w:tc>
      </w:tr>
    </w:tbl>
    <w:p>
      <w:pPr>
        <w:rPr>
          <w:rFonts w:hint="eastAsia" w:ascii="方正仿宋简体" w:hAnsi="方正仿宋简体" w:eastAsia="方正仿宋简体" w:cs="方正仿宋简体"/>
          <w:b w:val="0"/>
          <w:bCs/>
          <w:color w:val="auto"/>
          <w:lang w:val="en-US" w:eastAsia="zh-CN"/>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p>
      <w:pPr>
        <w:rPr>
          <w:rFonts w:hint="eastAsia" w:ascii="方正仿宋简体" w:hAnsi="方正仿宋简体" w:eastAsia="方正仿宋简体" w:cs="方正仿宋简体"/>
          <w:b w:val="0"/>
          <w:bCs/>
          <w:color w:val="auto"/>
          <w:lang w:val="en-US" w:eastAsia="zh-CN"/>
        </w:rPr>
      </w:pPr>
      <w:bookmarkStart w:id="6" w:name="_Toc_4_4_0000000008"/>
      <w:r>
        <w:rPr>
          <w:rFonts w:hint="eastAsia" w:ascii="方正仿宋简体" w:hAnsi="方正仿宋简体" w:eastAsia="方正仿宋简体" w:cs="方正仿宋简体"/>
          <w:b w:val="0"/>
          <w:bCs/>
          <w:color w:val="auto"/>
          <w:lang w:val="en-US" w:eastAsia="zh-CN"/>
        </w:rPr>
        <w:t>5.国防公路建设工役人员生活补贴绩效目标表</w:t>
      </w:r>
      <w:bookmarkEnd w:id="6"/>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348001遵化市交通运输局本级</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项目编码</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13028123P00025010002G</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项目名称</w:t>
            </w:r>
          </w:p>
        </w:tc>
        <w:tc>
          <w:tcPr>
            <w:tcW w:w="2143" w:type="pct"/>
            <w:gridSpan w:val="3"/>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国防公路建设工役人员生活补贴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预算规模及资金用途</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45.60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其中：财政    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45.60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其他资金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预算数45.6万元。其中：财政资金45.6万元，其他资金0万元。主要用于：国防公路建设人员生活补贴。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资金支出计划（%）</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10月底</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90%</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绩效目标</w:t>
            </w: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1.积极和乡镇沟通，认真核实享受补贴人员数量，严格按照补贴标准及时拨付补贴资金。</w:t>
            </w:r>
          </w:p>
        </w:tc>
      </w:tr>
    </w:tbl>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bl>
      <w:tblPr>
        <w:tblStyle w:val="9"/>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981"/>
        <w:gridCol w:w="1990"/>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一级指标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二级指标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三级指标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绩效指标描述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产出指标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数量指标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全市国防工役制人员数量</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经摸排确认，2020年12月共有工役制人员及工役制家属人员数量</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45个</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质量指标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符合条件申报对象覆盖率 </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享受政策人数占符合条件申报对象总数的比例</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时效指标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支付时限</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每季度末根据各乡镇的摸底核实，确定发放对象数量金额，于每季度末争取资金到位，当月发放到位。</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成本指标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符合条件申报对象覆盖率 </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享受扶助政策人数占符合条件申报对象总数的比例</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经济效益指标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增加经济收入</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改善了国防工役制建设人员的生活条件，使得万年生活得到保障。</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促进社会和谐</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国防工役制人员生活得到保障，提高补助对象满意度 ，维护了社会稳定，促进了社会和谐。</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生态环境改善</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国防公益建设促进了公路发展建设的早期发展，对生态环境改善起到促进作用。</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≥96%</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可持续影响指标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对社会持续影响作用　 </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补贴了国防公路建设人员生活，排除信访隐患，持续维护了社会稳定。</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遵政会2018年会议纪要</w:t>
            </w:r>
          </w:p>
        </w:tc>
      </w:tr>
    </w:tbl>
    <w:p>
      <w:pPr>
        <w:rPr>
          <w:rFonts w:hint="eastAsia" w:ascii="方正仿宋简体" w:hAnsi="方正仿宋简体" w:eastAsia="方正仿宋简体" w:cs="方正仿宋简体"/>
          <w:b w:val="0"/>
          <w:bCs/>
          <w:color w:val="auto"/>
          <w:lang w:val="en-US" w:eastAsia="zh-CN"/>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p>
      <w:pPr>
        <w:rPr>
          <w:rFonts w:hint="eastAsia" w:ascii="方正仿宋简体" w:hAnsi="方正仿宋简体" w:eastAsia="方正仿宋简体" w:cs="方正仿宋简体"/>
          <w:b w:val="0"/>
          <w:bCs/>
          <w:color w:val="auto"/>
          <w:lang w:val="en-US" w:eastAsia="zh-CN"/>
        </w:rPr>
      </w:pPr>
      <w:bookmarkStart w:id="7" w:name="_Toc_4_4_0000000009"/>
      <w:r>
        <w:rPr>
          <w:rFonts w:hint="eastAsia" w:ascii="方正仿宋简体" w:hAnsi="方正仿宋简体" w:eastAsia="方正仿宋简体" w:cs="方正仿宋简体"/>
          <w:b w:val="0"/>
          <w:bCs/>
          <w:color w:val="auto"/>
          <w:lang w:val="en-US" w:eastAsia="zh-CN"/>
        </w:rPr>
        <w:t>6.国省干线日常养护经费绩效目标表</w:t>
      </w:r>
      <w:bookmarkEnd w:id="7"/>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348001遵化市交通运输局本级</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项目编码</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13028123P00026010003B</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项目名称</w:t>
            </w:r>
          </w:p>
        </w:tc>
        <w:tc>
          <w:tcPr>
            <w:tcW w:w="2142" w:type="pct"/>
            <w:gridSpan w:val="3"/>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国省干线日常养护经费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预算规模及资金用途</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443.00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其中：财政    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443.00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其他资金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预算数443万元。其中：财政资金443万元，其他资金0万元。主要用于：出行环境舒适。及时争取资金，专款专用，提高资金使用效益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资金支出计划（%）</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10月底</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90%</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绩效目标</w:t>
            </w: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1.通过实施公路养护工程及日常养护，保证公路行车安全畅通。出行环境舒适。及时争取资金，专款专用，提高资金使用效益。</w:t>
            </w:r>
          </w:p>
        </w:tc>
      </w:tr>
    </w:tbl>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一级指标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二级指标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三级指标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绩效指标描述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产出指标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数量指标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国道112线遵化段里程数</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国道112线共计管养里程44.574公里</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44.57公里</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质量指标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工程质量合格率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国道建设及养护工程质量合格百分比达到95%以上。</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时效指标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预算指标及时形成</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及时形成指标，按季度拨付，年底资金列支完成，保障公路建设及养护工作的正常开展。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成本指标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减少养护工程投资成本</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提高养护工程成本节约率，节约成本、控制开支，控制在预算资金范围内。</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经济效益指标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对社会经济发展的影响 </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国道建设养护工作，使得道路洁净畅通，有效带动经济发展，经济发展率持续提高。</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便捷群众出行、方便货物运输</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国道的畅通整洁，使得车流量增长比率持续提高</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项目实施对环境的影响</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公路的经常性养护使公路环境得到明显改善。</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可持续影响指标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公路交通的持续作用</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保持了公路交通的畅通整洁，路况改善逐步提高。</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≥95%</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社会公众对象满意度</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社会公众对象满意度</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bl>
    <w:p>
      <w:pPr>
        <w:rPr>
          <w:rFonts w:hint="eastAsia" w:ascii="方正仿宋简体" w:hAnsi="方正仿宋简体" w:eastAsia="方正仿宋简体" w:cs="方正仿宋简体"/>
          <w:b w:val="0"/>
          <w:bCs/>
          <w:color w:val="auto"/>
          <w:lang w:val="en-US" w:eastAsia="zh-CN"/>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p>
      <w:pPr>
        <w:rPr>
          <w:rFonts w:hint="eastAsia" w:ascii="方正仿宋简体" w:hAnsi="方正仿宋简体" w:eastAsia="方正仿宋简体" w:cs="方正仿宋简体"/>
          <w:b w:val="0"/>
          <w:bCs/>
          <w:color w:val="auto"/>
          <w:lang w:val="en-US" w:eastAsia="zh-CN"/>
        </w:rPr>
      </w:pPr>
      <w:bookmarkStart w:id="8" w:name="_Toc_4_4_0000000015"/>
      <w:r>
        <w:rPr>
          <w:rFonts w:hint="eastAsia" w:ascii="方正仿宋简体" w:hAnsi="方正仿宋简体" w:eastAsia="方正仿宋简体" w:cs="方正仿宋简体"/>
          <w:b w:val="0"/>
          <w:bCs/>
          <w:color w:val="auto"/>
          <w:lang w:val="en-US" w:eastAsia="zh-CN"/>
        </w:rPr>
        <w:t>7.交通道路保洁一体化服务费绩效目标表</w:t>
      </w:r>
      <w:bookmarkEnd w:id="8"/>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348001遵化市交通运输局本级</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项目编码</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13028123P000294100024</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项目名称</w:t>
            </w:r>
          </w:p>
        </w:tc>
        <w:tc>
          <w:tcPr>
            <w:tcW w:w="2142" w:type="pct"/>
            <w:gridSpan w:val="3"/>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交通道路保洁一体化服务费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预算规模及资金用途</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41.79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其中：财政    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41.79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其他资金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预算数41.79万元。其中：财政资金41.79万元，其他资金0万元。主要用于：市场化养护费用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资金支出计划（%）</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10月底</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90%</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绩效目标</w:t>
            </w: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1.做好公路养护市场化工作的指导、监督与考核，确保公路养护保洁效果。科学测算保洁公司运行期间产生费用，并结合财政依法拨付资金。</w:t>
            </w:r>
          </w:p>
          <w:p>
            <w:pPr>
              <w:rPr>
                <w:rFonts w:hint="eastAsia" w:ascii="方正仿宋简体" w:hAnsi="方正仿宋简体" w:eastAsia="方正仿宋简体" w:cs="方正仿宋简体"/>
                <w:b w:val="0"/>
                <w:bCs/>
                <w:color w:val="auto"/>
                <w:lang w:val="en-US" w:eastAsia="zh-CN"/>
              </w:rPr>
            </w:pPr>
          </w:p>
        </w:tc>
      </w:tr>
    </w:tbl>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一级指标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二级指标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三级指标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绩效指标描述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产出指标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数量指标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签订合同单位个数</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分别由山东伟琦物业公司和鸿鑫环境科技公司2个单位承包养护保洁项目</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2个</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质量指标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养护保洁工作合格率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根据保洁市场化项目合同内容，考核保洁市场化成效，合格率是否达标。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时效指标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保洁合同期限</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根据保洁合同，服务期限为截至2023年12月31日</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合同截至2023年12月31日止</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成本指标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估算成本在预算范围内</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根据服务范围和服务内容，估算服务成本，合理控制在预算范围内</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经济效益指标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吸收闲置劳动力，促进经济发展。</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服务范围大，能够吸收沿线闲置的附近劳动力，增加额外经济收入。</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丰富了社会经济运转内容，促进社会发展。</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能够就地用人，就地取材，灵活机动性强，促进了社会发展。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路容路貌干净整洁</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路容路貌得到及时管养，美化了路域环境。</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可持续影响指标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项目持续影响效果</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群众交通安全意识、文明意识进一步提高</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服务对象的满意度</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服务对象的满意度</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遵政会议【2020】42号公路养护保洁市场化工作会议纪要</w:t>
            </w:r>
          </w:p>
        </w:tc>
      </w:tr>
    </w:tbl>
    <w:p>
      <w:pPr>
        <w:rPr>
          <w:rFonts w:hint="eastAsia" w:ascii="方正仿宋简体" w:hAnsi="方正仿宋简体" w:eastAsia="方正仿宋简体" w:cs="方正仿宋简体"/>
          <w:b w:val="0"/>
          <w:bCs/>
          <w:color w:val="auto"/>
          <w:lang w:val="en-US" w:eastAsia="zh-CN"/>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p>
      <w:pPr>
        <w:rPr>
          <w:rFonts w:hint="eastAsia" w:ascii="方正仿宋简体" w:hAnsi="方正仿宋简体" w:eastAsia="方正仿宋简体" w:cs="方正仿宋简体"/>
          <w:b w:val="0"/>
          <w:bCs/>
          <w:color w:val="auto"/>
          <w:lang w:val="en-US" w:eastAsia="zh-CN"/>
        </w:rPr>
      </w:pPr>
      <w:bookmarkStart w:id="9" w:name="_Toc_4_4_0000000016"/>
      <w:r>
        <w:rPr>
          <w:rFonts w:hint="eastAsia" w:ascii="方正仿宋简体" w:hAnsi="方正仿宋简体" w:eastAsia="方正仿宋简体" w:cs="方正仿宋简体"/>
          <w:b w:val="0"/>
          <w:bCs/>
          <w:color w:val="auto"/>
          <w:lang w:val="en-US" w:eastAsia="zh-CN"/>
        </w:rPr>
        <w:t>8.农村公路建设改造工程绩效目标表</w:t>
      </w:r>
      <w:bookmarkEnd w:id="9"/>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348001遵化市交通运输局本级</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项目编码</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13028123P000256100036</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项目名称</w:t>
            </w:r>
          </w:p>
        </w:tc>
        <w:tc>
          <w:tcPr>
            <w:tcW w:w="2142" w:type="pct"/>
            <w:gridSpan w:val="3"/>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农村公路建设改造工程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预算规模及资金用途</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1162.00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其中：财政    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1162.00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其他资金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预算数1162万元。其中：财政资金1162万元，其他资金0万元。主要用于：农村公路改造工程项目。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资金支出计划（%）</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10月底</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90%</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绩效目标</w:t>
            </w: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1.养护工程项目验收合格，养护任务达标，改善农村公路交通环境，建设好村村通项目开展。</w:t>
            </w:r>
          </w:p>
          <w:p>
            <w:pPr>
              <w:rPr>
                <w:rFonts w:hint="eastAsia" w:ascii="方正仿宋简体" w:hAnsi="方正仿宋简体" w:eastAsia="方正仿宋简体" w:cs="方正仿宋简体"/>
                <w:b w:val="0"/>
                <w:bCs/>
                <w:color w:val="auto"/>
                <w:lang w:val="en-US" w:eastAsia="zh-CN"/>
              </w:rPr>
            </w:pPr>
          </w:p>
        </w:tc>
      </w:tr>
    </w:tbl>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一级指标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二级指标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三级指标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绩效指标描述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产出指标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数量指标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完成农村公路建设改造范围</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遵化境内农村公路共计801条，列养公里1800.77公里。</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1800.77公里</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质量指标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预算执行率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预算执行率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时效指标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养护工程完成时限</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于2022年底完成所有养护工程任务</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成本指标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合理分配，减少养护工程投资</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严格控制成本，在保障工程的稳步实施中，合理规划工程成本资金。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经济效益指标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对社会经济发展的影响</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做好农村公路建设和养护，有效推动沿线乡镇经济发展，提升农村公路面貌。</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便捷群众出行、方便货物运输</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方便群众出行，改善群众出行条件，构建外通内畅运输网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项目实施对环境的影响</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持续优化农村公路路域环境，促进城乡环境发展。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可持续影响指标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持续带来社会效益</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深化农村公路建设网络，持续影响公路便捷带来的社会效益。</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社会公众或服务对象满意度</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社会公众或服务对象满意度</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bl>
    <w:p>
      <w:pPr>
        <w:rPr>
          <w:rFonts w:hint="eastAsia" w:ascii="方正仿宋简体" w:hAnsi="方正仿宋简体" w:eastAsia="方正仿宋简体" w:cs="方正仿宋简体"/>
          <w:b w:val="0"/>
          <w:bCs/>
          <w:color w:val="auto"/>
          <w:lang w:val="en-US" w:eastAsia="zh-CN"/>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p>
      <w:pPr>
        <w:rPr>
          <w:rFonts w:hint="eastAsia" w:ascii="方正仿宋简体" w:hAnsi="方正仿宋简体" w:eastAsia="方正仿宋简体" w:cs="方正仿宋简体"/>
          <w:b w:val="0"/>
          <w:bCs/>
          <w:color w:val="auto"/>
          <w:lang w:val="en-US" w:eastAsia="zh-CN"/>
        </w:rPr>
      </w:pPr>
      <w:bookmarkStart w:id="10" w:name="_Toc_4_4_0000000017"/>
      <w:r>
        <w:rPr>
          <w:rFonts w:hint="eastAsia" w:ascii="方正仿宋简体" w:hAnsi="方正仿宋简体" w:eastAsia="方正仿宋简体" w:cs="方正仿宋简体"/>
          <w:b w:val="0"/>
          <w:bCs/>
          <w:color w:val="auto"/>
          <w:lang w:val="en-US" w:eastAsia="zh-CN"/>
        </w:rPr>
        <w:t>9.农村公路养护工程补助资金绩效目标表</w:t>
      </w:r>
      <w:bookmarkEnd w:id="10"/>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348001遵化市交通运输局本级</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项目编码</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13028123P000264100032</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项目名称</w:t>
            </w:r>
          </w:p>
        </w:tc>
        <w:tc>
          <w:tcPr>
            <w:tcW w:w="2142" w:type="pct"/>
            <w:gridSpan w:val="3"/>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农村公路养护工程补助资金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预算规模及资金用途</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405.00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其中：财政    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405.00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其他资金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预算数405万元。其中：财政资金405万元，其他资金0万元。主要用于：实施公路养护工程及日常养护，保证公路安全畅通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资金支出计划（%）</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10月底</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90%</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绩效目标</w:t>
            </w: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1.通过实施公路养护工程及日常养护，保证公路安全畅通。及时争取资金，专款专用，提高资金使用效益。</w:t>
            </w:r>
          </w:p>
          <w:p>
            <w:pPr>
              <w:rPr>
                <w:rFonts w:hint="eastAsia" w:ascii="方正仿宋简体" w:hAnsi="方正仿宋简体" w:eastAsia="方正仿宋简体" w:cs="方正仿宋简体"/>
                <w:b w:val="0"/>
                <w:bCs/>
                <w:color w:val="auto"/>
                <w:lang w:val="en-US" w:eastAsia="zh-CN"/>
              </w:rPr>
            </w:pPr>
          </w:p>
        </w:tc>
      </w:tr>
    </w:tbl>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一级指标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二级指标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三级指标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绩效指标描述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产出指标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数量指标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完成农村公路日常养护　</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完成农村公路日常养护任务比率，合理计划农村公路日常养护任务，每次日常养护任务达标率达95%以上</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≥95%</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质量指标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工程质量合格率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参照农村公路养护工程施工标准，严格把关养护工程质量合格百分比。</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时效指标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资金列支时间 </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计划按季度拨付养护资金，以保障公路养护工程的正常开展，于年底列支完成。</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成本指标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减少养护工程投资</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合理规划，以政治任务为主，日常养护为辅，控制养护工程成本，节约养护开支。</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经济效益指标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对社会经济发展的影响　 </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农村公路日常养护维护及养护工程建设，通过劳动力的加入和路况的改善带动了周边经济发展，逐步提高经济增长。</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便捷群众出行、方便货物运输</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通过交通养护工程和日常养护工作，路况得到维持和改善的同时，车流量逐步增加。</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项目实施对环境的影响　</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不断改善了交通环境，同时促进了生态环境建设进步。</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可持续影响指标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公路交通的持续作用</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公路交通持续影响了周边经济、环境建设、社会进步等方面</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社会公众对象满意度</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社会公众对象满意度</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冀财建【2021】196号河北省财政厅关于提前下达2022年成品油税费改革税收返还资金的通知</w:t>
            </w:r>
          </w:p>
        </w:tc>
      </w:tr>
    </w:tbl>
    <w:p>
      <w:pPr>
        <w:rPr>
          <w:rFonts w:hint="eastAsia" w:ascii="方正仿宋简体" w:hAnsi="方正仿宋简体" w:eastAsia="方正仿宋简体" w:cs="方正仿宋简体"/>
          <w:b w:val="0"/>
          <w:bCs/>
          <w:color w:val="auto"/>
          <w:lang w:val="en-US" w:eastAsia="zh-CN"/>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p>
      <w:pPr>
        <w:rPr>
          <w:rFonts w:hint="eastAsia" w:ascii="方正仿宋简体" w:hAnsi="方正仿宋简体" w:eastAsia="方正仿宋简体" w:cs="方正仿宋简体"/>
          <w:b w:val="0"/>
          <w:bCs/>
          <w:color w:val="auto"/>
          <w:lang w:val="en-US" w:eastAsia="zh-CN"/>
        </w:rPr>
      </w:pPr>
      <w:bookmarkStart w:id="11" w:name="_Toc_4_4_0000000018"/>
      <w:r>
        <w:rPr>
          <w:rFonts w:hint="eastAsia" w:ascii="方正仿宋简体" w:hAnsi="方正仿宋简体" w:eastAsia="方正仿宋简体" w:cs="方正仿宋简体"/>
          <w:b w:val="0"/>
          <w:bCs/>
          <w:color w:val="auto"/>
          <w:lang w:val="en-US" w:eastAsia="zh-CN"/>
        </w:rPr>
        <w:t>10.伤残职工抚恤金等资金绩效目标表</w:t>
      </w:r>
      <w:bookmarkEnd w:id="11"/>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348001遵化市交通运输局本级</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项目编码</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13028123P00031410001E</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项目名称</w:t>
            </w:r>
          </w:p>
        </w:tc>
        <w:tc>
          <w:tcPr>
            <w:tcW w:w="2142" w:type="pct"/>
            <w:gridSpan w:val="3"/>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伤残职工抚恤金等资金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预算规模及资金用途</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8.00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其中：财政    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8.00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其他资金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预算数8万元。其中：财政资金8万元，其他资金0万元。主要用于：伤残职工抚恤生活补助支出。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资金支出计划（%）</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10月底</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90%</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绩效目标</w:t>
            </w: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1.严格按照财政审批手续及时申请资金，保障资金及时到位。专款专用,不挤占挪用,严格按照国家文件规定使用资金.</w:t>
            </w:r>
            <w:r>
              <w:rPr>
                <w:rFonts w:hint="eastAsia" w:ascii="方正仿宋简体" w:hAnsi="方正仿宋简体" w:eastAsia="方正仿宋简体" w:cs="方正仿宋简体"/>
                <w:b w:val="0"/>
                <w:bCs/>
                <w:color w:val="auto"/>
                <w:lang w:val="en-US" w:eastAsia="zh-CN"/>
              </w:rPr>
              <w:tab/>
            </w:r>
            <w:r>
              <w:rPr>
                <w:rFonts w:hint="eastAsia" w:ascii="方正仿宋简体" w:hAnsi="方正仿宋简体" w:eastAsia="方正仿宋简体" w:cs="方正仿宋简体"/>
                <w:b w:val="0"/>
                <w:bCs/>
                <w:color w:val="auto"/>
                <w:lang w:val="en-US" w:eastAsia="zh-CN"/>
              </w:rPr>
              <w:tab/>
            </w:r>
            <w:r>
              <w:rPr>
                <w:rFonts w:hint="eastAsia" w:ascii="方正仿宋简体" w:hAnsi="方正仿宋简体" w:eastAsia="方正仿宋简体" w:cs="方正仿宋简体"/>
                <w:b w:val="0"/>
                <w:bCs/>
                <w:color w:val="auto"/>
                <w:lang w:val="en-US" w:eastAsia="zh-CN"/>
              </w:rPr>
              <w:tab/>
            </w:r>
            <w:r>
              <w:rPr>
                <w:rFonts w:hint="eastAsia" w:ascii="方正仿宋简体" w:hAnsi="方正仿宋简体" w:eastAsia="方正仿宋简体" w:cs="方正仿宋简体"/>
                <w:b w:val="0"/>
                <w:bCs/>
                <w:color w:val="auto"/>
                <w:lang w:val="en-US" w:eastAsia="zh-CN"/>
              </w:rPr>
              <w:tab/>
            </w:r>
            <w:r>
              <w:rPr>
                <w:rFonts w:hint="eastAsia" w:ascii="方正仿宋简体" w:hAnsi="方正仿宋简体" w:eastAsia="方正仿宋简体" w:cs="方正仿宋简体"/>
                <w:b w:val="0"/>
                <w:bCs/>
                <w:color w:val="auto"/>
                <w:lang w:val="en-US" w:eastAsia="zh-CN"/>
              </w:rPr>
              <w:tab/>
            </w:r>
            <w:r>
              <w:rPr>
                <w:rFonts w:hint="eastAsia" w:ascii="方正仿宋简体" w:hAnsi="方正仿宋简体" w:eastAsia="方正仿宋简体" w:cs="方正仿宋简体"/>
                <w:b w:val="0"/>
                <w:bCs/>
                <w:color w:val="auto"/>
                <w:lang w:val="en-US" w:eastAsia="zh-CN"/>
              </w:rPr>
              <w:tab/>
            </w:r>
          </w:p>
          <w:p>
            <w:pPr>
              <w:rPr>
                <w:rFonts w:hint="eastAsia" w:ascii="方正仿宋简体" w:hAnsi="方正仿宋简体" w:eastAsia="方正仿宋简体" w:cs="方正仿宋简体"/>
                <w:b w:val="0"/>
                <w:bCs/>
                <w:color w:val="auto"/>
                <w:lang w:val="en-US" w:eastAsia="zh-CN"/>
              </w:rPr>
            </w:pPr>
          </w:p>
        </w:tc>
      </w:tr>
    </w:tbl>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一级指标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二级指标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三级指标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绩效指标描述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产出指标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数量指标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伤残职工人员数量</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经过严格核实，确定发放伤残职工人员数量。</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5人</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质量指标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伤残职工补贴标准</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按照相关文件要求，确定符合伤残职工人员补贴标准，合法合规。</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时效指标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支付时间 </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按月和季度发放资金，保障伤残补贴及时发放和保险及时缴纳。</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成本指标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伤残职工补贴及保险预算成本</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按照年度保险单及伤残补贴发放文件为基础，确定年度资金成本，合理编制年度预算。</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经济效益指标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补贴项目发放　 </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补贴项目专款专用，补挤占挪用，及时发放。</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社会稳定水平</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提高补助对象满意度 ，维护了社会稳定，促进了社会和谐，排除信访隐患。</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促进生态环境改善</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为早期公路建设做出了贡献，促进了生态环境的发展。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可持续影响指标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持续影响作用</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项目能持续运行，项目依据的政策能持续执行</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补贴对象满意度</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被补贴对象对此项补贴政策及实施情况满意度</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冀人社发【2019】34号</w:t>
            </w:r>
          </w:p>
        </w:tc>
      </w:tr>
    </w:tbl>
    <w:p>
      <w:pPr>
        <w:rPr>
          <w:rFonts w:hint="eastAsia" w:ascii="方正仿宋简体" w:hAnsi="方正仿宋简体" w:eastAsia="方正仿宋简体" w:cs="方正仿宋简体"/>
          <w:b w:val="0"/>
          <w:bCs/>
          <w:color w:val="auto"/>
          <w:lang w:val="en-US" w:eastAsia="zh-CN"/>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p>
      <w:pPr>
        <w:rPr>
          <w:rFonts w:hint="eastAsia" w:ascii="方正仿宋简体" w:hAnsi="方正仿宋简体" w:eastAsia="方正仿宋简体" w:cs="方正仿宋简体"/>
          <w:b w:val="0"/>
          <w:bCs/>
          <w:color w:val="auto"/>
          <w:lang w:val="en-US" w:eastAsia="zh-CN"/>
        </w:rPr>
      </w:pPr>
      <w:bookmarkStart w:id="12" w:name="_Toc_4_4_0000000019"/>
      <w:r>
        <w:rPr>
          <w:rFonts w:hint="eastAsia" w:ascii="方正仿宋简体" w:hAnsi="方正仿宋简体" w:eastAsia="方正仿宋简体" w:cs="方正仿宋简体"/>
          <w:b w:val="0"/>
          <w:bCs/>
          <w:color w:val="auto"/>
          <w:lang w:val="en-US" w:eastAsia="zh-CN"/>
        </w:rPr>
        <w:t>11.省道邦宽线重点路段大修工程绩效目标表</w:t>
      </w:r>
      <w:bookmarkEnd w:id="12"/>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348001遵化市交通运输局本级</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项目编码</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13028123P000300100024</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项目名称</w:t>
            </w:r>
          </w:p>
        </w:tc>
        <w:tc>
          <w:tcPr>
            <w:tcW w:w="2142" w:type="pct"/>
            <w:gridSpan w:val="3"/>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省道邦宽线重点路段大修工程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预算规模及资金用途</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1425.00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其中：财政    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1425.00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其他资金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预算数1425万元。其中：财政资金1425万元，其他资金0万元。主要用于：省道邦宽线路段大修工程。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资金支出计划（%）</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10月底</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90%</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绩效目标</w:t>
            </w: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1.结合实际情况控制工程成本，节约开支，提高资金使用效率，专款专用，严格把关，工程资金控制在预算范围内。</w:t>
            </w:r>
          </w:p>
          <w:p>
            <w:pPr>
              <w:rPr>
                <w:rFonts w:hint="eastAsia" w:ascii="方正仿宋简体" w:hAnsi="方正仿宋简体" w:eastAsia="方正仿宋简体" w:cs="方正仿宋简体"/>
                <w:b w:val="0"/>
                <w:bCs/>
                <w:color w:val="auto"/>
                <w:lang w:val="en-US" w:eastAsia="zh-CN"/>
              </w:rPr>
            </w:pPr>
          </w:p>
        </w:tc>
      </w:tr>
    </w:tbl>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一级指标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二级指标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三级指标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绩效指标描述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产出指标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数量指标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路段长度</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省道邦宽线路段长度</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52.01公里</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质量指标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公路建设技术标准</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根据公路技术标准进行施工，严把质量关，控制合格率。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时效指标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开完工时间</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计划于2023年底，资金到位并完成工程建设。</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2023年底完成项目建设</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成本指标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节约工程成本</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工程施工过程中，按照施工工可并结合实际，合理安排支出，节约工程成本。</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经济效益指标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带动经济提升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工程建设期间吸收了周边空闲劳动力的投入，带动沿线经济收入。建成后，交通路况的改善也会促进运输业的发展，带动周边经济增长。</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≥95%</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促进社会发展</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交通环境的改善能够不断促进我市旅游业等社会行业发展，促进社会进步。</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改善了公路环境</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通过路况的改善，美化公路旅游环境，增涨了生态指标提高。</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可持续影响指标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持续影响各行业发展</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项目建成后路况的畅通、美化、和舒适，将持续影响运输业、旅游业等各行业的发展，促进社会文明进步。</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≥95%</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社会公众对象满意度　</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通过调查，社会公众调查满意度指标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调查问卷</w:t>
            </w:r>
          </w:p>
        </w:tc>
      </w:tr>
    </w:tbl>
    <w:p>
      <w:pPr>
        <w:rPr>
          <w:rFonts w:hint="eastAsia" w:ascii="方正仿宋简体" w:hAnsi="方正仿宋简体" w:eastAsia="方正仿宋简体" w:cs="方正仿宋简体"/>
          <w:b w:val="0"/>
          <w:bCs/>
          <w:color w:val="auto"/>
          <w:lang w:val="en-US" w:eastAsia="zh-CN"/>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p>
      <w:pPr>
        <w:rPr>
          <w:rFonts w:hint="eastAsia" w:ascii="方正仿宋简体" w:hAnsi="方正仿宋简体" w:eastAsia="方正仿宋简体" w:cs="方正仿宋简体"/>
          <w:b w:val="0"/>
          <w:bCs/>
          <w:color w:val="auto"/>
          <w:lang w:val="en-US" w:eastAsia="zh-CN"/>
        </w:rPr>
      </w:pPr>
      <w:bookmarkStart w:id="13" w:name="_Toc_4_4_0000000020"/>
      <w:r>
        <w:rPr>
          <w:rFonts w:hint="eastAsia" w:ascii="方正仿宋简体" w:hAnsi="方正仿宋简体" w:eastAsia="方正仿宋简体" w:cs="方正仿宋简体"/>
          <w:b w:val="0"/>
          <w:bCs/>
          <w:color w:val="auto"/>
          <w:lang w:val="en-US" w:eastAsia="zh-CN"/>
        </w:rPr>
        <w:t>12.通行费安排交通设施维修维护资金绩效目标表</w:t>
      </w:r>
      <w:bookmarkEnd w:id="13"/>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348001遵化市交通运输局本级</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项目编码</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13028123P000306100026</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项目名称</w:t>
            </w:r>
          </w:p>
        </w:tc>
        <w:tc>
          <w:tcPr>
            <w:tcW w:w="2142" w:type="pct"/>
            <w:gridSpan w:val="3"/>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通行费安排交通设施维修维护资金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预算规模及资金用途</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120.00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其中：财政    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120.00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其他资金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预算数120万元。其中：财政资金120万元，其他资金0万元。主要用于：更好的保障设施完好无损，发现问题及时维修，做到设施齐全干净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资金支出计划（%）</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10月底</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90%</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绩效目标</w:t>
            </w: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1.保障设施完好无损，发现问题及时维修，做到设施齐全干净，给交通安全提供了资金保障。专款专用，合理利用资金。</w:t>
            </w:r>
            <w:r>
              <w:rPr>
                <w:rFonts w:hint="eastAsia" w:ascii="方正仿宋简体" w:hAnsi="方正仿宋简体" w:eastAsia="方正仿宋简体" w:cs="方正仿宋简体"/>
                <w:b w:val="0"/>
                <w:bCs/>
                <w:color w:val="auto"/>
                <w:lang w:val="en-US" w:eastAsia="zh-CN"/>
              </w:rPr>
              <w:tab/>
            </w:r>
            <w:r>
              <w:rPr>
                <w:rFonts w:hint="eastAsia" w:ascii="方正仿宋简体" w:hAnsi="方正仿宋简体" w:eastAsia="方正仿宋简体" w:cs="方正仿宋简体"/>
                <w:b w:val="0"/>
                <w:bCs/>
                <w:color w:val="auto"/>
                <w:lang w:val="en-US" w:eastAsia="zh-CN"/>
              </w:rPr>
              <w:tab/>
            </w:r>
            <w:r>
              <w:rPr>
                <w:rFonts w:hint="eastAsia" w:ascii="方正仿宋简体" w:hAnsi="方正仿宋简体" w:eastAsia="方正仿宋简体" w:cs="方正仿宋简体"/>
                <w:b w:val="0"/>
                <w:bCs/>
                <w:color w:val="auto"/>
                <w:lang w:val="en-US" w:eastAsia="zh-CN"/>
              </w:rPr>
              <w:tab/>
            </w:r>
            <w:r>
              <w:rPr>
                <w:rFonts w:hint="eastAsia" w:ascii="方正仿宋简体" w:hAnsi="方正仿宋简体" w:eastAsia="方正仿宋简体" w:cs="方正仿宋简体"/>
                <w:b w:val="0"/>
                <w:bCs/>
                <w:color w:val="auto"/>
                <w:lang w:val="en-US" w:eastAsia="zh-CN"/>
              </w:rPr>
              <w:tab/>
            </w:r>
            <w:r>
              <w:rPr>
                <w:rFonts w:hint="eastAsia" w:ascii="方正仿宋简体" w:hAnsi="方正仿宋简体" w:eastAsia="方正仿宋简体" w:cs="方正仿宋简体"/>
                <w:b w:val="0"/>
                <w:bCs/>
                <w:color w:val="auto"/>
                <w:lang w:val="en-US" w:eastAsia="zh-CN"/>
              </w:rPr>
              <w:tab/>
            </w:r>
            <w:r>
              <w:rPr>
                <w:rFonts w:hint="eastAsia" w:ascii="方正仿宋简体" w:hAnsi="方正仿宋简体" w:eastAsia="方正仿宋简体" w:cs="方正仿宋简体"/>
                <w:b w:val="0"/>
                <w:bCs/>
                <w:color w:val="auto"/>
                <w:lang w:val="en-US" w:eastAsia="zh-CN"/>
              </w:rPr>
              <w:tab/>
            </w:r>
          </w:p>
          <w:p>
            <w:pPr>
              <w:rPr>
                <w:rFonts w:hint="eastAsia" w:ascii="方正仿宋简体" w:hAnsi="方正仿宋简体" w:eastAsia="方正仿宋简体" w:cs="方正仿宋简体"/>
                <w:b w:val="0"/>
                <w:bCs/>
                <w:color w:val="auto"/>
                <w:lang w:val="en-US" w:eastAsia="zh-CN"/>
              </w:rPr>
            </w:pPr>
          </w:p>
        </w:tc>
      </w:tr>
    </w:tbl>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一级指标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二级指标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三级指标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绩效指标描述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产出指标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数量指标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公路里程　 </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项目资金主要用于邦宽线的日常养护工作，邦宽线遵化段里程共计51.748公里　。</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51.75公里</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质量指标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维护标准合格</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设施维修质量合格，维修及时，严把验收关，以达到质量质保。</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≥95%</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时效指标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拨付进度及时</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计划按季度拨付资金，于2022年底，资金全部列支到位。保障公路设施建设工作的正常开展。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成本指标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通行费收入节余</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通行费收缴的收入的金额数量是设施维修保养的基础，结余资金用于设施养护，期间合理控制支出，节约成本。</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经济效益指标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对社会经济发展的影响</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公路建设和养护，有效推动沿线乡镇经济发展。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≥95%</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收费设施（设备）运行正常率　</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能够正常运行的设施（设备）占全部设施比例的100%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项目实施对生态的影响</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公路的公益性建设，会使得农村公路得到保洁和畅通，促进生态效益发展。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可持续影响指标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项目实施的持续影响</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收费公路安全畅通，使得交通状况保持良好，持续影响保障了行人车辆出行安全畅通。</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≥95%</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社会公众对象满意度　</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社会公众对项目实施效果的满意程度　</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建遵基贷字【2019】01号</w:t>
            </w:r>
          </w:p>
        </w:tc>
      </w:tr>
    </w:tbl>
    <w:p>
      <w:pPr>
        <w:rPr>
          <w:rFonts w:hint="eastAsia" w:ascii="方正仿宋简体" w:hAnsi="方正仿宋简体" w:eastAsia="方正仿宋简体" w:cs="方正仿宋简体"/>
          <w:b w:val="0"/>
          <w:bCs/>
          <w:color w:val="auto"/>
          <w:lang w:val="en-US" w:eastAsia="zh-CN"/>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p>
      <w:pPr>
        <w:rPr>
          <w:rFonts w:hint="eastAsia" w:ascii="方正仿宋简体" w:hAnsi="方正仿宋简体" w:eastAsia="方正仿宋简体" w:cs="方正仿宋简体"/>
          <w:b w:val="0"/>
          <w:bCs/>
          <w:color w:val="auto"/>
          <w:lang w:val="en-US" w:eastAsia="zh-CN"/>
        </w:rPr>
      </w:pPr>
      <w:bookmarkStart w:id="14" w:name="_Toc_4_4_0000000021"/>
      <w:r>
        <w:rPr>
          <w:rFonts w:hint="eastAsia" w:ascii="方正仿宋简体" w:hAnsi="方正仿宋简体" w:eastAsia="方正仿宋简体" w:cs="方正仿宋简体"/>
          <w:b w:val="0"/>
          <w:bCs/>
          <w:color w:val="auto"/>
          <w:lang w:val="en-US" w:eastAsia="zh-CN"/>
        </w:rPr>
        <w:t>13.通行费安排收费站人员经费绩效目标表</w:t>
      </w:r>
      <w:bookmarkEnd w:id="14"/>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348001遵化市交通运输局本级</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项目编码</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13028123P00030210002F</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项目名称</w:t>
            </w:r>
          </w:p>
        </w:tc>
        <w:tc>
          <w:tcPr>
            <w:tcW w:w="2142" w:type="pct"/>
            <w:gridSpan w:val="3"/>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通行费安排收费站人员经费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预算规模及资金用途</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834.00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其中：财政    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834.00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其他资金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预算数834万元。其中：财政资金834万元，其他资金0万元。主要用于：收费站人员保险工资等人员支出。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资金支出计划（%）</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10月底</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90%</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绩效目标</w:t>
            </w: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用于收费站运作人员工资及保险，保障收费站的正常运转、通行费的正常收取、收费公路的日常维护和保养及收费路贷款的按期归还。此项目资金来源于通行费提取，是收费站正常运转的基础保障，从而能够正常运转通行费收缴工作，从而保障还贷、养路等系列资金支出来源。</w:t>
            </w:r>
          </w:p>
        </w:tc>
      </w:tr>
    </w:tbl>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一级指标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二级指标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三级指标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绩效指标描述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产出指标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数量指标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人员数量</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收费站运转工作人员数量的最低标准。</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≥188人</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质量指标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执行标准 </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用于收费站运作人员工资及保险，用于保障收费站的正常运转，通行费的正常收取，已保障收费公路的日常维护和保养及收费路贷款的按期归还。</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≥95%</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时效指标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拨付进度</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依据测算按月拨付职工工资及保险费用，每月月初拨付完成。</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成本指标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收费公路收费收入金额</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根据以前年都收费公路通行费实际收入金额，计划2022年约收入通行费2.2亿元。</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经济效益指标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资金使用效率　 </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把资金的支出充分利用在通行费收缴工作中，保障通行费收入的正常开展。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≥95%</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提前促进社会进步</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修路还贷的建设方案能够提前促进社会进步，刺激经济发展，方便公众出行。</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提升和改善公路环境</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通过通行费的收取，能够抽取部分资金用于公路养护建设方面，改善公路环境。</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可持续影响指标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持续影响收费站的正常运转</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直接持续影响收费站的正常运转，间接持续影响通行费收取和收费公路的日常建设和养护，已保障收费公路的畅通和安全。</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≥95%</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bl>
    <w:p>
      <w:pPr>
        <w:rPr>
          <w:rFonts w:hint="eastAsia" w:ascii="方正仿宋简体" w:hAnsi="方正仿宋简体" w:eastAsia="方正仿宋简体" w:cs="方正仿宋简体"/>
          <w:b w:val="0"/>
          <w:bCs/>
          <w:color w:val="auto"/>
          <w:lang w:val="en-US" w:eastAsia="zh-CN"/>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p>
      <w:pPr>
        <w:rPr>
          <w:rFonts w:hint="eastAsia" w:ascii="方正仿宋简体" w:hAnsi="方正仿宋简体" w:eastAsia="方正仿宋简体" w:cs="方正仿宋简体"/>
          <w:b w:val="0"/>
          <w:bCs/>
          <w:color w:val="auto"/>
          <w:lang w:val="en-US" w:eastAsia="zh-CN"/>
        </w:rPr>
      </w:pPr>
      <w:bookmarkStart w:id="15" w:name="_Toc_4_4_0000000022"/>
      <w:r>
        <w:rPr>
          <w:rFonts w:hint="eastAsia" w:ascii="方正仿宋简体" w:hAnsi="方正仿宋简体" w:eastAsia="方正仿宋简体" w:cs="方正仿宋简体"/>
          <w:b w:val="0"/>
          <w:bCs/>
          <w:color w:val="auto"/>
          <w:lang w:val="en-US" w:eastAsia="zh-CN"/>
        </w:rPr>
        <w:t>14.通行费安排收费站运转经费绩效目标表</w:t>
      </w:r>
      <w:bookmarkEnd w:id="15"/>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348001遵化市交通运输局本级</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项目编码</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13028123P00030810002H</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项目名称</w:t>
            </w:r>
          </w:p>
        </w:tc>
        <w:tc>
          <w:tcPr>
            <w:tcW w:w="2142" w:type="pct"/>
            <w:gridSpan w:val="3"/>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通行费安排收费站运转经费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预算规模及资金用途</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91.00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其中：财政    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91.00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其他资金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预算数91万元。其中：财政资金91万元，其他资金0万元。主要用于：收费站运转所需经费资金。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资金支出计划（%）</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10月底</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90%</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绩效目标</w:t>
            </w: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1.节约开支，控制成本，合理运行运转机制以提高通行费收入，合法合规利用运转资金，保障收费站正常运转。</w:t>
            </w:r>
          </w:p>
          <w:p>
            <w:pPr>
              <w:rPr>
                <w:rFonts w:hint="eastAsia" w:ascii="方正仿宋简体" w:hAnsi="方正仿宋简体" w:eastAsia="方正仿宋简体" w:cs="方正仿宋简体"/>
                <w:b w:val="0"/>
                <w:bCs/>
                <w:color w:val="auto"/>
                <w:lang w:val="en-US" w:eastAsia="zh-CN"/>
              </w:rPr>
            </w:pPr>
          </w:p>
        </w:tc>
      </w:tr>
    </w:tbl>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一级指标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二级指标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三级指标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绩效指标描述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产出指标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数量指标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预测发生费用</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收费站运转所用办公费、通勤车辆 、水电、发电机用油、取暖费等</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79.73万元</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质量指标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根据预算法等法律法规规范使用资金</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根据收费站以前年度经费正常运转测算，计划2022年约91万元运转经费，做到专款专用，用于收费站运转方面支出。</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≥95%</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时效指标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预算执行进度</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计划每季度初拨付一次，与2022年底拨付完成</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成本指标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预算执行率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预算执行率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经济效益指标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收入完成率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通行费实际收入数占通行费计划收入数的比率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≥95%</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给公路养护提供资金保障，促进了社会发展</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保障了收费站的正常运转，同时也给收费公路的日常养护提供了资金保障，对社会发展提供积极推进作用。</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保障了公路养护，促进生态建设</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给收费公路的日常养护提供了资金保障，间接促进了生态环境改善。</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可持续影响指标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持续保障收费公路建设和保养</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持续影响了收费公路建设和保养，能够让车辆行人出行安全畅通，促进各行业发展和社会文明进步 。</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≥95%</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建遵基贷字【2019】01号 </w:t>
            </w:r>
          </w:p>
        </w:tc>
      </w:tr>
    </w:tbl>
    <w:p>
      <w:pPr>
        <w:rPr>
          <w:rFonts w:hint="eastAsia" w:ascii="方正仿宋简体" w:hAnsi="方正仿宋简体" w:eastAsia="方正仿宋简体" w:cs="方正仿宋简体"/>
          <w:b w:val="0"/>
          <w:bCs/>
          <w:color w:val="auto"/>
          <w:lang w:val="en-US" w:eastAsia="zh-CN"/>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p>
      <w:pPr>
        <w:rPr>
          <w:rFonts w:hint="eastAsia" w:ascii="方正仿宋简体" w:hAnsi="方正仿宋简体" w:eastAsia="方正仿宋简体" w:cs="方正仿宋简体"/>
          <w:b w:val="0"/>
          <w:bCs/>
          <w:color w:val="auto"/>
          <w:lang w:val="en-US" w:eastAsia="zh-CN"/>
        </w:rPr>
      </w:pPr>
      <w:bookmarkStart w:id="16" w:name="_Toc_4_4_0000000023"/>
      <w:r>
        <w:rPr>
          <w:rFonts w:hint="eastAsia" w:ascii="方正仿宋简体" w:hAnsi="方正仿宋简体" w:eastAsia="方正仿宋简体" w:cs="方正仿宋简体"/>
          <w:b w:val="0"/>
          <w:bCs/>
          <w:color w:val="auto"/>
          <w:lang w:val="en-US" w:eastAsia="zh-CN"/>
        </w:rPr>
        <w:t>15.乡村振兴农村公路养护资金绩效目标表</w:t>
      </w:r>
      <w:bookmarkEnd w:id="16"/>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348001遵化市交通运输局本级</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项目编码</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13028123P00025810003H</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项目名称</w:t>
            </w:r>
          </w:p>
        </w:tc>
        <w:tc>
          <w:tcPr>
            <w:tcW w:w="2142" w:type="pct"/>
            <w:gridSpan w:val="3"/>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乡村振兴农村公路养护资金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预算规模及资金用途</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990.00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其中：财政    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990.00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其他资金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预算数990万元。其中：财政资金990万元，其他资金0万元。主要用于：国防公路建设人员生活补贴。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资金支出计划（%）</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10月底</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90%</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绩效目标</w:t>
            </w: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1.圆满完成路面清洁、实施齐全完整、桥涵牢固通畅、路树及时修建防虫等各项养护任务。打造出行安全、畅通、舒适的公路环境。</w:t>
            </w:r>
          </w:p>
          <w:p>
            <w:pPr>
              <w:rPr>
                <w:rFonts w:hint="eastAsia" w:ascii="方正仿宋简体" w:hAnsi="方正仿宋简体" w:eastAsia="方正仿宋简体" w:cs="方正仿宋简体"/>
                <w:b w:val="0"/>
                <w:bCs/>
                <w:color w:val="auto"/>
                <w:lang w:val="en-US" w:eastAsia="zh-CN"/>
              </w:rPr>
            </w:pPr>
          </w:p>
        </w:tc>
      </w:tr>
    </w:tbl>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一级指标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二级指标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三级指标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绩效指标描述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产出指标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数量指标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完成农村公路日常养护范围</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遵化境内农村公路共计801条，列养公里1800.77公里。</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1800.77公里</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质量指标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养护任务质量合格率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养护任务合格的项目个数占总项目个数的比例</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时效指标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养护任务完成时限</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各项养护任务的任务时限要求达标，总体完成率合格</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成本指标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合理分配，减少养护工程投资</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按照养护工程重点，充分有效利用配套资金，降低成本节约资金。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经济效益指标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对社会经济发展的影响</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农村公路建设和养护，有效推动沿线乡镇经济发展。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便捷群众出行、方便货物运输</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方便群众出行，改善群众出行条件，构建外通内畅运输网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项目实施对环境的影响</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农村公路的公益性建设，会使得农村公路得到保洁和畅通，促进生态效益发展。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可持续影响指标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持续影响出行质量</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良好的交通环境，将持续影响行人车辆出行质量。使得出行安全、畅通、舒适。</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社会公众或服务对象满意度</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社会公众或服务对象满意度</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唐政办字【2020】46号唐山市人民政府办公室关于印发《唐山市深化农村公路管理养护体制改革实施方案》的通知</w:t>
            </w:r>
          </w:p>
        </w:tc>
      </w:tr>
    </w:tbl>
    <w:p>
      <w:pPr>
        <w:rPr>
          <w:rFonts w:hint="eastAsia" w:ascii="方正仿宋简体" w:hAnsi="方正仿宋简体" w:eastAsia="方正仿宋简体" w:cs="方正仿宋简体"/>
          <w:b w:val="0"/>
          <w:bCs/>
          <w:color w:val="auto"/>
          <w:lang w:val="en-US" w:eastAsia="zh-CN"/>
        </w:rPr>
        <w:sectPr>
          <w:pgSz w:w="16840" w:h="11900" w:orient="landscape"/>
          <w:pgMar w:top="1304" w:right="1984" w:bottom="1304" w:left="1134" w:header="720" w:footer="720" w:gutter="0"/>
          <w:pgNumType w:fmt="decimal"/>
          <w:cols w:space="720" w:num="1"/>
        </w:sectPr>
      </w:pPr>
    </w:p>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p>
      <w:pPr>
        <w:rPr>
          <w:rFonts w:hint="eastAsia" w:ascii="方正仿宋简体" w:hAnsi="方正仿宋简体" w:eastAsia="方正仿宋简体" w:cs="方正仿宋简体"/>
          <w:b w:val="0"/>
          <w:bCs/>
          <w:color w:val="auto"/>
          <w:lang w:val="en-US" w:eastAsia="zh-CN"/>
        </w:rPr>
      </w:pPr>
      <w:bookmarkStart w:id="17" w:name="_Toc_4_4_0000000024"/>
      <w:r>
        <w:rPr>
          <w:rFonts w:hint="eastAsia" w:ascii="方正仿宋简体" w:hAnsi="方正仿宋简体" w:eastAsia="方正仿宋简体" w:cs="方正仿宋简体"/>
          <w:b w:val="0"/>
          <w:bCs/>
          <w:color w:val="auto"/>
          <w:lang w:val="en-US" w:eastAsia="zh-CN"/>
        </w:rPr>
        <w:t>16.治超站等执法专项经费绩效目标表</w:t>
      </w:r>
      <w:bookmarkEnd w:id="17"/>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348001遵化市交通运输局本级</w:t>
            </w:r>
          </w:p>
        </w:tc>
        <w:tc>
          <w:tcPr>
            <w:tcW w:w="714" w:type="pct"/>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项目编码</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13028123P00029210002Q</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项目名称</w:t>
            </w:r>
          </w:p>
        </w:tc>
        <w:tc>
          <w:tcPr>
            <w:tcW w:w="2142" w:type="pct"/>
            <w:gridSpan w:val="3"/>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治超站等执法专项经费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预算规模及资金用途</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110.00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其中：财政    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110.00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其他资金</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预算数110万元。其中：财政资金110万元，其他资金0万元。主要用于：更好的保障设施完好无损，发现问题及时维修，做到设施齐全干净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资金支出计划（%）</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6月底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10月底</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rPr>
                <w:rFonts w:hint="eastAsia" w:ascii="方正仿宋简体" w:hAnsi="方正仿宋简体" w:eastAsia="方正仿宋简体" w:cs="方正仿宋简体"/>
                <w:b w:val="0"/>
                <w:bCs/>
                <w:color w:val="auto"/>
                <w:lang w:val="en-US" w:eastAsia="zh-CN"/>
              </w:rPr>
            </w:pP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60%</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90%</w:t>
            </w:r>
          </w:p>
        </w:tc>
        <w:tc>
          <w:tcPr>
            <w:tcW w:w="1428" w:type="pct"/>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绩效目标</w:t>
            </w:r>
          </w:p>
        </w:tc>
        <w:tc>
          <w:tcPr>
            <w:tcW w:w="4285" w:type="pct"/>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1.加大执法力度，增加非税收入。申请财政资金，保证执法车辆及设备的运行维护，综合执法工作有序开展。</w:t>
            </w:r>
          </w:p>
          <w:p>
            <w:pPr>
              <w:rPr>
                <w:rFonts w:hint="eastAsia" w:ascii="方正仿宋简体" w:hAnsi="方正仿宋简体" w:eastAsia="方正仿宋简体" w:cs="方正仿宋简体"/>
                <w:b w:val="0"/>
                <w:bCs/>
                <w:color w:val="auto"/>
                <w:lang w:val="en-US" w:eastAsia="zh-CN"/>
              </w:rPr>
            </w:pPr>
          </w:p>
        </w:tc>
      </w:tr>
    </w:tbl>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一级指标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二级指标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三级指标</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绩效指标描述</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产出指标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数量指标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年度执法经费</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执法大队公用经费、办公楼取暖费、不可预见费等</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111万元</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质量指标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维护标准</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保障执法工作正常运转，使得路产路权得到有效维护，超限超载得到有效治理，出租客运行业得到有序开展。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时效指标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支付时间 </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计划按月拨付资金，保障执法工作正常运转，于2022年底争取资金到位。</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成本指标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控制支出预算成本 </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有效利用执法专项经费资金，节约成本，控制开支，控制资金在预算范围之内　。</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经济效益指标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职能履行</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职能履行带动社会经济效益发展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有效打击交通违法行为</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全年处理交通违法行为约2300件，有效控制违法数量。</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生态效益指标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生态环境的影响</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有效发挥职能效用，使得职能履行带动生态效益效益发展。</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方正仿宋简体" w:hAnsi="方正仿宋简体" w:eastAsia="方正仿宋简体" w:cs="方正仿宋简体"/>
                <w:b w:val="0"/>
                <w:bCs/>
                <w:color w:val="auto"/>
                <w:lang w:val="en-US" w:eastAsia="zh-CN"/>
              </w:rPr>
            </w:pP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可持续影响指标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持续作用的影响</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项目能持续运行，项目依据的政策能持续执行</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遵化市委办公室遵化市人民政府办公室关于印发《遵化市交通运输局职能配置、内设机构和人员编制规定》的通知（遵办字【2019】47号）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服务对象满意度指标</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w:t>
            </w:r>
          </w:p>
        </w:tc>
        <w:tc>
          <w:tcPr>
            <w:tcW w:w="1428"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714" w:type="pc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遵化市委办公室遵化市人民政府办公室关于印发《遵化市交通运输局职能配置、内设机构和人员编制规定》的通知（遵办字【2019】47号）</w:t>
            </w:r>
          </w:p>
        </w:tc>
      </w:tr>
    </w:tbl>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rPr>
      </w:pPr>
      <w:r>
        <w:rPr>
          <w:rFonts w:hint="eastAsia" w:ascii="方正仿宋简体" w:hAnsi="方正仿宋简体" w:eastAsia="方正仿宋简体" w:cs="方正仿宋简体"/>
          <w:b w:val="0"/>
          <w:bCs/>
          <w:color w:val="auto"/>
          <w:lang w:val="en-US" w:eastAsia="zh-CN"/>
        </w:rPr>
        <w:t>17</w:t>
      </w:r>
      <w:r>
        <w:rPr>
          <w:rFonts w:hint="eastAsia" w:ascii="方正仿宋简体" w:hAnsi="方正仿宋简体" w:eastAsia="方正仿宋简体" w:cs="方正仿宋简体"/>
          <w:b w:val="0"/>
          <w:bCs/>
          <w:color w:val="auto"/>
        </w:rPr>
        <w:t>、冀财建【2022】266号河北省财政厅关于提前下达2023年普通国省干线公路建设养护发展专项资金（公路超限检测站补助部分）绩效目标表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2123"/>
        <w:gridCol w:w="2282"/>
        <w:gridCol w:w="1475"/>
        <w:gridCol w:w="3098"/>
        <w:gridCol w:w="3348"/>
        <w:gridCol w:w="70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项目编码</w:t>
            </w:r>
          </w:p>
        </w:tc>
        <w:tc>
          <w:tcPr>
            <w:tcW w:w="4405" w:type="dxa"/>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13028123P00007610002H</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项目名称</w:t>
            </w:r>
          </w:p>
        </w:tc>
        <w:tc>
          <w:tcPr>
            <w:tcW w:w="0" w:type="auto"/>
            <w:gridSpan w:val="3"/>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冀财建【2022】266号河北省财政厅关于提前下达2023年普通国省干线公路建设养护发展专项资金（公路超限检测站补助部分）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711" w:type="dxa"/>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预算规模及资金用途</w:t>
            </w:r>
          </w:p>
        </w:tc>
        <w:tc>
          <w:tcPr>
            <w:tcW w:w="2123" w:type="dxa"/>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40.00</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其中：财政    资金</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40.00</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其他资金</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hint="eastAsia" w:ascii="方正仿宋简体" w:hAnsi="方正仿宋简体" w:eastAsia="方正仿宋简体" w:cs="方正仿宋简体"/>
                <w:b w:val="0"/>
                <w:bCs/>
                <w:color w:val="auto"/>
                <w:lang w:val="en-US" w:eastAsia="zh-CN"/>
              </w:rPr>
            </w:pPr>
          </w:p>
        </w:tc>
        <w:tc>
          <w:tcPr>
            <w:tcW w:w="13029" w:type="dxa"/>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用于超限检测站设备维修保养，场站维修，日常办公等养护开支。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资金支出计划（%）</w:t>
            </w:r>
          </w:p>
        </w:tc>
        <w:tc>
          <w:tcPr>
            <w:tcW w:w="4405" w:type="dxa"/>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3月底</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6月底</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10月底</w:t>
            </w:r>
          </w:p>
        </w:tc>
        <w:tc>
          <w:tcPr>
            <w:tcW w:w="0" w:type="auto"/>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hint="eastAsia" w:ascii="方正仿宋简体" w:hAnsi="方正仿宋简体" w:eastAsia="方正仿宋简体" w:cs="方正仿宋简体"/>
                <w:b w:val="0"/>
                <w:bCs/>
                <w:color w:val="auto"/>
                <w:lang w:val="en-US" w:eastAsia="zh-CN"/>
              </w:rPr>
            </w:pPr>
          </w:p>
        </w:tc>
        <w:tc>
          <w:tcPr>
            <w:tcW w:w="4405" w:type="dxa"/>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30%</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60%</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90%</w:t>
            </w:r>
          </w:p>
        </w:tc>
        <w:tc>
          <w:tcPr>
            <w:tcW w:w="0" w:type="auto"/>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绩效目标</w:t>
            </w:r>
          </w:p>
        </w:tc>
        <w:tc>
          <w:tcPr>
            <w:tcW w:w="13029" w:type="dxa"/>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支出成本控制在预算范围内，使超限设备得到及时维系保养，治超站工作正常运转，给人民群众带来良好出行和运输环境。</w:t>
            </w:r>
          </w:p>
        </w:tc>
      </w:tr>
    </w:tbl>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21"/>
        <w:gridCol w:w="1586"/>
        <w:gridCol w:w="2476"/>
        <w:gridCol w:w="2759"/>
        <w:gridCol w:w="791"/>
        <w:gridCol w:w="6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一级指标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二级指标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三级指标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绩效指标描述</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产出指标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数量指标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补助对象个数</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超限检测站个数</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=1个</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质量指标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维护标准</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用于超限检测站设备维修保养，场站办公经费支出等</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时效指标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使用周期</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治超站经费周期</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=1年</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成本指标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成本节约</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严格控制支出范围，节约项目成本。</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效益指标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经济效益指标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经济作用</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间接拉动项目周边经济</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社会效益指标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提高运输质量</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给货物运输和群众出行带来安全保障。</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生态效益指标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生态效应</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改善公路运输环境，提升出行舒适度体验。</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可持续影响指标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持续作用</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持续影响群众出行质量。</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满意度指标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社会公众满意度</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社会公众对象度项目满意度为95%</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冀财建【2022】266号河北省财政厅关于提前下达2023年普通国省干线公路建设养护发展专项资金的通知</w:t>
            </w:r>
          </w:p>
        </w:tc>
      </w:tr>
    </w:tbl>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rPr>
      </w:pPr>
      <w:r>
        <w:rPr>
          <w:rFonts w:hint="eastAsia" w:ascii="方正仿宋简体" w:hAnsi="方正仿宋简体" w:eastAsia="方正仿宋简体" w:cs="方正仿宋简体"/>
          <w:b w:val="0"/>
          <w:bCs/>
          <w:color w:val="auto"/>
          <w:lang w:val="en-US" w:eastAsia="zh-CN"/>
        </w:rPr>
        <w:t>18</w:t>
      </w:r>
      <w:r>
        <w:rPr>
          <w:rFonts w:hint="eastAsia" w:ascii="方正仿宋简体" w:hAnsi="方正仿宋简体" w:eastAsia="方正仿宋简体" w:cs="方正仿宋简体"/>
          <w:b w:val="0"/>
          <w:bCs/>
          <w:color w:val="auto"/>
        </w:rPr>
        <w:t>、冀财建【2022】266号河北省财政厅关于提前下达2023年普通国省干线公路建设养护发展专项资金（日常养护补助部分）绩效目标表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2123"/>
        <w:gridCol w:w="2282"/>
        <w:gridCol w:w="1517"/>
        <w:gridCol w:w="3077"/>
        <w:gridCol w:w="3333"/>
        <w:gridCol w:w="69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项目编码</w:t>
            </w:r>
          </w:p>
        </w:tc>
        <w:tc>
          <w:tcPr>
            <w:tcW w:w="4405" w:type="dxa"/>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13028123P00007210003E</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项目名称</w:t>
            </w:r>
          </w:p>
        </w:tc>
        <w:tc>
          <w:tcPr>
            <w:tcW w:w="0" w:type="auto"/>
            <w:gridSpan w:val="3"/>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冀财建【2022】266号河北省财政厅关于提前下达2023年普通国省干线公路建设养护发展专项资金（日常养护补助部分）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711" w:type="dxa"/>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预算规模及资金用途</w:t>
            </w:r>
          </w:p>
        </w:tc>
        <w:tc>
          <w:tcPr>
            <w:tcW w:w="2123" w:type="dxa"/>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40.00</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其中：财政    资金</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40.00</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其他资金</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hint="eastAsia" w:ascii="方正仿宋简体" w:hAnsi="方正仿宋简体" w:eastAsia="方正仿宋简体" w:cs="方正仿宋简体"/>
                <w:b w:val="0"/>
                <w:bCs/>
                <w:color w:val="auto"/>
                <w:lang w:val="en-US" w:eastAsia="zh-CN"/>
              </w:rPr>
            </w:pPr>
          </w:p>
        </w:tc>
        <w:tc>
          <w:tcPr>
            <w:tcW w:w="13029" w:type="dxa"/>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用于普通国省干线日常养护支出。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资金支出计划（%）</w:t>
            </w:r>
          </w:p>
        </w:tc>
        <w:tc>
          <w:tcPr>
            <w:tcW w:w="4405" w:type="dxa"/>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3月底</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6月底</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10月底</w:t>
            </w:r>
          </w:p>
        </w:tc>
        <w:tc>
          <w:tcPr>
            <w:tcW w:w="0" w:type="auto"/>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hint="eastAsia" w:ascii="方正仿宋简体" w:hAnsi="方正仿宋简体" w:eastAsia="方正仿宋简体" w:cs="方正仿宋简体"/>
                <w:b w:val="0"/>
                <w:bCs/>
                <w:color w:val="auto"/>
                <w:lang w:val="en-US" w:eastAsia="zh-CN"/>
              </w:rPr>
            </w:pPr>
          </w:p>
        </w:tc>
        <w:tc>
          <w:tcPr>
            <w:tcW w:w="4405" w:type="dxa"/>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30%</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60%</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90%</w:t>
            </w:r>
          </w:p>
        </w:tc>
        <w:tc>
          <w:tcPr>
            <w:tcW w:w="0" w:type="auto"/>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绩效目标</w:t>
            </w:r>
          </w:p>
        </w:tc>
        <w:tc>
          <w:tcPr>
            <w:tcW w:w="13029" w:type="dxa"/>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通过实施普通国道省道养护工程和日常养护，全面提升普通干线公路技术状况水平，进一步完善公路通行环境和安全水平，进一步提升公路通行能力。</w:t>
            </w:r>
          </w:p>
        </w:tc>
      </w:tr>
    </w:tbl>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0"/>
        <w:gridCol w:w="1324"/>
        <w:gridCol w:w="2476"/>
        <w:gridCol w:w="2759"/>
        <w:gridCol w:w="1183"/>
        <w:gridCol w:w="61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一级指标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二级指标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三级指标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绩效指标描述</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产出指标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数量指标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国道112线遵化段里程数</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国道112线共计管养里程44.574公里</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=44.57公里</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质量指标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工程质量合格率</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国道建设及养护工程质量合格百分比达到95%以上。</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时效指标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预算指标及时形成</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及时形成指标，按季度拨付，年底资金列支完成，保障公路建设及养护工作的正常开展。</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成本指标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减少养护工程投资成本</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提高养护工程成本节约率，节约成本、控制开支，控制在预算资金范围内。</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效益指标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经济效益指标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对社会经济发展的影响 </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国道建设养护工作，使得道路洁净畅通，有效带动经济发展，经济发展率持续提高。</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社会效益指标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便捷群众出行、方便货物运输</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国道的畅通整洁，使得车流量增长比率持续提高</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生态效益指标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项目实施对环境的影响</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公路的经常性养护使公路环境得到明显改善。</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可持续影响指标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公路交通的持续作用</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保持了公路交通的畅通整洁，路况改善逐步提高。</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≥95%</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冀财建【2022】266号河北省财政厅关于提前下达2023年普通国省干线公路建设养护发展专项资金的通知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满意度指标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社会公众对象满意度</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社会公众对象满意度</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冀财建【2022】266号河北省财政厅关于提前下达2023年普通国省干线公路建设养护发展专项资金的通知</w:t>
            </w:r>
          </w:p>
        </w:tc>
      </w:tr>
    </w:tbl>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r>
        <w:rPr>
          <w:rFonts w:hint="eastAsia" w:ascii="方正仿宋简体" w:hAnsi="方正仿宋简体" w:eastAsia="方正仿宋简体" w:cs="方正仿宋简体"/>
          <w:b w:val="0"/>
          <w:bCs/>
          <w:color w:val="auto"/>
          <w:lang w:val="en-US" w:eastAsia="zh-CN"/>
        </w:rPr>
        <w:t>19</w:t>
      </w:r>
      <w:r>
        <w:rPr>
          <w:rFonts w:hint="eastAsia" w:ascii="方正仿宋简体" w:hAnsi="方正仿宋简体" w:eastAsia="方正仿宋简体" w:cs="方正仿宋简体"/>
          <w:b w:val="0"/>
          <w:bCs/>
          <w:color w:val="auto"/>
        </w:rPr>
        <w:t>、冀财建【2022】267号河北省财政厅关于提前下达2023年农村公路建设养护发展专项资金（农村公路建设养护发展专项资金农村公路日常养护部分）绩效目标表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2123"/>
        <w:gridCol w:w="2282"/>
        <w:gridCol w:w="1369"/>
        <w:gridCol w:w="3154"/>
        <w:gridCol w:w="3382"/>
        <w:gridCol w:w="71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项目编码</w:t>
            </w:r>
          </w:p>
        </w:tc>
        <w:tc>
          <w:tcPr>
            <w:tcW w:w="4405" w:type="dxa"/>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13028123P00006810002M</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项目名称</w:t>
            </w:r>
          </w:p>
        </w:tc>
        <w:tc>
          <w:tcPr>
            <w:tcW w:w="0" w:type="auto"/>
            <w:gridSpan w:val="3"/>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冀财建【2022】267号河北省财政厅关于提前下达2023年农村公路建设养护发展专项资金（农村公路建设养护发展专项资金农村公路日常养护部分）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711" w:type="dxa"/>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预算规模及资金用途</w:t>
            </w:r>
          </w:p>
        </w:tc>
        <w:tc>
          <w:tcPr>
            <w:tcW w:w="2123" w:type="dxa"/>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84.00</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其中：财政    资金</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84.00</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其他资金</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hint="eastAsia" w:ascii="方正仿宋简体" w:hAnsi="方正仿宋简体" w:eastAsia="方正仿宋简体" w:cs="方正仿宋简体"/>
                <w:b w:val="0"/>
                <w:bCs/>
                <w:color w:val="auto"/>
                <w:lang w:val="en-US" w:eastAsia="zh-CN"/>
              </w:rPr>
            </w:pPr>
          </w:p>
        </w:tc>
        <w:tc>
          <w:tcPr>
            <w:tcW w:w="13029" w:type="dxa"/>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用于农村公路日常养护支出。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资金支出计划（%）</w:t>
            </w:r>
          </w:p>
        </w:tc>
        <w:tc>
          <w:tcPr>
            <w:tcW w:w="4405" w:type="dxa"/>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3月底</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6月底</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10月底</w:t>
            </w:r>
          </w:p>
        </w:tc>
        <w:tc>
          <w:tcPr>
            <w:tcW w:w="0" w:type="auto"/>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hint="eastAsia" w:ascii="方正仿宋简体" w:hAnsi="方正仿宋简体" w:eastAsia="方正仿宋简体" w:cs="方正仿宋简体"/>
                <w:b w:val="0"/>
                <w:bCs/>
                <w:color w:val="auto"/>
                <w:lang w:val="en-US" w:eastAsia="zh-CN"/>
              </w:rPr>
            </w:pPr>
          </w:p>
        </w:tc>
        <w:tc>
          <w:tcPr>
            <w:tcW w:w="4405" w:type="dxa"/>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30%</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60%</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90%</w:t>
            </w:r>
          </w:p>
        </w:tc>
        <w:tc>
          <w:tcPr>
            <w:tcW w:w="0" w:type="auto"/>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绩效目标</w:t>
            </w:r>
          </w:p>
        </w:tc>
        <w:tc>
          <w:tcPr>
            <w:tcW w:w="13029" w:type="dxa"/>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完成路面保洁、路树除虫修剪等各项日常养护任务，打造安全舒适的交通环境。</w:t>
            </w:r>
          </w:p>
        </w:tc>
      </w:tr>
    </w:tbl>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8"/>
        <w:gridCol w:w="1179"/>
        <w:gridCol w:w="2476"/>
        <w:gridCol w:w="2759"/>
        <w:gridCol w:w="1401"/>
        <w:gridCol w:w="6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一级指标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二级指标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三级指标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绩效指标描述</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产出指标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数量指标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完成农村公路日常养护范围</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遵化境内农村公路共计801条，列养公里1800.77公里。</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=1800.77公里</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质量指标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养护任务质量合格率</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养护任务合格的项目个数占总项目个数的比例</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时效指标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养护任务完成时限</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各项养护任务的任务时限要求达标，总体完成率合格</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成本指标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合理分配，减少养护工程投资</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按照养护工程重点，充分有效利用配套资金，降低成本节约资金。</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效益指标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经济效益指标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对社会经济发展的影响</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农村公路建设和养护，有效推动沿线乡镇经济发展。</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社会效益指标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便捷群众出行、方便货物运输</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方便群众出行，改善群众出行条件，构建外通内畅运输网</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生态效益指标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项目实施对环境的影响</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农村公路的公益性建设，会使得农村公路得到保洁和畅通，促进生态效益发展。</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可持续影响指标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持续影响出行质量</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良好的交通环境，将持续影响行人车辆出行质量。使得出行安全、畅通、舒适。</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满意度指标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社会公众或服务对象满意度</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社会公众或服务对象满意度</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冀财建【2022】267号河北省财政厅关于提前下达2023年农村公路建设养护发展专项资金的通知</w:t>
            </w:r>
          </w:p>
        </w:tc>
      </w:tr>
    </w:tbl>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rPr>
      </w:pPr>
      <w:r>
        <w:rPr>
          <w:rFonts w:hint="eastAsia" w:ascii="方正仿宋简体" w:hAnsi="方正仿宋简体" w:eastAsia="方正仿宋简体" w:cs="方正仿宋简体"/>
          <w:b w:val="0"/>
          <w:bCs/>
          <w:color w:val="auto"/>
          <w:lang w:val="en-US" w:eastAsia="zh-CN"/>
        </w:rPr>
        <w:t>20</w:t>
      </w:r>
      <w:r>
        <w:rPr>
          <w:rFonts w:hint="eastAsia" w:ascii="方正仿宋简体" w:hAnsi="方正仿宋简体" w:eastAsia="方正仿宋简体" w:cs="方正仿宋简体"/>
          <w:b w:val="0"/>
          <w:bCs/>
          <w:color w:val="auto"/>
        </w:rPr>
        <w:t>、冀财建【2022】267号河北省财政厅关于提前下达2023年农村公路建设养护发展专项资金（农村公路建设养护发展专项资金农村公路养护工程部分）绩效目标表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1"/>
        <w:gridCol w:w="2123"/>
        <w:gridCol w:w="2282"/>
        <w:gridCol w:w="1363"/>
        <w:gridCol w:w="3192"/>
        <w:gridCol w:w="3355"/>
        <w:gridCol w:w="7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项目编码</w:t>
            </w:r>
          </w:p>
        </w:tc>
        <w:tc>
          <w:tcPr>
            <w:tcW w:w="4405" w:type="dxa"/>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13028123P00006610001N</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项目名称</w:t>
            </w:r>
          </w:p>
        </w:tc>
        <w:tc>
          <w:tcPr>
            <w:tcW w:w="0" w:type="auto"/>
            <w:gridSpan w:val="3"/>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冀财建【2022】267号河北省财政厅关于提前下达2023年农村公路建设养护发展专项资金（农村公路建设养护发展专项资金农村公路养护工程部分）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711" w:type="dxa"/>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预算规模及资金用途</w:t>
            </w:r>
          </w:p>
        </w:tc>
        <w:tc>
          <w:tcPr>
            <w:tcW w:w="2123" w:type="dxa"/>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222.00</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其中：财政    资金</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222.00</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其他资金</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hint="eastAsia" w:ascii="方正仿宋简体" w:hAnsi="方正仿宋简体" w:eastAsia="方正仿宋简体" w:cs="方正仿宋简体"/>
                <w:b w:val="0"/>
                <w:bCs/>
                <w:color w:val="auto"/>
                <w:lang w:val="en-US" w:eastAsia="zh-CN"/>
              </w:rPr>
            </w:pPr>
          </w:p>
        </w:tc>
        <w:tc>
          <w:tcPr>
            <w:tcW w:w="13029" w:type="dxa"/>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用于农村公路养护工程资金。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资金支出计划（%）</w:t>
            </w:r>
          </w:p>
        </w:tc>
        <w:tc>
          <w:tcPr>
            <w:tcW w:w="4405" w:type="dxa"/>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3月底</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6月底</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10月底</w:t>
            </w:r>
          </w:p>
        </w:tc>
        <w:tc>
          <w:tcPr>
            <w:tcW w:w="0" w:type="auto"/>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hint="eastAsia" w:ascii="方正仿宋简体" w:hAnsi="方正仿宋简体" w:eastAsia="方正仿宋简体" w:cs="方正仿宋简体"/>
                <w:b w:val="0"/>
                <w:bCs/>
                <w:color w:val="auto"/>
                <w:lang w:val="en-US" w:eastAsia="zh-CN"/>
              </w:rPr>
            </w:pPr>
          </w:p>
        </w:tc>
        <w:tc>
          <w:tcPr>
            <w:tcW w:w="4405" w:type="dxa"/>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30%</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60%</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90%</w:t>
            </w:r>
          </w:p>
        </w:tc>
        <w:tc>
          <w:tcPr>
            <w:tcW w:w="0" w:type="auto"/>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绩效目标</w:t>
            </w:r>
          </w:p>
        </w:tc>
        <w:tc>
          <w:tcPr>
            <w:tcW w:w="13029" w:type="dxa"/>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完成农村公路建设改造任务；农村公路路网结构和公路路况进一步优化和改善，公路通行能力进一步提升。</w:t>
            </w:r>
          </w:p>
        </w:tc>
      </w:tr>
    </w:tbl>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21"/>
        <w:gridCol w:w="1586"/>
        <w:gridCol w:w="2476"/>
        <w:gridCol w:w="2759"/>
        <w:gridCol w:w="791"/>
        <w:gridCol w:w="6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一级指标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二级指标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三级指标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绩效指标描述</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产出指标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数量指标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完成农村公路日常养护　</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完成农村公路日常养护任务比率，合理计划农村公路日常养护任务，每次日常养护任务达标率达95%以上</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≥95%</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质量指标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工程质量合格率</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参照农村公路养护工程施工标准，严格把关养护工程质量合格百分比。</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时效指标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资金列支时间</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计划按季度拨付养护资金，以保障公路养护工程的正常开展，于年底列支完成。</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成本指标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减少养护工程投资</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合理规划，以政治任务为主，日常养护为辅，控制养护工程成本，节约养护开支。</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效益指标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经济效益指标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对社会经济发展的影响　</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农村公路日常养护维护及养护工程建设，通过劳动力的加入和路况的改善带动了周边经济发展，逐步提高经济增长。</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社会效益指标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便捷群众出行、方便货物运输</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通过交通养护工程和日常养护工作，路况得到维持和改善的同时，车流量逐步增加。</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生态效益指标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项目实施对环境的影响　</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不断改善了交通环境，同时促进了生态环境建设进步。</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可持续影响指标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公路交通的持续作用</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公路交通持续影响了周边经济、环境建设、社会进步等方面</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冀财建【2022】267号河北省财政厅关于提前下达2023年农村公路建设养护发展专项资金的通知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满意度指标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社会公众对象满意度</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社会公众对象满意度</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冀财建【2022】267号河北省财政厅关于提前下达2023年农村公路建设养护发展专项资金的通知</w:t>
            </w:r>
          </w:p>
        </w:tc>
      </w:tr>
    </w:tbl>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p>
    <w:p>
      <w:pPr>
        <w:rPr>
          <w:rFonts w:hint="eastAsia" w:ascii="方正仿宋简体" w:hAnsi="方正仿宋简体" w:eastAsia="方正仿宋简体" w:cs="方正仿宋简体"/>
          <w:b w:val="0"/>
          <w:bCs/>
          <w:color w:val="auto"/>
        </w:rPr>
      </w:pPr>
      <w:r>
        <w:rPr>
          <w:rFonts w:hint="eastAsia" w:ascii="方正仿宋简体" w:hAnsi="方正仿宋简体" w:eastAsia="方正仿宋简体" w:cs="方正仿宋简体"/>
          <w:b w:val="0"/>
          <w:bCs/>
          <w:color w:val="auto"/>
          <w:lang w:val="en-US" w:eastAsia="zh-CN"/>
        </w:rPr>
        <w:t>21</w:t>
      </w:r>
      <w:r>
        <w:rPr>
          <w:rFonts w:hint="eastAsia" w:ascii="方正仿宋简体" w:hAnsi="方正仿宋简体" w:eastAsia="方正仿宋简体" w:cs="方正仿宋简体"/>
          <w:b w:val="0"/>
          <w:bCs/>
          <w:color w:val="auto"/>
        </w:rPr>
        <w:t>、冀财建【2022】268号河北省财政厅关于提前下达2023年道路场站建设及事业发展专项资金（道路场站建设及事业发展专项资金）绩效目标表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0"/>
        <w:gridCol w:w="2123"/>
        <w:gridCol w:w="2282"/>
        <w:gridCol w:w="1442"/>
        <w:gridCol w:w="3148"/>
        <w:gridCol w:w="3332"/>
        <w:gridCol w:w="70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项目编码</w:t>
            </w:r>
          </w:p>
        </w:tc>
        <w:tc>
          <w:tcPr>
            <w:tcW w:w="4405" w:type="dxa"/>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13028123P00006410002Y</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项目名称</w:t>
            </w:r>
          </w:p>
        </w:tc>
        <w:tc>
          <w:tcPr>
            <w:tcW w:w="0" w:type="auto"/>
            <w:gridSpan w:val="3"/>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冀财建【2022】268号河北省财政厅关于提前下达2023年道路场站建设及事业发展专项资金（道路场站建设及事业发展专项资金））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711" w:type="dxa"/>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预算规模及资金用途</w:t>
            </w:r>
          </w:p>
        </w:tc>
        <w:tc>
          <w:tcPr>
            <w:tcW w:w="2123" w:type="dxa"/>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预算数</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600.00</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其中：财政    资金</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600.00</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其他资金</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hint="eastAsia" w:ascii="方正仿宋简体" w:hAnsi="方正仿宋简体" w:eastAsia="方正仿宋简体" w:cs="方正仿宋简体"/>
                <w:b w:val="0"/>
                <w:bCs/>
                <w:color w:val="auto"/>
                <w:lang w:val="en-US" w:eastAsia="zh-CN"/>
              </w:rPr>
            </w:pPr>
          </w:p>
        </w:tc>
        <w:tc>
          <w:tcPr>
            <w:tcW w:w="13029" w:type="dxa"/>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用于农村客运便捷站、招呼站建设。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资金支出计划（%）</w:t>
            </w:r>
          </w:p>
        </w:tc>
        <w:tc>
          <w:tcPr>
            <w:tcW w:w="4405" w:type="dxa"/>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3月底</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6月底</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10月底</w:t>
            </w:r>
          </w:p>
        </w:tc>
        <w:tc>
          <w:tcPr>
            <w:tcW w:w="0" w:type="auto"/>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Merge w:val="continue"/>
          </w:tcPr>
          <w:p>
            <w:pPr>
              <w:rPr>
                <w:rFonts w:hint="eastAsia" w:ascii="方正仿宋简体" w:hAnsi="方正仿宋简体" w:eastAsia="方正仿宋简体" w:cs="方正仿宋简体"/>
                <w:b w:val="0"/>
                <w:bCs/>
                <w:color w:val="auto"/>
                <w:lang w:val="en-US" w:eastAsia="zh-CN"/>
              </w:rPr>
            </w:pPr>
          </w:p>
        </w:tc>
        <w:tc>
          <w:tcPr>
            <w:tcW w:w="4405" w:type="dxa"/>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30%</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60%</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90%</w:t>
            </w:r>
          </w:p>
        </w:tc>
        <w:tc>
          <w:tcPr>
            <w:tcW w:w="0" w:type="auto"/>
            <w:gridSpan w:val="2"/>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绩效目标</w:t>
            </w:r>
          </w:p>
        </w:tc>
        <w:tc>
          <w:tcPr>
            <w:tcW w:w="13029" w:type="dxa"/>
            <w:gridSpan w:val="6"/>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建设项目达标，工程成本控制在预算范围内，给群众出行提供方便，美化路域环境，改善交通秩序。</w:t>
            </w:r>
          </w:p>
        </w:tc>
      </w:tr>
    </w:tbl>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71"/>
        <w:gridCol w:w="1085"/>
        <w:gridCol w:w="2476"/>
        <w:gridCol w:w="2759"/>
        <w:gridCol w:w="1542"/>
        <w:gridCol w:w="6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一级指标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二级指标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三级指标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绩效指标描述</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产出指标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数量指标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建设数量</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5个便捷站，200个招呼站。</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5个便捷站，200个招呼站。</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冀财建【2022】268号河北省财政厅关于提前下达2023年道路场站建设及事业发展专项资金的通知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质量指标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合格率</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验收检测合格率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冀财建【2022】268号河北省财政厅关于提前下达2023年道路场站建设及事业发展专项资金的通知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时效指标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完成工作时间</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工程完成验收时间。</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2023年12月31日前</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冀财建【2022】268号河北省财政厅关于提前下达2023年道路场站建设及事业发展专项资金的通知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成本指标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成本控制率(%)</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成本控制周期为1年,2023年年底完工验收成本控制的比率。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冀财建【2022】268号河北省财政厅关于提前下达2023年道路场站建设及事业发展专项资金的通知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效益指标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经济效益指标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经济效益增长率</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经济效益增长率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≥97%</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冀财建【2022】268号河北省财政厅关于提前下达2023年道路场站建设及事业发展专项资金的通知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社会效益指标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便捷出行</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给群众出行提供方便，提高出行率。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≥98%</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冀财建【2022】268号河北省财政厅关于提前下达2023年道路场站建设及事业发展专项资金的通知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生态效益指标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生态影响</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增设客运临时站场所，美化路域环境。</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冀财建【2022】268号河北省财政厅关于提前下达2023年道路场站建设及事业发展专项资金的通知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rPr>
                <w:rFonts w:hint="eastAsia" w:ascii="方正仿宋简体" w:hAnsi="方正仿宋简体" w:eastAsia="方正仿宋简体" w:cs="方正仿宋简体"/>
                <w:b w:val="0"/>
                <w:bCs/>
                <w:color w:val="auto"/>
                <w:lang w:val="en-US" w:eastAsia="zh-CN"/>
              </w:rPr>
            </w:pP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可持续影响指标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改善交通状况</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一定时期内改善了交通秩序。</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≥99%</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冀财建【2022】268号河北省财政厅关于提前下达2023年道路场站建设及事业发展专项资金的通知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满意度指标</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服务对象满意度指标</w:t>
            </w:r>
          </w:p>
        </w:tc>
        <w:tc>
          <w:tcPr>
            <w:tcW w:w="2476"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群众满意度</w:t>
            </w:r>
          </w:p>
        </w:tc>
        <w:tc>
          <w:tcPr>
            <w:tcW w:w="2759"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群众满意度</w:t>
            </w:r>
          </w:p>
        </w:tc>
        <w:tc>
          <w:tcPr>
            <w:tcW w:w="0" w:type="auto"/>
            <w:vAlign w:val="center"/>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≥100%</w:t>
            </w:r>
          </w:p>
        </w:tc>
        <w:tc>
          <w:tcPr>
            <w:tcW w:w="6107" w:type="dxa"/>
            <w:vAlign w:val="top"/>
          </w:tcPr>
          <w:p>
            <w:pPr>
              <w:rPr>
                <w:rFonts w:hint="eastAsia" w:ascii="方正仿宋简体" w:hAnsi="方正仿宋简体" w:eastAsia="方正仿宋简体" w:cs="方正仿宋简体"/>
                <w:b w:val="0"/>
                <w:bCs/>
                <w:color w:val="auto"/>
                <w:lang w:val="en-US" w:eastAsia="zh-CN"/>
              </w:rPr>
            </w:pPr>
            <w:r>
              <w:rPr>
                <w:rFonts w:hint="eastAsia" w:ascii="方正仿宋简体" w:hAnsi="方正仿宋简体" w:eastAsia="方正仿宋简体" w:cs="方正仿宋简体"/>
                <w:b w:val="0"/>
                <w:bCs/>
                <w:color w:val="auto"/>
                <w:lang w:val="en-US" w:eastAsia="zh-CN"/>
              </w:rPr>
              <w:t>冀财建【2022】268号河北省财政厅关于提前下达2023年道路场站建设及事业发展专项资金的通知</w:t>
            </w:r>
          </w:p>
        </w:tc>
      </w:tr>
    </w:tbl>
    <w:p>
      <w:pPr>
        <w:rPr>
          <w:rFonts w:hint="eastAsia" w:ascii="方正仿宋简体" w:hAnsi="方正仿宋简体" w:eastAsia="方正仿宋简体" w:cs="方正仿宋简体"/>
          <w:b w:val="0"/>
          <w:bCs/>
          <w:color w:val="auto"/>
          <w:lang w:val="en-US" w:eastAsia="zh-CN"/>
        </w:rPr>
      </w:pPr>
    </w:p>
    <w:p>
      <w:pPr>
        <w:rPr>
          <w:rFonts w:hint="eastAsia" w:ascii="方正仿宋简体" w:hAnsi="方正仿宋简体" w:eastAsia="方正仿宋简体" w:cs="方正仿宋简体"/>
          <w:b w:val="0"/>
          <w:bCs/>
          <w:color w:val="auto"/>
        </w:r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rPr>
          <w:rFonts w:hint="eastAsia" w:ascii="方正黑体简体" w:hAnsi="方正黑体简体" w:eastAsia="方正黑体简体" w:cs="方正黑体简体"/>
          <w:color w:val="auto"/>
        </w:rPr>
      </w:pPr>
      <w:r>
        <w:rPr>
          <w:rFonts w:hint="eastAsia" w:ascii="方正黑体简体" w:hAnsi="方正黑体简体" w:eastAsia="方正黑体简体" w:cs="方正黑体简体"/>
          <w:color w:val="auto"/>
          <w:sz w:val="32"/>
        </w:rPr>
        <w:t>六、政府采购预算情况</w:t>
      </w:r>
    </w:p>
    <w:p>
      <w:pPr>
        <w:spacing w:before="0" w:after="0" w:line="500" w:lineRule="exact"/>
        <w:ind w:firstLine="560"/>
        <w:jc w:val="left"/>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2023年，遵化市交通运输局本级安排政府采购预算18.60万元。具体内容见下表。</w:t>
      </w:r>
    </w:p>
    <w:p>
      <w:pPr>
        <w:spacing w:before="0" w:after="0" w:line="240" w:lineRule="auto"/>
        <w:ind w:firstLine="0"/>
        <w:jc w:val="center"/>
        <w:outlineLvl w:val="9"/>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348001遵化市交通运输局本级</w:t>
            </w:r>
          </w:p>
        </w:tc>
        <w:tc>
          <w:tcPr>
            <w:tcW w:w="8674" w:type="dxa"/>
            <w:gridSpan w:val="9"/>
            <w:tcBorders>
              <w:top w:val="single" w:color="FFFFFF" w:sz="6" w:space="0"/>
              <w:left w:val="single" w:color="FFFFFF" w:sz="6" w:space="0"/>
              <w:right w:val="single" w:color="FFFFFF" w:sz="6" w:space="0"/>
            </w:tcBorders>
            <w:vAlign w:val="center"/>
          </w:tcPr>
          <w:p>
            <w:pPr>
              <w:pStyle w:val="29"/>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政府采购项目来源</w:t>
            </w:r>
          </w:p>
        </w:tc>
        <w:tc>
          <w:tcPr>
            <w:tcW w:w="1134" w:type="dxa"/>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采购物品名称</w:t>
            </w:r>
          </w:p>
        </w:tc>
        <w:tc>
          <w:tcPr>
            <w:tcW w:w="1134" w:type="dxa"/>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政府采购目录序号</w:t>
            </w:r>
          </w:p>
        </w:tc>
        <w:tc>
          <w:tcPr>
            <w:tcW w:w="709" w:type="dxa"/>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计量  单位</w:t>
            </w:r>
          </w:p>
        </w:tc>
        <w:tc>
          <w:tcPr>
            <w:tcW w:w="850" w:type="dxa"/>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数量</w:t>
            </w:r>
          </w:p>
        </w:tc>
        <w:tc>
          <w:tcPr>
            <w:tcW w:w="850" w:type="dxa"/>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单价</w:t>
            </w:r>
          </w:p>
        </w:tc>
        <w:tc>
          <w:tcPr>
            <w:tcW w:w="7710" w:type="dxa"/>
            <w:gridSpan w:val="8"/>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政府采购金额（当年</w:t>
            </w:r>
            <w:r>
              <w:rPr>
                <w:rFonts w:hint="eastAsia" w:ascii="方正仿宋简体" w:hAnsi="方正仿宋简体" w:eastAsia="方正仿宋简体" w:cs="方正仿宋简体"/>
                <w:b w:val="0"/>
                <w:bCs w:val="0"/>
                <w:color w:val="auto"/>
                <w:lang w:eastAsia="zh-CN"/>
              </w:rPr>
              <w:t>单位</w:t>
            </w:r>
            <w:r>
              <w:rPr>
                <w:rFonts w:hint="eastAsia" w:ascii="方正仿宋简体" w:hAnsi="方正仿宋简体" w:eastAsia="方正仿宋简体" w:cs="方正仿宋简体"/>
                <w:b w:val="0"/>
                <w:bCs w:val="0"/>
                <w:color w:val="auto"/>
              </w:rPr>
              <w:t>预算安排资金）</w:t>
            </w:r>
          </w:p>
        </w:tc>
        <w:tc>
          <w:tcPr>
            <w:tcW w:w="964" w:type="dxa"/>
            <w:vMerge w:val="restart"/>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项目名称</w:t>
            </w:r>
          </w:p>
        </w:tc>
        <w:tc>
          <w:tcPr>
            <w:tcW w:w="964" w:type="dxa"/>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预算    资金</w:t>
            </w:r>
          </w:p>
        </w:tc>
        <w:tc>
          <w:tcPr>
            <w:tcW w:w="1134" w:type="dxa"/>
            <w:vMerge w:val="continue"/>
          </w:tcPr>
          <w:p>
            <w:pPr>
              <w:rPr>
                <w:rFonts w:hint="eastAsia" w:ascii="方正仿宋简体" w:hAnsi="方正仿宋简体" w:eastAsia="方正仿宋简体" w:cs="方正仿宋简体"/>
                <w:b w:val="0"/>
                <w:bCs w:val="0"/>
                <w:color w:val="auto"/>
              </w:rPr>
            </w:pPr>
          </w:p>
        </w:tc>
        <w:tc>
          <w:tcPr>
            <w:tcW w:w="1134" w:type="dxa"/>
            <w:vMerge w:val="continue"/>
          </w:tcPr>
          <w:p>
            <w:pPr>
              <w:rPr>
                <w:rFonts w:hint="eastAsia" w:ascii="方正仿宋简体" w:hAnsi="方正仿宋简体" w:eastAsia="方正仿宋简体" w:cs="方正仿宋简体"/>
                <w:b w:val="0"/>
                <w:bCs w:val="0"/>
                <w:color w:val="auto"/>
              </w:rPr>
            </w:pPr>
          </w:p>
        </w:tc>
        <w:tc>
          <w:tcPr>
            <w:tcW w:w="709" w:type="dxa"/>
            <w:vMerge w:val="continue"/>
          </w:tcPr>
          <w:p>
            <w:pPr>
              <w:rPr>
                <w:rFonts w:hint="eastAsia" w:ascii="方正仿宋简体" w:hAnsi="方正仿宋简体" w:eastAsia="方正仿宋简体" w:cs="方正仿宋简体"/>
                <w:b w:val="0"/>
                <w:bCs w:val="0"/>
                <w:color w:val="auto"/>
              </w:rPr>
            </w:pPr>
          </w:p>
        </w:tc>
        <w:tc>
          <w:tcPr>
            <w:tcW w:w="850" w:type="dxa"/>
            <w:vMerge w:val="continue"/>
          </w:tcPr>
          <w:p>
            <w:pPr>
              <w:rPr>
                <w:rFonts w:hint="eastAsia" w:ascii="方正仿宋简体" w:hAnsi="方正仿宋简体" w:eastAsia="方正仿宋简体" w:cs="方正仿宋简体"/>
                <w:b w:val="0"/>
                <w:bCs w:val="0"/>
                <w:color w:val="auto"/>
              </w:rPr>
            </w:pPr>
          </w:p>
        </w:tc>
        <w:tc>
          <w:tcPr>
            <w:tcW w:w="850" w:type="dxa"/>
            <w:vMerge w:val="continue"/>
          </w:tcPr>
          <w:p>
            <w:pPr>
              <w:rPr>
                <w:rFonts w:hint="eastAsia" w:ascii="方正仿宋简体" w:hAnsi="方正仿宋简体" w:eastAsia="方正仿宋简体" w:cs="方正仿宋简体"/>
                <w:b w:val="0"/>
                <w:bCs w:val="0"/>
                <w:color w:val="auto"/>
              </w:rPr>
            </w:pPr>
          </w:p>
        </w:tc>
        <w:tc>
          <w:tcPr>
            <w:tcW w:w="964" w:type="dxa"/>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合计</w:t>
            </w:r>
          </w:p>
        </w:tc>
        <w:tc>
          <w:tcPr>
            <w:tcW w:w="964" w:type="dxa"/>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一般公共预算拨款</w:t>
            </w:r>
          </w:p>
        </w:tc>
        <w:tc>
          <w:tcPr>
            <w:tcW w:w="964" w:type="dxa"/>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基金预算拨款</w:t>
            </w:r>
          </w:p>
        </w:tc>
        <w:tc>
          <w:tcPr>
            <w:tcW w:w="964" w:type="dxa"/>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国有资本经营预算拨款</w:t>
            </w:r>
          </w:p>
        </w:tc>
        <w:tc>
          <w:tcPr>
            <w:tcW w:w="964" w:type="dxa"/>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财政专户核拨</w:t>
            </w:r>
          </w:p>
        </w:tc>
        <w:tc>
          <w:tcPr>
            <w:tcW w:w="964" w:type="dxa"/>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单位    资金</w:t>
            </w:r>
          </w:p>
        </w:tc>
        <w:tc>
          <w:tcPr>
            <w:tcW w:w="964" w:type="dxa"/>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财政拨    款结转</w:t>
            </w:r>
          </w:p>
        </w:tc>
        <w:tc>
          <w:tcPr>
            <w:tcW w:w="964" w:type="dxa"/>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非财政    拨款结    转结余</w:t>
            </w:r>
          </w:p>
        </w:tc>
        <w:tc>
          <w:tcPr>
            <w:tcW w:w="964" w:type="dxa"/>
            <w:vMerge w:val="continue"/>
          </w:tcPr>
          <w:p>
            <w:pPr>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合  计</w:t>
            </w:r>
          </w:p>
        </w:tc>
        <w:tc>
          <w:tcPr>
            <w:tcW w:w="964" w:type="dxa"/>
            <w:vAlign w:val="center"/>
          </w:tcPr>
          <w:p>
            <w:pPr>
              <w:pStyle w:val="20"/>
              <w:rPr>
                <w:rFonts w:hint="default" w:ascii="方正仿宋简体" w:hAnsi="方正仿宋简体" w:eastAsia="方正仿宋简体" w:cs="方正仿宋简体"/>
                <w:b w:val="0"/>
                <w:bCs w:val="0"/>
                <w:color w:val="auto"/>
                <w:lang w:val="en-US" w:eastAsia="zh-CN"/>
              </w:rPr>
            </w:pPr>
            <w:r>
              <w:rPr>
                <w:rFonts w:hint="eastAsia" w:ascii="方正仿宋简体" w:hAnsi="方正仿宋简体" w:eastAsia="方正仿宋简体" w:cs="方正仿宋简体"/>
                <w:b w:val="0"/>
                <w:bCs w:val="0"/>
                <w:color w:val="auto"/>
                <w:lang w:val="en-US" w:eastAsia="zh-CN"/>
              </w:rPr>
              <w:t>18.60</w:t>
            </w:r>
          </w:p>
        </w:tc>
        <w:tc>
          <w:tcPr>
            <w:tcW w:w="1134" w:type="dxa"/>
            <w:vAlign w:val="center"/>
          </w:tcPr>
          <w:p>
            <w:pPr>
              <w:pStyle w:val="21"/>
              <w:rPr>
                <w:rFonts w:hint="eastAsia" w:ascii="方正仿宋简体" w:hAnsi="方正仿宋简体" w:eastAsia="方正仿宋简体" w:cs="方正仿宋简体"/>
                <w:b w:val="0"/>
                <w:bCs w:val="0"/>
                <w:color w:val="auto"/>
              </w:rPr>
            </w:pPr>
          </w:p>
        </w:tc>
        <w:tc>
          <w:tcPr>
            <w:tcW w:w="1134" w:type="dxa"/>
            <w:vAlign w:val="center"/>
          </w:tcPr>
          <w:p>
            <w:pPr>
              <w:pStyle w:val="21"/>
              <w:rPr>
                <w:rFonts w:hint="eastAsia" w:ascii="方正仿宋简体" w:hAnsi="方正仿宋简体" w:eastAsia="方正仿宋简体" w:cs="方正仿宋简体"/>
                <w:b w:val="0"/>
                <w:bCs w:val="0"/>
                <w:color w:val="auto"/>
              </w:rPr>
            </w:pPr>
          </w:p>
        </w:tc>
        <w:tc>
          <w:tcPr>
            <w:tcW w:w="709" w:type="dxa"/>
            <w:vAlign w:val="center"/>
          </w:tcPr>
          <w:p>
            <w:pPr>
              <w:pStyle w:val="19"/>
              <w:rPr>
                <w:rFonts w:hint="eastAsia" w:ascii="方正仿宋简体" w:hAnsi="方正仿宋简体" w:eastAsia="方正仿宋简体" w:cs="方正仿宋简体"/>
                <w:b w:val="0"/>
                <w:bCs w:val="0"/>
                <w:color w:val="auto"/>
              </w:rPr>
            </w:pPr>
          </w:p>
        </w:tc>
        <w:tc>
          <w:tcPr>
            <w:tcW w:w="850" w:type="dxa"/>
            <w:vAlign w:val="center"/>
          </w:tcPr>
          <w:p>
            <w:pPr>
              <w:pStyle w:val="20"/>
              <w:rPr>
                <w:rFonts w:hint="eastAsia" w:ascii="方正仿宋简体" w:hAnsi="方正仿宋简体" w:eastAsia="方正仿宋简体" w:cs="方正仿宋简体"/>
                <w:b w:val="0"/>
                <w:bCs w:val="0"/>
                <w:color w:val="auto"/>
              </w:rPr>
            </w:pPr>
          </w:p>
        </w:tc>
        <w:tc>
          <w:tcPr>
            <w:tcW w:w="850" w:type="dxa"/>
            <w:vAlign w:val="center"/>
          </w:tcPr>
          <w:p>
            <w:pPr>
              <w:pStyle w:val="20"/>
              <w:rPr>
                <w:rFonts w:hint="eastAsia" w:ascii="方正仿宋简体" w:hAnsi="方正仿宋简体" w:eastAsia="方正仿宋简体" w:cs="方正仿宋简体"/>
                <w:b w:val="0"/>
                <w:bCs w:val="0"/>
                <w:color w:val="auto"/>
              </w:rPr>
            </w:pPr>
          </w:p>
        </w:tc>
        <w:tc>
          <w:tcPr>
            <w:tcW w:w="964" w:type="dxa"/>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18.60</w:t>
            </w:r>
          </w:p>
        </w:tc>
        <w:tc>
          <w:tcPr>
            <w:tcW w:w="964" w:type="dxa"/>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18.60</w:t>
            </w:r>
          </w:p>
        </w:tc>
        <w:tc>
          <w:tcPr>
            <w:tcW w:w="964" w:type="dxa"/>
            <w:vAlign w:val="center"/>
          </w:tcPr>
          <w:p>
            <w:pPr>
              <w:pStyle w:val="20"/>
              <w:rPr>
                <w:rFonts w:hint="eastAsia" w:ascii="方正仿宋简体" w:hAnsi="方正仿宋简体" w:eastAsia="方正仿宋简体" w:cs="方正仿宋简体"/>
                <w:b w:val="0"/>
                <w:bCs w:val="0"/>
                <w:color w:val="auto"/>
              </w:rPr>
            </w:pPr>
          </w:p>
        </w:tc>
        <w:tc>
          <w:tcPr>
            <w:tcW w:w="964" w:type="dxa"/>
            <w:vAlign w:val="center"/>
          </w:tcPr>
          <w:p>
            <w:pPr>
              <w:pStyle w:val="20"/>
              <w:rPr>
                <w:rFonts w:hint="eastAsia" w:ascii="方正仿宋简体" w:hAnsi="方正仿宋简体" w:eastAsia="方正仿宋简体" w:cs="方正仿宋简体"/>
                <w:b w:val="0"/>
                <w:bCs w:val="0"/>
                <w:color w:val="auto"/>
              </w:rPr>
            </w:pPr>
          </w:p>
        </w:tc>
        <w:tc>
          <w:tcPr>
            <w:tcW w:w="964" w:type="dxa"/>
            <w:vAlign w:val="center"/>
          </w:tcPr>
          <w:p>
            <w:pPr>
              <w:pStyle w:val="20"/>
              <w:rPr>
                <w:rFonts w:hint="eastAsia" w:ascii="方正仿宋简体" w:hAnsi="方正仿宋简体" w:eastAsia="方正仿宋简体" w:cs="方正仿宋简体"/>
                <w:b w:val="0"/>
                <w:bCs w:val="0"/>
                <w:color w:val="auto"/>
              </w:rPr>
            </w:pPr>
          </w:p>
        </w:tc>
        <w:tc>
          <w:tcPr>
            <w:tcW w:w="964" w:type="dxa"/>
            <w:vAlign w:val="center"/>
          </w:tcPr>
          <w:p>
            <w:pPr>
              <w:pStyle w:val="20"/>
              <w:rPr>
                <w:rFonts w:hint="eastAsia" w:ascii="方正仿宋简体" w:hAnsi="方正仿宋简体" w:eastAsia="方正仿宋简体" w:cs="方正仿宋简体"/>
                <w:b w:val="0"/>
                <w:bCs w:val="0"/>
                <w:color w:val="auto"/>
              </w:rPr>
            </w:pPr>
          </w:p>
        </w:tc>
        <w:tc>
          <w:tcPr>
            <w:tcW w:w="964" w:type="dxa"/>
            <w:vAlign w:val="center"/>
          </w:tcPr>
          <w:p>
            <w:pPr>
              <w:pStyle w:val="20"/>
              <w:rPr>
                <w:rFonts w:hint="eastAsia" w:ascii="方正仿宋简体" w:hAnsi="方正仿宋简体" w:eastAsia="方正仿宋简体" w:cs="方正仿宋简体"/>
                <w:b w:val="0"/>
                <w:bCs w:val="0"/>
                <w:color w:val="auto"/>
              </w:rPr>
            </w:pPr>
          </w:p>
        </w:tc>
        <w:tc>
          <w:tcPr>
            <w:tcW w:w="964" w:type="dxa"/>
            <w:vAlign w:val="center"/>
          </w:tcPr>
          <w:p>
            <w:pPr>
              <w:pStyle w:val="20"/>
              <w:rPr>
                <w:rFonts w:hint="eastAsia" w:ascii="方正仿宋简体" w:hAnsi="方正仿宋简体" w:eastAsia="方正仿宋简体" w:cs="方正仿宋简体"/>
                <w:b w:val="0"/>
                <w:bCs w:val="0"/>
                <w:color w:val="auto"/>
              </w:rPr>
            </w:pPr>
          </w:p>
        </w:tc>
        <w:tc>
          <w:tcPr>
            <w:tcW w:w="964" w:type="dxa"/>
            <w:vAlign w:val="center"/>
          </w:tcPr>
          <w:p>
            <w:pPr>
              <w:pStyle w:val="20"/>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遵化市交通运输局本级小计</w:t>
            </w:r>
          </w:p>
        </w:tc>
        <w:tc>
          <w:tcPr>
            <w:tcW w:w="964" w:type="dxa"/>
            <w:vAlign w:val="center"/>
          </w:tcPr>
          <w:p>
            <w:pPr>
              <w:pStyle w:val="20"/>
              <w:rPr>
                <w:rFonts w:hint="eastAsia" w:ascii="方正仿宋简体" w:hAnsi="方正仿宋简体" w:eastAsia="方正仿宋简体" w:cs="方正仿宋简体"/>
                <w:b w:val="0"/>
                <w:bCs w:val="0"/>
                <w:color w:val="auto"/>
              </w:rPr>
            </w:pPr>
          </w:p>
        </w:tc>
        <w:tc>
          <w:tcPr>
            <w:tcW w:w="1134" w:type="dxa"/>
            <w:vAlign w:val="center"/>
          </w:tcPr>
          <w:p>
            <w:pPr>
              <w:pStyle w:val="21"/>
              <w:rPr>
                <w:rFonts w:hint="eastAsia" w:ascii="方正仿宋简体" w:hAnsi="方正仿宋简体" w:eastAsia="方正仿宋简体" w:cs="方正仿宋简体"/>
                <w:b w:val="0"/>
                <w:bCs w:val="0"/>
                <w:color w:val="auto"/>
              </w:rPr>
            </w:pPr>
          </w:p>
        </w:tc>
        <w:tc>
          <w:tcPr>
            <w:tcW w:w="1134" w:type="dxa"/>
            <w:vAlign w:val="center"/>
          </w:tcPr>
          <w:p>
            <w:pPr>
              <w:pStyle w:val="21"/>
              <w:rPr>
                <w:rFonts w:hint="eastAsia" w:ascii="方正仿宋简体" w:hAnsi="方正仿宋简体" w:eastAsia="方正仿宋简体" w:cs="方正仿宋简体"/>
                <w:b w:val="0"/>
                <w:bCs w:val="0"/>
                <w:color w:val="auto"/>
              </w:rPr>
            </w:pPr>
          </w:p>
        </w:tc>
        <w:tc>
          <w:tcPr>
            <w:tcW w:w="709" w:type="dxa"/>
            <w:vAlign w:val="center"/>
          </w:tcPr>
          <w:p>
            <w:pPr>
              <w:pStyle w:val="19"/>
              <w:rPr>
                <w:rFonts w:hint="eastAsia" w:ascii="方正仿宋简体" w:hAnsi="方正仿宋简体" w:eastAsia="方正仿宋简体" w:cs="方正仿宋简体"/>
                <w:b w:val="0"/>
                <w:bCs w:val="0"/>
                <w:color w:val="auto"/>
              </w:rPr>
            </w:pPr>
          </w:p>
        </w:tc>
        <w:tc>
          <w:tcPr>
            <w:tcW w:w="850" w:type="dxa"/>
            <w:vAlign w:val="center"/>
          </w:tcPr>
          <w:p>
            <w:pPr>
              <w:pStyle w:val="20"/>
              <w:rPr>
                <w:rFonts w:hint="eastAsia" w:ascii="方正仿宋简体" w:hAnsi="方正仿宋简体" w:eastAsia="方正仿宋简体" w:cs="方正仿宋简体"/>
                <w:b w:val="0"/>
                <w:bCs w:val="0"/>
                <w:color w:val="auto"/>
              </w:rPr>
            </w:pPr>
          </w:p>
        </w:tc>
        <w:tc>
          <w:tcPr>
            <w:tcW w:w="850" w:type="dxa"/>
            <w:vAlign w:val="center"/>
          </w:tcPr>
          <w:p>
            <w:pPr>
              <w:pStyle w:val="20"/>
              <w:rPr>
                <w:rFonts w:hint="eastAsia" w:ascii="方正仿宋简体" w:hAnsi="方正仿宋简体" w:eastAsia="方正仿宋简体" w:cs="方正仿宋简体"/>
                <w:b w:val="0"/>
                <w:bCs w:val="0"/>
                <w:color w:val="auto"/>
              </w:rPr>
            </w:pPr>
          </w:p>
        </w:tc>
        <w:tc>
          <w:tcPr>
            <w:tcW w:w="964" w:type="dxa"/>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18.60</w:t>
            </w:r>
          </w:p>
        </w:tc>
        <w:tc>
          <w:tcPr>
            <w:tcW w:w="964" w:type="dxa"/>
            <w:vAlign w:val="center"/>
          </w:tcPr>
          <w:p>
            <w:pPr>
              <w:pStyle w:val="20"/>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18.60</w:t>
            </w:r>
          </w:p>
        </w:tc>
        <w:tc>
          <w:tcPr>
            <w:tcW w:w="964" w:type="dxa"/>
            <w:vAlign w:val="center"/>
          </w:tcPr>
          <w:p>
            <w:pPr>
              <w:pStyle w:val="20"/>
              <w:rPr>
                <w:rFonts w:hint="eastAsia" w:ascii="方正仿宋简体" w:hAnsi="方正仿宋简体" w:eastAsia="方正仿宋简体" w:cs="方正仿宋简体"/>
                <w:b w:val="0"/>
                <w:bCs w:val="0"/>
                <w:color w:val="auto"/>
              </w:rPr>
            </w:pPr>
          </w:p>
        </w:tc>
        <w:tc>
          <w:tcPr>
            <w:tcW w:w="964" w:type="dxa"/>
            <w:vAlign w:val="center"/>
          </w:tcPr>
          <w:p>
            <w:pPr>
              <w:pStyle w:val="20"/>
              <w:rPr>
                <w:rFonts w:hint="eastAsia" w:ascii="方正仿宋简体" w:hAnsi="方正仿宋简体" w:eastAsia="方正仿宋简体" w:cs="方正仿宋简体"/>
                <w:b w:val="0"/>
                <w:bCs w:val="0"/>
                <w:color w:val="auto"/>
              </w:rPr>
            </w:pPr>
          </w:p>
        </w:tc>
        <w:tc>
          <w:tcPr>
            <w:tcW w:w="964" w:type="dxa"/>
            <w:vAlign w:val="center"/>
          </w:tcPr>
          <w:p>
            <w:pPr>
              <w:pStyle w:val="20"/>
              <w:rPr>
                <w:rFonts w:hint="eastAsia" w:ascii="方正仿宋简体" w:hAnsi="方正仿宋简体" w:eastAsia="方正仿宋简体" w:cs="方正仿宋简体"/>
                <w:b w:val="0"/>
                <w:bCs w:val="0"/>
                <w:color w:val="auto"/>
              </w:rPr>
            </w:pPr>
          </w:p>
        </w:tc>
        <w:tc>
          <w:tcPr>
            <w:tcW w:w="964" w:type="dxa"/>
            <w:vAlign w:val="center"/>
          </w:tcPr>
          <w:p>
            <w:pPr>
              <w:pStyle w:val="20"/>
              <w:rPr>
                <w:rFonts w:hint="eastAsia" w:ascii="方正仿宋简体" w:hAnsi="方正仿宋简体" w:eastAsia="方正仿宋简体" w:cs="方正仿宋简体"/>
                <w:b w:val="0"/>
                <w:bCs w:val="0"/>
                <w:color w:val="auto"/>
              </w:rPr>
            </w:pPr>
          </w:p>
        </w:tc>
        <w:tc>
          <w:tcPr>
            <w:tcW w:w="964" w:type="dxa"/>
            <w:vAlign w:val="center"/>
          </w:tcPr>
          <w:p>
            <w:pPr>
              <w:pStyle w:val="20"/>
              <w:rPr>
                <w:rFonts w:hint="eastAsia" w:ascii="方正仿宋简体" w:hAnsi="方正仿宋简体" w:eastAsia="方正仿宋简体" w:cs="方正仿宋简体"/>
                <w:b w:val="0"/>
                <w:bCs w:val="0"/>
                <w:color w:val="auto"/>
              </w:rPr>
            </w:pPr>
          </w:p>
        </w:tc>
        <w:tc>
          <w:tcPr>
            <w:tcW w:w="964" w:type="dxa"/>
            <w:vAlign w:val="center"/>
          </w:tcPr>
          <w:p>
            <w:pPr>
              <w:pStyle w:val="20"/>
              <w:rPr>
                <w:rFonts w:hint="eastAsia" w:ascii="方正仿宋简体" w:hAnsi="方正仿宋简体" w:eastAsia="方正仿宋简体" w:cs="方正仿宋简体"/>
                <w:b w:val="0"/>
                <w:bCs w:val="0"/>
                <w:color w:val="auto"/>
              </w:rPr>
            </w:pPr>
          </w:p>
        </w:tc>
        <w:tc>
          <w:tcPr>
            <w:tcW w:w="964" w:type="dxa"/>
            <w:vAlign w:val="center"/>
          </w:tcPr>
          <w:p>
            <w:pPr>
              <w:pStyle w:val="20"/>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安可计算机购置</w:t>
            </w:r>
          </w:p>
        </w:tc>
        <w:tc>
          <w:tcPr>
            <w:tcW w:w="964" w:type="dxa"/>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18.60</w:t>
            </w:r>
          </w:p>
        </w:tc>
        <w:tc>
          <w:tcPr>
            <w:tcW w:w="1134"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台式计算机</w:t>
            </w:r>
          </w:p>
        </w:tc>
        <w:tc>
          <w:tcPr>
            <w:tcW w:w="1134"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A02010105</w:t>
            </w:r>
          </w:p>
        </w:tc>
        <w:tc>
          <w:tcPr>
            <w:tcW w:w="709"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台</w:t>
            </w:r>
          </w:p>
        </w:tc>
        <w:tc>
          <w:tcPr>
            <w:tcW w:w="850" w:type="dxa"/>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w:t>
            </w:r>
          </w:p>
        </w:tc>
        <w:tc>
          <w:tcPr>
            <w:tcW w:w="850" w:type="dxa"/>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1.60</w:t>
            </w:r>
          </w:p>
        </w:tc>
        <w:tc>
          <w:tcPr>
            <w:tcW w:w="964" w:type="dxa"/>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1.60</w:t>
            </w:r>
          </w:p>
        </w:tc>
        <w:tc>
          <w:tcPr>
            <w:tcW w:w="964" w:type="dxa"/>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1.60</w:t>
            </w:r>
          </w:p>
        </w:tc>
        <w:tc>
          <w:tcPr>
            <w:tcW w:w="964" w:type="dxa"/>
            <w:vAlign w:val="center"/>
          </w:tcPr>
          <w:p>
            <w:pPr>
              <w:pStyle w:val="16"/>
              <w:rPr>
                <w:rFonts w:hint="eastAsia" w:ascii="方正仿宋简体" w:hAnsi="方正仿宋简体" w:eastAsia="方正仿宋简体" w:cs="方正仿宋简体"/>
                <w:b w:val="0"/>
                <w:bCs w:val="0"/>
                <w:color w:val="auto"/>
              </w:rPr>
            </w:pPr>
          </w:p>
        </w:tc>
        <w:tc>
          <w:tcPr>
            <w:tcW w:w="964" w:type="dxa"/>
            <w:vAlign w:val="center"/>
          </w:tcPr>
          <w:p>
            <w:pPr>
              <w:pStyle w:val="16"/>
              <w:rPr>
                <w:rFonts w:hint="eastAsia" w:ascii="方正仿宋简体" w:hAnsi="方正仿宋简体" w:eastAsia="方正仿宋简体" w:cs="方正仿宋简体"/>
                <w:b w:val="0"/>
                <w:bCs w:val="0"/>
                <w:color w:val="auto"/>
              </w:rPr>
            </w:pPr>
          </w:p>
        </w:tc>
        <w:tc>
          <w:tcPr>
            <w:tcW w:w="964" w:type="dxa"/>
            <w:vAlign w:val="center"/>
          </w:tcPr>
          <w:p>
            <w:pPr>
              <w:pStyle w:val="16"/>
              <w:rPr>
                <w:rFonts w:hint="eastAsia" w:ascii="方正仿宋简体" w:hAnsi="方正仿宋简体" w:eastAsia="方正仿宋简体" w:cs="方正仿宋简体"/>
                <w:b w:val="0"/>
                <w:bCs w:val="0"/>
                <w:color w:val="auto"/>
              </w:rPr>
            </w:pPr>
          </w:p>
        </w:tc>
        <w:tc>
          <w:tcPr>
            <w:tcW w:w="964" w:type="dxa"/>
            <w:vAlign w:val="center"/>
          </w:tcPr>
          <w:p>
            <w:pPr>
              <w:pStyle w:val="16"/>
              <w:rPr>
                <w:rFonts w:hint="eastAsia" w:ascii="方正仿宋简体" w:hAnsi="方正仿宋简体" w:eastAsia="方正仿宋简体" w:cs="方正仿宋简体"/>
                <w:b w:val="0"/>
                <w:bCs w:val="0"/>
                <w:color w:val="auto"/>
              </w:rPr>
            </w:pPr>
          </w:p>
        </w:tc>
        <w:tc>
          <w:tcPr>
            <w:tcW w:w="964" w:type="dxa"/>
            <w:vAlign w:val="center"/>
          </w:tcPr>
          <w:p>
            <w:pPr>
              <w:pStyle w:val="16"/>
              <w:rPr>
                <w:rFonts w:hint="eastAsia" w:ascii="方正仿宋简体" w:hAnsi="方正仿宋简体" w:eastAsia="方正仿宋简体" w:cs="方正仿宋简体"/>
                <w:b w:val="0"/>
                <w:bCs w:val="0"/>
                <w:color w:val="auto"/>
              </w:rPr>
            </w:pPr>
          </w:p>
        </w:tc>
        <w:tc>
          <w:tcPr>
            <w:tcW w:w="964" w:type="dxa"/>
            <w:vAlign w:val="center"/>
          </w:tcPr>
          <w:p>
            <w:pPr>
              <w:pStyle w:val="16"/>
              <w:rPr>
                <w:rFonts w:hint="eastAsia" w:ascii="方正仿宋简体" w:hAnsi="方正仿宋简体" w:eastAsia="方正仿宋简体" w:cs="方正仿宋简体"/>
                <w:b w:val="0"/>
                <w:bCs w:val="0"/>
                <w:color w:val="auto"/>
              </w:rPr>
            </w:pPr>
          </w:p>
        </w:tc>
        <w:tc>
          <w:tcPr>
            <w:tcW w:w="964"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安可计算机购置</w:t>
            </w:r>
          </w:p>
        </w:tc>
        <w:tc>
          <w:tcPr>
            <w:tcW w:w="964" w:type="dxa"/>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18.60</w:t>
            </w:r>
          </w:p>
        </w:tc>
        <w:tc>
          <w:tcPr>
            <w:tcW w:w="1134"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台式计算机</w:t>
            </w:r>
          </w:p>
        </w:tc>
        <w:tc>
          <w:tcPr>
            <w:tcW w:w="1134"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A02010105</w:t>
            </w:r>
          </w:p>
        </w:tc>
        <w:tc>
          <w:tcPr>
            <w:tcW w:w="709"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台</w:t>
            </w:r>
          </w:p>
        </w:tc>
        <w:tc>
          <w:tcPr>
            <w:tcW w:w="850" w:type="dxa"/>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20</w:t>
            </w:r>
          </w:p>
        </w:tc>
        <w:tc>
          <w:tcPr>
            <w:tcW w:w="850" w:type="dxa"/>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0.85</w:t>
            </w:r>
          </w:p>
        </w:tc>
        <w:tc>
          <w:tcPr>
            <w:tcW w:w="964" w:type="dxa"/>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17.00</w:t>
            </w:r>
          </w:p>
        </w:tc>
        <w:tc>
          <w:tcPr>
            <w:tcW w:w="964" w:type="dxa"/>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17.00</w:t>
            </w:r>
          </w:p>
        </w:tc>
        <w:tc>
          <w:tcPr>
            <w:tcW w:w="964" w:type="dxa"/>
            <w:vAlign w:val="center"/>
          </w:tcPr>
          <w:p>
            <w:pPr>
              <w:pStyle w:val="16"/>
              <w:rPr>
                <w:rFonts w:hint="eastAsia" w:ascii="方正仿宋简体" w:hAnsi="方正仿宋简体" w:eastAsia="方正仿宋简体" w:cs="方正仿宋简体"/>
                <w:b w:val="0"/>
                <w:bCs w:val="0"/>
                <w:color w:val="auto"/>
              </w:rPr>
            </w:pPr>
          </w:p>
        </w:tc>
        <w:tc>
          <w:tcPr>
            <w:tcW w:w="964" w:type="dxa"/>
            <w:vAlign w:val="center"/>
          </w:tcPr>
          <w:p>
            <w:pPr>
              <w:pStyle w:val="16"/>
              <w:rPr>
                <w:rFonts w:hint="eastAsia" w:ascii="方正仿宋简体" w:hAnsi="方正仿宋简体" w:eastAsia="方正仿宋简体" w:cs="方正仿宋简体"/>
                <w:b w:val="0"/>
                <w:bCs w:val="0"/>
                <w:color w:val="auto"/>
              </w:rPr>
            </w:pPr>
          </w:p>
        </w:tc>
        <w:tc>
          <w:tcPr>
            <w:tcW w:w="964" w:type="dxa"/>
            <w:vAlign w:val="center"/>
          </w:tcPr>
          <w:p>
            <w:pPr>
              <w:pStyle w:val="16"/>
              <w:rPr>
                <w:rFonts w:hint="eastAsia" w:ascii="方正仿宋简体" w:hAnsi="方正仿宋简体" w:eastAsia="方正仿宋简体" w:cs="方正仿宋简体"/>
                <w:b w:val="0"/>
                <w:bCs w:val="0"/>
                <w:color w:val="auto"/>
              </w:rPr>
            </w:pPr>
          </w:p>
        </w:tc>
        <w:tc>
          <w:tcPr>
            <w:tcW w:w="964" w:type="dxa"/>
            <w:vAlign w:val="center"/>
          </w:tcPr>
          <w:p>
            <w:pPr>
              <w:pStyle w:val="16"/>
              <w:rPr>
                <w:rFonts w:hint="eastAsia" w:ascii="方正仿宋简体" w:hAnsi="方正仿宋简体" w:eastAsia="方正仿宋简体" w:cs="方正仿宋简体"/>
                <w:b w:val="0"/>
                <w:bCs w:val="0"/>
                <w:color w:val="auto"/>
              </w:rPr>
            </w:pPr>
          </w:p>
        </w:tc>
        <w:tc>
          <w:tcPr>
            <w:tcW w:w="964" w:type="dxa"/>
            <w:vAlign w:val="center"/>
          </w:tcPr>
          <w:p>
            <w:pPr>
              <w:pStyle w:val="16"/>
              <w:rPr>
                <w:rFonts w:hint="eastAsia" w:ascii="方正仿宋简体" w:hAnsi="方正仿宋简体" w:eastAsia="方正仿宋简体" w:cs="方正仿宋简体"/>
                <w:b w:val="0"/>
                <w:bCs w:val="0"/>
                <w:color w:val="auto"/>
              </w:rPr>
            </w:pPr>
          </w:p>
        </w:tc>
        <w:tc>
          <w:tcPr>
            <w:tcW w:w="964" w:type="dxa"/>
            <w:vAlign w:val="center"/>
          </w:tcPr>
          <w:p>
            <w:pPr>
              <w:pStyle w:val="16"/>
              <w:rPr>
                <w:rFonts w:hint="eastAsia" w:ascii="方正仿宋简体" w:hAnsi="方正仿宋简体" w:eastAsia="方正仿宋简体" w:cs="方正仿宋简体"/>
                <w:b w:val="0"/>
                <w:bCs w:val="0"/>
                <w:color w:val="auto"/>
              </w:rPr>
            </w:pPr>
          </w:p>
        </w:tc>
        <w:tc>
          <w:tcPr>
            <w:tcW w:w="964" w:type="dxa"/>
            <w:vAlign w:val="center"/>
          </w:tcPr>
          <w:p>
            <w:pPr>
              <w:pStyle w:val="16"/>
              <w:rPr>
                <w:rFonts w:hint="eastAsia" w:ascii="方正仿宋简体" w:hAnsi="方正仿宋简体" w:eastAsia="方正仿宋简体" w:cs="方正仿宋简体"/>
                <w:b w:val="0"/>
                <w:bCs w:val="0"/>
                <w:color w:val="auto"/>
              </w:rPr>
            </w:pPr>
          </w:p>
        </w:tc>
      </w:tr>
    </w:tbl>
    <w:p>
      <w:pPr>
        <w:spacing w:before="0" w:after="0" w:line="500" w:lineRule="exact"/>
        <w:ind w:firstLine="420"/>
        <w:jc w:val="left"/>
        <w:outlineLvl w:val="9"/>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sz w:val="21"/>
        </w:rPr>
        <w:t>注：同一采购目录序号的物品，其单价会因配置规格不同而变动，均符合资产配置标准。涉密采购事项按照相关规定执行。</w:t>
      </w:r>
    </w:p>
    <w:p>
      <w:pPr>
        <w:spacing w:before="0" w:after="0"/>
        <w:ind w:firstLine="640"/>
        <w:jc w:val="left"/>
        <w:outlineLvl w:val="9"/>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sz w:val="32"/>
        </w:rPr>
        <w:t xml:space="preserve"> </w:t>
      </w:r>
    </w:p>
    <w:p>
      <w:pPr>
        <w:spacing w:before="10" w:after="10" w:line="240" w:lineRule="auto"/>
        <w:ind w:firstLine="640"/>
        <w:jc w:val="left"/>
        <w:outlineLvl w:val="5"/>
        <w:rPr>
          <w:rFonts w:hint="eastAsia" w:ascii="方正黑体简体" w:hAnsi="方正黑体简体" w:eastAsia="方正黑体简体" w:cs="方正黑体简体"/>
          <w:color w:val="auto"/>
        </w:rPr>
      </w:pPr>
      <w:r>
        <w:rPr>
          <w:rFonts w:hint="eastAsia" w:ascii="方正黑体简体" w:hAnsi="方正黑体简体" w:eastAsia="方正黑体简体" w:cs="方正黑体简体"/>
          <w:color w:val="auto"/>
          <w:sz w:val="32"/>
        </w:rPr>
        <w:t>七、国有资产信息</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遵化市交通运输局本级上年末固定资产金额为7141.34万元（详见下表）。本年度拟购置固定资产总额为18.60万元，已按要求列入政府采购预算，详见政府采购预算表。</w:t>
      </w:r>
    </w:p>
    <w:p>
      <w:pPr>
        <w:spacing w:before="0" w:after="0" w:line="240" w:lineRule="auto"/>
        <w:ind w:firstLine="0"/>
        <w:jc w:val="center"/>
        <w:outlineLvl w:val="9"/>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348001遵化市交通运输局本级</w:t>
            </w:r>
          </w:p>
        </w:tc>
        <w:tc>
          <w:tcPr>
            <w:tcW w:w="5669"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color w:val="auto"/>
              </w:rPr>
            </w:pPr>
            <w:bookmarkStart w:id="18" w:name="_GoBack"/>
            <w:bookmarkEnd w:id="18"/>
            <w:r>
              <w:rPr>
                <w:rFonts w:hint="eastAsia" w:ascii="方正仿宋简体" w:hAnsi="方正仿宋简体" w:eastAsia="方正仿宋简体" w:cs="方正仿宋简体"/>
                <w:b w:val="0"/>
                <w:bCs w:val="0"/>
                <w:color w:val="auto"/>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项   目</w:t>
            </w:r>
          </w:p>
        </w:tc>
        <w:tc>
          <w:tcPr>
            <w:tcW w:w="2835" w:type="dxa"/>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数量</w:t>
            </w:r>
          </w:p>
        </w:tc>
        <w:tc>
          <w:tcPr>
            <w:tcW w:w="2835" w:type="dxa"/>
            <w:vAlign w:val="center"/>
          </w:tcPr>
          <w:p>
            <w:pPr>
              <w:pStyle w:val="15"/>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资产总额</w:t>
            </w:r>
          </w:p>
        </w:tc>
        <w:tc>
          <w:tcPr>
            <w:tcW w:w="2835" w:type="dxa"/>
            <w:vAlign w:val="center"/>
          </w:tcPr>
          <w:p>
            <w:pPr>
              <w:pStyle w:val="18"/>
              <w:rPr>
                <w:rFonts w:hint="eastAsia" w:ascii="方正仿宋简体" w:hAnsi="方正仿宋简体" w:eastAsia="方正仿宋简体" w:cs="方正仿宋简体"/>
                <w:b w:val="0"/>
                <w:bCs w:val="0"/>
                <w:color w:val="auto"/>
              </w:rPr>
            </w:pPr>
          </w:p>
        </w:tc>
        <w:tc>
          <w:tcPr>
            <w:tcW w:w="2835" w:type="dxa"/>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7141.34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1、房屋（平方米）</w:t>
            </w:r>
          </w:p>
        </w:tc>
        <w:tc>
          <w:tcPr>
            <w:tcW w:w="2835"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26783.26</w:t>
            </w:r>
          </w:p>
        </w:tc>
        <w:tc>
          <w:tcPr>
            <w:tcW w:w="2835" w:type="dxa"/>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5747.02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　　其中：办公用房（平方米）</w:t>
            </w:r>
          </w:p>
        </w:tc>
        <w:tc>
          <w:tcPr>
            <w:tcW w:w="2835" w:type="dxa"/>
            <w:vAlign w:val="center"/>
          </w:tcPr>
          <w:p>
            <w:pPr>
              <w:pStyle w:val="18"/>
              <w:rPr>
                <w:rFonts w:hint="eastAsia" w:ascii="方正仿宋简体" w:hAnsi="方正仿宋简体" w:eastAsia="方正仿宋简体" w:cs="方正仿宋简体"/>
                <w:b w:val="0"/>
                <w:bCs w:val="0"/>
                <w:color w:val="auto"/>
              </w:rPr>
            </w:pPr>
          </w:p>
        </w:tc>
        <w:tc>
          <w:tcPr>
            <w:tcW w:w="2835" w:type="dxa"/>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4027.70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2、车辆（台、辆）</w:t>
            </w:r>
          </w:p>
        </w:tc>
        <w:tc>
          <w:tcPr>
            <w:tcW w:w="2835"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41</w:t>
            </w:r>
          </w:p>
        </w:tc>
        <w:tc>
          <w:tcPr>
            <w:tcW w:w="2835" w:type="dxa"/>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343.54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3、单价在20万元以上的设备</w:t>
            </w:r>
          </w:p>
        </w:tc>
        <w:tc>
          <w:tcPr>
            <w:tcW w:w="2835"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8</w:t>
            </w:r>
          </w:p>
        </w:tc>
        <w:tc>
          <w:tcPr>
            <w:tcW w:w="2835" w:type="dxa"/>
            <w:vAlign w:val="center"/>
          </w:tcPr>
          <w:p>
            <w:pPr>
              <w:pStyle w:val="16"/>
              <w:rPr>
                <w:rFonts w:hint="eastAsia" w:ascii="方正仿宋简体" w:hAnsi="方正仿宋简体" w:eastAsia="方正仿宋简体" w:cs="方正仿宋简体"/>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4、其他固定资产</w:t>
            </w:r>
          </w:p>
        </w:tc>
        <w:tc>
          <w:tcPr>
            <w:tcW w:w="2835" w:type="dxa"/>
            <w:vAlign w:val="center"/>
          </w:tcPr>
          <w:p>
            <w:pPr>
              <w:pStyle w:val="18"/>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638</w:t>
            </w:r>
          </w:p>
        </w:tc>
        <w:tc>
          <w:tcPr>
            <w:tcW w:w="2835" w:type="dxa"/>
            <w:vAlign w:val="center"/>
          </w:tcPr>
          <w:p>
            <w:pPr>
              <w:pStyle w:val="16"/>
              <w:rPr>
                <w:rFonts w:hint="eastAsia" w:ascii="方正仿宋简体" w:hAnsi="方正仿宋简体" w:eastAsia="方正仿宋简体" w:cs="方正仿宋简体"/>
                <w:b w:val="0"/>
                <w:bCs w:val="0"/>
                <w:color w:val="auto"/>
              </w:rPr>
            </w:pPr>
            <w:r>
              <w:rPr>
                <w:rFonts w:hint="eastAsia" w:ascii="方正仿宋简体" w:hAnsi="方正仿宋简体" w:eastAsia="方正仿宋简体" w:cs="方正仿宋简体"/>
                <w:b w:val="0"/>
                <w:bCs w:val="0"/>
                <w:color w:val="auto"/>
              </w:rPr>
              <w:t>1050.78</w:t>
            </w:r>
          </w:p>
        </w:tc>
      </w:tr>
    </w:tbl>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八、名词解释</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1、一般公共预算拨款收入：指省级财政当年拨付的资金。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2、事业收入：指事业单位开展专业业务活动及辅助活动所取得的收入。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3、其他收入：指除“一般公共预算拨款收入”、“事业收入”等以外的收入。主要是按规定动用的租房收入、存款利息收入等。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4、基本支出：指为保障机构正常运转、完成日常工作任务而发生的人员支出和公用支出。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5、项目支出：指在基本支出之外为完成特定行政任务和事业发展目标所发生的支出。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6、上缴上级支出：指下级单位上缴上级的支出。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7、“三公”经费：纳入省级财政预算管理的“三公”经费，是指预算</w:t>
      </w:r>
      <w:r>
        <w:rPr>
          <w:rFonts w:hint="eastAsia" w:ascii="方正仿宋简体" w:hAnsi="方正仿宋简体" w:eastAsia="方正仿宋简体" w:cs="方正仿宋简体"/>
          <w:b w:val="0"/>
          <w:bCs w:val="0"/>
          <w:color w:val="auto"/>
          <w:sz w:val="32"/>
          <w:szCs w:val="32"/>
          <w:lang w:eastAsia="zh-CN"/>
        </w:rPr>
        <w:t>单位</w:t>
      </w:r>
      <w:r>
        <w:rPr>
          <w:rFonts w:hint="eastAsia" w:ascii="方正仿宋简体" w:hAnsi="方正仿宋简体" w:eastAsia="方正仿宋简体" w:cs="方正仿宋简体"/>
          <w:b w:val="0"/>
          <w:bCs w:val="0"/>
          <w:color w:val="auto"/>
          <w:sz w:val="32"/>
          <w:szCs w:val="32"/>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8、机关运行费：是指各</w:t>
      </w:r>
      <w:r>
        <w:rPr>
          <w:rFonts w:hint="eastAsia" w:ascii="方正仿宋简体" w:hAnsi="方正仿宋简体" w:eastAsia="方正仿宋简体" w:cs="方正仿宋简体"/>
          <w:b w:val="0"/>
          <w:bCs w:val="0"/>
          <w:color w:val="auto"/>
          <w:sz w:val="32"/>
          <w:szCs w:val="32"/>
          <w:lang w:eastAsia="zh-CN"/>
        </w:rPr>
        <w:t>单位</w:t>
      </w:r>
      <w:r>
        <w:rPr>
          <w:rFonts w:hint="eastAsia" w:ascii="方正仿宋简体" w:hAnsi="方正仿宋简体" w:eastAsia="方正仿宋简体" w:cs="方正仿宋简体"/>
          <w:b w:val="0"/>
          <w:bCs w:val="0"/>
          <w:color w:val="auto"/>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9、上年结转：指以前年度尚未完成、结转到本年仍按原规定用途继续使用的资金。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10、事业单位经营支出：指事业单位在专业业务活动及其辅助活动之外开展非独立核算经营活动发生的支出。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九、其他需要说明的事项</w:t>
      </w:r>
    </w:p>
    <w:p>
      <w:pPr>
        <w:keepNext w:val="0"/>
        <w:keepLines w:val="0"/>
        <w:widowControl w:val="0"/>
        <w:suppressLineNumbers w:val="0"/>
        <w:autoSpaceDE w:val="0"/>
        <w:autoSpaceDN/>
        <w:spacing w:before="0" w:beforeAutospacing="0" w:after="0" w:afterAutospacing="0" w:line="570" w:lineRule="exact"/>
        <w:ind w:left="0" w:right="0" w:firstLine="560"/>
        <w:jc w:val="left"/>
        <w:rPr>
          <w:rFonts w:hint="default" w:ascii="Times New Roman" w:hAnsi="Times New Roman" w:cs="Times New Roman"/>
          <w:sz w:val="24"/>
          <w:szCs w:val="24"/>
        </w:rPr>
      </w:pPr>
      <w:r>
        <w:rPr>
          <w:rFonts w:hint="eastAsia" w:ascii="方正仿宋简体" w:hAnsi="方正仿宋简体" w:eastAsia="方正仿宋简体" w:cs="方正仿宋简体"/>
          <w:kern w:val="2"/>
          <w:sz w:val="32"/>
          <w:szCs w:val="32"/>
          <w:lang w:val="en-US" w:eastAsia="zh-CN" w:bidi="ar"/>
        </w:rPr>
        <w:t>遵化市交通运输局2023年单位预算中未安排国有资本经营预算，故国有资本经营预算支出表为空。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14800"/>
      </w:tabs>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r>
      <w:rPr>
        <w:rFonts w:hint="eastAsia" w:eastAsia="宋体"/>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D29600B"/>
    <w:rsid w:val="217E7943"/>
    <w:rsid w:val="362A059B"/>
    <w:rsid w:val="3BE653E7"/>
    <w:rsid w:val="408E40F3"/>
    <w:rsid w:val="41931B89"/>
    <w:rsid w:val="4F1B6FD2"/>
    <w:rsid w:val="5FDD4B68"/>
    <w:rsid w:val="6FB75D62"/>
    <w:rsid w:val="709525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semiHidden/>
    <w:unhideWhenUsed/>
    <w:qFormat/>
    <w:uiPriority w:val="99"/>
    <w:rPr>
      <w:sz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正文1"/>
    <w:basedOn w:val="1"/>
    <w:next w:val="35"/>
    <w:qFormat/>
    <w:uiPriority w:val="0"/>
    <w:pPr>
      <w:snapToGrid w:val="0"/>
      <w:spacing w:line="324" w:lineRule="auto"/>
      <w:ind w:firstLine="200" w:firstLineChars="200"/>
      <w:jc w:val="left"/>
    </w:pPr>
    <w:rPr>
      <w:rFonts w:cs="宋体"/>
      <w:snapToGrid w:val="0"/>
      <w:kern w:val="0"/>
    </w:rPr>
  </w:style>
  <w:style w:type="paragraph" w:customStyle="1" w:styleId="35">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1" Type="http://schemas.openxmlformats.org/officeDocument/2006/relationships/fontTable" Target="fontTable.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2023-03-08T18:24:24Z</dcterms:created>
  <dcterms:modified xsi:type="dcterms:W3CDTF">2023-03-08T10:24:24Z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2023-03-08T18:25:00Z</dcterms:created>
  <dcterms:modified xsi:type="dcterms:W3CDTF">2023-03-08T10:25:00Z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2023-03-08T18:24:25Z</dcterms:created>
  <dcterms:modified xsi:type="dcterms:W3CDTF">2023-03-08T10:24:25Z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2023-03-08T18:24:25Z</dcterms:created>
  <dcterms:modified xsi:type="dcterms:W3CDTF">2023-03-08T10:24:25Z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2023-03-08T18:24:25Z</dcterms:created>
  <dcterms:modified xsi:type="dcterms:W3CDTF">2023-03-08T10:24:25Z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2023-03-08T18:24:23Z</dcterms:created>
  <dcterms:modified xsi:type="dcterms:W3CDTF">2023-03-08T10:24:23Z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2023-03-08T18:24:25Z</dcterms:created>
  <dcterms:modified xsi:type="dcterms:W3CDTF">2023-03-08T10:24:25Z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2023-03-08T18:24:23Z</dcterms:created>
  <dcterms:modified xsi:type="dcterms:W3CDTF">2023-03-08T10:24:23Z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2023-03-08T18:24:25Z</dcterms:created>
  <dcterms:modified xsi:type="dcterms:W3CDTF">2023-03-08T10:24:25Z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2023-03-08T18:24:25Z</dcterms:created>
  <dcterms:modified xsi:type="dcterms:W3CDTF">2023-03-08T10:24:25Z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2023-03-08T18:24:25Z</dcterms:created>
  <dcterms:modified xsi:type="dcterms:W3CDTF">2023-03-08T10:24:25Z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2023-03-08T18:24:26Z</dcterms:created>
  <dcterms:modified xsi:type="dcterms:W3CDTF">2023-03-08T10:24:25Z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2023-03-08T18:24:24Z</dcterms:created>
  <dcterms:modified xsi:type="dcterms:W3CDTF">2023-03-08T10:24:24Z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2023-03-08T18:24:24Z</dcterms:created>
  <dcterms:modified xsi:type="dcterms:W3CDTF">2023-03-08T10:24:24Z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2023-03-08T18:24:26Z</dcterms:created>
  <dcterms:modified xsi:type="dcterms:W3CDTF">2023-03-08T10:24:26Z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2023-03-08T18:24:26Z</dcterms:created>
  <dcterms:modified xsi:type="dcterms:W3CDTF">2023-03-08T10:24:26Z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2023-03-08T18:24:26Z</dcterms:created>
  <dcterms:modified xsi:type="dcterms:W3CDTF">2023-03-08T10:24:26Z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2023-03-08T18:24:26Z</dcterms:created>
  <dcterms:modified xsi:type="dcterms:W3CDTF">2023-03-08T10:24:26Z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2023-03-08T18:24:30Z</dcterms:created>
  <dcterms:modified xsi:type="dcterms:W3CDTF">2023-03-08T10:24:29Z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2023-03-08T18:24:23Z</dcterms:created>
  <dcterms:modified xsi:type="dcterms:W3CDTF">2023-03-08T10:24:23Z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2023-03-08T18:24:57Z</dcterms:created>
  <dcterms:modified xsi:type="dcterms:W3CDTF">2023-03-08T10:24:57Z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2023-03-08T18:24:57Z</dcterms:created>
  <dcterms:modified xsi:type="dcterms:W3CDTF">2023-03-08T10:24:57Z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2023-03-08T18:24:20Z</dcterms:created>
  <dcterms:modified xsi:type="dcterms:W3CDTF">2023-03-08T10:24:20Z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2023-03-08T18:24:58Z</dcterms:created>
  <dcterms:modified xsi:type="dcterms:W3CDTF">2023-03-08T10:24:58Z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2023-03-08T18:24:58Z</dcterms:created>
  <dcterms:modified xsi:type="dcterms:W3CDTF">2023-03-08T10:24:58Z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2023-03-08T18:24:58Z</dcterms:created>
  <dcterms:modified xsi:type="dcterms:W3CDTF">2023-03-08T10:24:58Z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2023-03-08T18:24:58Z</dcterms:created>
  <dcterms:modified xsi:type="dcterms:W3CDTF">2023-03-08T10:24:58Z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2023-03-08T18:24:58Z</dcterms:created>
  <dcterms:modified xsi:type="dcterms:W3CDTF">2023-03-08T10:24:58Z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2023-03-08T18:24:24Z</dcterms:created>
  <dcterms:modified xsi:type="dcterms:W3CDTF">2023-03-08T10:24:24Z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2023-03-08T18:24:58Z</dcterms:created>
  <dcterms:modified xsi:type="dcterms:W3CDTF">2023-03-08T10:24:58Z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2023-03-08T18:24:58Z</dcterms:created>
  <dcterms:modified xsi:type="dcterms:W3CDTF">2023-03-08T10:24:58Z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2023-03-08T18:25:00Z</dcterms:created>
  <dcterms:modified xsi:type="dcterms:W3CDTF">2023-03-08T10:25:00Z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2023-03-08T18:24:59Z</dcterms:created>
  <dcterms:modified xsi:type="dcterms:W3CDTF">2023-03-08T10:24:59Z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2023-03-08T18:24:23Z</dcterms:created>
  <dcterms:modified xsi:type="dcterms:W3CDTF">2023-03-08T10:24:23Z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2023-03-08T18:24:24Z</dcterms:created>
  <dcterms:modified xsi:type="dcterms:W3CDTF">2023-03-08T10:24:24Z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2023-03-08T18:24:59Z</dcterms:created>
  <dcterms:modified xsi:type="dcterms:W3CDTF">2023-03-08T10:24:59Z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2023-03-08T18:24:59Z</dcterms:created>
  <dcterms:modified xsi:type="dcterms:W3CDTF">2023-03-08T10:24:59Z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2023-03-08T18:24:59Z</dcterms:created>
  <dcterms:modified xsi:type="dcterms:W3CDTF">2023-03-08T10:24:59Z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2023-03-08T18:24:59Z</dcterms:created>
  <dcterms:modified xsi:type="dcterms:W3CDTF">2023-03-08T10:24:59Z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2023-03-08T18:24:24Z</dcterms:created>
  <dcterms:modified xsi:type="dcterms:W3CDTF">2023-03-08T10:24:24Z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2023-03-08T18:24:59Z</dcterms:created>
  <dcterms:modified xsi:type="dcterms:W3CDTF">2023-03-08T10:24:59Z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2023-03-08T18:24:59Z</dcterms:created>
  <dcterms:modified xsi:type="dcterms:W3CDTF">2023-03-08T10:24:59Z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2023-03-08T18:25:00Z</dcterms:created>
  <dcterms:modified xsi:type="dcterms:W3CDTF">2023-03-08T10:25:00Z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2023-03-08T18:24:24Z</dcterms:created>
  <dcterms:modified xsi:type="dcterms:W3CDTF">2023-03-08T10:24:24Z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2023-03-08T18:25:01Z</dcterms:created>
  <dcterms:modified xsi:type="dcterms:W3CDTF">2023-03-08T10:25:01Z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2023-03-08T18:25:00Z</dcterms:created>
  <dcterms:modified xsi:type="dcterms:W3CDTF">2023-03-08T10:25:00Z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2023-03-08T18:25:00Z</dcterms:created>
  <dcterms:modified xsi:type="dcterms:W3CDTF">2023-03-08T10:25:00Z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0815465-4253-46ee-9f07-fc09956187a5}">
  <ds:schemaRefs/>
</ds:datastoreItem>
</file>

<file path=customXml/itemProps11.xml><?xml version="1.0" encoding="utf-8"?>
<ds:datastoreItem xmlns:ds="http://schemas.openxmlformats.org/officeDocument/2006/customXml" ds:itemID="{00ee0156-6c4d-45e4-9e32-7633417110fe}">
  <ds:schemaRefs/>
</ds:datastoreItem>
</file>

<file path=customXml/itemProps12.xml><?xml version="1.0" encoding="utf-8"?>
<ds:datastoreItem xmlns:ds="http://schemas.openxmlformats.org/officeDocument/2006/customXml" ds:itemID="{96d95b0e-597c-4e6b-8faf-9ac41a6e6846}">
  <ds:schemaRefs/>
</ds:datastoreItem>
</file>

<file path=customXml/itemProps13.xml><?xml version="1.0" encoding="utf-8"?>
<ds:datastoreItem xmlns:ds="http://schemas.openxmlformats.org/officeDocument/2006/customXml" ds:itemID="{5419096f-a80d-4430-87d1-3bd6d0c18ecb}">
  <ds:schemaRefs/>
</ds:datastoreItem>
</file>

<file path=customXml/itemProps14.xml><?xml version="1.0" encoding="utf-8"?>
<ds:datastoreItem xmlns:ds="http://schemas.openxmlformats.org/officeDocument/2006/customXml" ds:itemID="{b61ecf87-7487-4e15-9155-c05b4217f9ed}">
  <ds:schemaRefs/>
</ds:datastoreItem>
</file>

<file path=customXml/itemProps15.xml><?xml version="1.0" encoding="utf-8"?>
<ds:datastoreItem xmlns:ds="http://schemas.openxmlformats.org/officeDocument/2006/customXml" ds:itemID="{3bf173d0-eaf0-41ff-954b-fbc9d5e0dd49}">
  <ds:schemaRefs/>
</ds:datastoreItem>
</file>

<file path=customXml/itemProps16.xml><?xml version="1.0" encoding="utf-8"?>
<ds:datastoreItem xmlns:ds="http://schemas.openxmlformats.org/officeDocument/2006/customXml" ds:itemID="{a0e23af2-ed28-49e3-a745-1a014c151943}">
  <ds:schemaRefs/>
</ds:datastoreItem>
</file>

<file path=customXml/itemProps17.xml><?xml version="1.0" encoding="utf-8"?>
<ds:datastoreItem xmlns:ds="http://schemas.openxmlformats.org/officeDocument/2006/customXml" ds:itemID="{98dc9281-2bdf-4ad9-aa0f-94cf2701e382}">
  <ds:schemaRefs/>
</ds:datastoreItem>
</file>

<file path=customXml/itemProps18.xml><?xml version="1.0" encoding="utf-8"?>
<ds:datastoreItem xmlns:ds="http://schemas.openxmlformats.org/officeDocument/2006/customXml" ds:itemID="{23ac7992-214c-4faa-85d6-7a1017fb351a}">
  <ds:schemaRefs/>
</ds:datastoreItem>
</file>

<file path=customXml/itemProps19.xml><?xml version="1.0" encoding="utf-8"?>
<ds:datastoreItem xmlns:ds="http://schemas.openxmlformats.org/officeDocument/2006/customXml" ds:itemID="{f6b72ef8-2b4f-4429-8169-8a57ec6a00cf}">
  <ds:schemaRefs/>
</ds:datastoreItem>
</file>

<file path=customXml/itemProps2.xml><?xml version="1.0" encoding="utf-8"?>
<ds:datastoreItem xmlns:ds="http://schemas.openxmlformats.org/officeDocument/2006/customXml" ds:itemID="{49dad4a6-aace-4f8f-8548-3650b56109ff}">
  <ds:schemaRefs/>
</ds:datastoreItem>
</file>

<file path=customXml/itemProps20.xml><?xml version="1.0" encoding="utf-8"?>
<ds:datastoreItem xmlns:ds="http://schemas.openxmlformats.org/officeDocument/2006/customXml" ds:itemID="{bb770402-29a8-4996-ae75-e35f0d41ea5d}">
  <ds:schemaRefs/>
</ds:datastoreItem>
</file>

<file path=customXml/itemProps21.xml><?xml version="1.0" encoding="utf-8"?>
<ds:datastoreItem xmlns:ds="http://schemas.openxmlformats.org/officeDocument/2006/customXml" ds:itemID="{f7c9d1f2-485c-46f2-8e92-e06a46fb8756}">
  <ds:schemaRefs/>
</ds:datastoreItem>
</file>

<file path=customXml/itemProps22.xml><?xml version="1.0" encoding="utf-8"?>
<ds:datastoreItem xmlns:ds="http://schemas.openxmlformats.org/officeDocument/2006/customXml" ds:itemID="{3d74a7d1-86b7-4809-8b7d-11e5923c23ec}">
  <ds:schemaRefs/>
</ds:datastoreItem>
</file>

<file path=customXml/itemProps23.xml><?xml version="1.0" encoding="utf-8"?>
<ds:datastoreItem xmlns:ds="http://schemas.openxmlformats.org/officeDocument/2006/customXml" ds:itemID="{e14f77e6-9cff-4e14-a6c1-95d13c7091d6}">
  <ds:schemaRefs/>
</ds:datastoreItem>
</file>

<file path=customXml/itemProps24.xml><?xml version="1.0" encoding="utf-8"?>
<ds:datastoreItem xmlns:ds="http://schemas.openxmlformats.org/officeDocument/2006/customXml" ds:itemID="{e2f8cb91-1280-406d-b94a-811fec1c5b81}">
  <ds:schemaRefs/>
</ds:datastoreItem>
</file>

<file path=customXml/itemProps25.xml><?xml version="1.0" encoding="utf-8"?>
<ds:datastoreItem xmlns:ds="http://schemas.openxmlformats.org/officeDocument/2006/customXml" ds:itemID="{ced41d3f-38d2-4e6d-b538-a4d195ff284a}">
  <ds:schemaRefs/>
</ds:datastoreItem>
</file>

<file path=customXml/itemProps26.xml><?xml version="1.0" encoding="utf-8"?>
<ds:datastoreItem xmlns:ds="http://schemas.openxmlformats.org/officeDocument/2006/customXml" ds:itemID="{20a06e9a-77cf-4381-920a-14cd04e66089}">
  <ds:schemaRefs/>
</ds:datastoreItem>
</file>

<file path=customXml/itemProps27.xml><?xml version="1.0" encoding="utf-8"?>
<ds:datastoreItem xmlns:ds="http://schemas.openxmlformats.org/officeDocument/2006/customXml" ds:itemID="{e0020c76-3670-43d9-81d2-91a131aab3a3}">
  <ds:schemaRefs/>
</ds:datastoreItem>
</file>

<file path=customXml/itemProps28.xml><?xml version="1.0" encoding="utf-8"?>
<ds:datastoreItem xmlns:ds="http://schemas.openxmlformats.org/officeDocument/2006/customXml" ds:itemID="{12bbff95-5a9e-4b73-b714-5b314453915c}">
  <ds:schemaRefs/>
</ds:datastoreItem>
</file>

<file path=customXml/itemProps29.xml><?xml version="1.0" encoding="utf-8"?>
<ds:datastoreItem xmlns:ds="http://schemas.openxmlformats.org/officeDocument/2006/customXml" ds:itemID="{31e5fe36-f966-4525-998d-15d137700ad2}">
  <ds:schemaRefs/>
</ds:datastoreItem>
</file>

<file path=customXml/itemProps3.xml><?xml version="1.0" encoding="utf-8"?>
<ds:datastoreItem xmlns:ds="http://schemas.openxmlformats.org/officeDocument/2006/customXml" ds:itemID="{908e61bf-f687-4efe-adf0-7710f9b856d7}">
  <ds:schemaRefs/>
</ds:datastoreItem>
</file>

<file path=customXml/itemProps30.xml><?xml version="1.0" encoding="utf-8"?>
<ds:datastoreItem xmlns:ds="http://schemas.openxmlformats.org/officeDocument/2006/customXml" ds:itemID="{cfcb2eff-e7b4-4d90-95cc-24703cd254fc}">
  <ds:schemaRefs/>
</ds:datastoreItem>
</file>

<file path=customXml/itemProps31.xml><?xml version="1.0" encoding="utf-8"?>
<ds:datastoreItem xmlns:ds="http://schemas.openxmlformats.org/officeDocument/2006/customXml" ds:itemID="{318aecca-d8fa-4b6f-8e92-a1d45697d6cd}">
  <ds:schemaRefs/>
</ds:datastoreItem>
</file>

<file path=customXml/itemProps32.xml><?xml version="1.0" encoding="utf-8"?>
<ds:datastoreItem xmlns:ds="http://schemas.openxmlformats.org/officeDocument/2006/customXml" ds:itemID="{68157d0e-762f-4af5-a95a-d8024a23ca51}">
  <ds:schemaRefs/>
</ds:datastoreItem>
</file>

<file path=customXml/itemProps33.xml><?xml version="1.0" encoding="utf-8"?>
<ds:datastoreItem xmlns:ds="http://schemas.openxmlformats.org/officeDocument/2006/customXml" ds:itemID="{e5763855-c5c8-4b7f-a977-3bf34cfdb547}">
  <ds:schemaRefs/>
</ds:datastoreItem>
</file>

<file path=customXml/itemProps34.xml><?xml version="1.0" encoding="utf-8"?>
<ds:datastoreItem xmlns:ds="http://schemas.openxmlformats.org/officeDocument/2006/customXml" ds:itemID="{fbc2bb55-848d-4027-8f4d-a74d25160b9a}">
  <ds:schemaRefs/>
</ds:datastoreItem>
</file>

<file path=customXml/itemProps35.xml><?xml version="1.0" encoding="utf-8"?>
<ds:datastoreItem xmlns:ds="http://schemas.openxmlformats.org/officeDocument/2006/customXml" ds:itemID="{a8de541c-b515-4d54-b48b-2a202c247133}">
  <ds:schemaRefs/>
</ds:datastoreItem>
</file>

<file path=customXml/itemProps36.xml><?xml version="1.0" encoding="utf-8"?>
<ds:datastoreItem xmlns:ds="http://schemas.openxmlformats.org/officeDocument/2006/customXml" ds:itemID="{92d0748f-1900-4248-aa00-2e673ea2867b}">
  <ds:schemaRefs/>
</ds:datastoreItem>
</file>

<file path=customXml/itemProps37.xml><?xml version="1.0" encoding="utf-8"?>
<ds:datastoreItem xmlns:ds="http://schemas.openxmlformats.org/officeDocument/2006/customXml" ds:itemID="{32033f07-5906-44f5-b403-19a6f09c1a0c}">
  <ds:schemaRefs/>
</ds:datastoreItem>
</file>

<file path=customXml/itemProps38.xml><?xml version="1.0" encoding="utf-8"?>
<ds:datastoreItem xmlns:ds="http://schemas.openxmlformats.org/officeDocument/2006/customXml" ds:itemID="{a121d3b7-8396-4b9f-a313-43a0d76afa17}">
  <ds:schemaRefs/>
</ds:datastoreItem>
</file>

<file path=customXml/itemProps39.xml><?xml version="1.0" encoding="utf-8"?>
<ds:datastoreItem xmlns:ds="http://schemas.openxmlformats.org/officeDocument/2006/customXml" ds:itemID="{3fdcfba8-6790-4a61-8fad-bb7256eb8b78}">
  <ds:schemaRefs/>
</ds:datastoreItem>
</file>

<file path=customXml/itemProps4.xml><?xml version="1.0" encoding="utf-8"?>
<ds:datastoreItem xmlns:ds="http://schemas.openxmlformats.org/officeDocument/2006/customXml" ds:itemID="{34943710-846b-43db-b0f4-9e60cf2827a2}">
  <ds:schemaRefs/>
</ds:datastoreItem>
</file>

<file path=customXml/itemProps40.xml><?xml version="1.0" encoding="utf-8"?>
<ds:datastoreItem xmlns:ds="http://schemas.openxmlformats.org/officeDocument/2006/customXml" ds:itemID="{ef628222-f31a-4dad-b551-bd3750f66fa8}">
  <ds:schemaRefs/>
</ds:datastoreItem>
</file>

<file path=customXml/itemProps41.xml><?xml version="1.0" encoding="utf-8"?>
<ds:datastoreItem xmlns:ds="http://schemas.openxmlformats.org/officeDocument/2006/customXml" ds:itemID="{f57a6d2f-285d-4753-a57a-4b665854e1f9}">
  <ds:schemaRefs/>
</ds:datastoreItem>
</file>

<file path=customXml/itemProps42.xml><?xml version="1.0" encoding="utf-8"?>
<ds:datastoreItem xmlns:ds="http://schemas.openxmlformats.org/officeDocument/2006/customXml" ds:itemID="{40cecc61-d9ea-4e6d-a836-2a8fb7ecba57}">
  <ds:schemaRefs/>
</ds:datastoreItem>
</file>

<file path=customXml/itemProps43.xml><?xml version="1.0" encoding="utf-8"?>
<ds:datastoreItem xmlns:ds="http://schemas.openxmlformats.org/officeDocument/2006/customXml" ds:itemID="{7509c01d-11bf-4e9d-b002-f04bd789d262}">
  <ds:schemaRefs/>
</ds:datastoreItem>
</file>

<file path=customXml/itemProps44.xml><?xml version="1.0" encoding="utf-8"?>
<ds:datastoreItem xmlns:ds="http://schemas.openxmlformats.org/officeDocument/2006/customXml" ds:itemID="{0a96c02d-299b-4214-b245-0eaa1352d8dd}">
  <ds:schemaRefs/>
</ds:datastoreItem>
</file>

<file path=customXml/itemProps45.xml><?xml version="1.0" encoding="utf-8"?>
<ds:datastoreItem xmlns:ds="http://schemas.openxmlformats.org/officeDocument/2006/customXml" ds:itemID="{917ee021-7b98-4701-b2d9-76617079cd7d}">
  <ds:schemaRefs/>
</ds:datastoreItem>
</file>

<file path=customXml/itemProps46.xml><?xml version="1.0" encoding="utf-8"?>
<ds:datastoreItem xmlns:ds="http://schemas.openxmlformats.org/officeDocument/2006/customXml" ds:itemID="{bcda5485-0160-44f9-b4e9-b9da81d820a6}">
  <ds:schemaRefs/>
</ds:datastoreItem>
</file>

<file path=customXml/itemProps47.xml><?xml version="1.0" encoding="utf-8"?>
<ds:datastoreItem xmlns:ds="http://schemas.openxmlformats.org/officeDocument/2006/customXml" ds:itemID="{2734cc73-2a55-496d-8e25-9828cd539322}">
  <ds:schemaRefs/>
</ds:datastoreItem>
</file>

<file path=customXml/itemProps48.xml><?xml version="1.0" encoding="utf-8"?>
<ds:datastoreItem xmlns:ds="http://schemas.openxmlformats.org/officeDocument/2006/customXml" ds:itemID="{c797674b-b1da-4451-96a1-88508cdf88e9}">
  <ds:schemaRefs/>
</ds:datastoreItem>
</file>

<file path=customXml/itemProps49.xml><?xml version="1.0" encoding="utf-8"?>
<ds:datastoreItem xmlns:ds="http://schemas.openxmlformats.org/officeDocument/2006/customXml" ds:itemID="{8c83774e-0cf3-4731-b457-17dab493a4aa}">
  <ds:schemaRefs/>
</ds:datastoreItem>
</file>

<file path=customXml/itemProps5.xml><?xml version="1.0" encoding="utf-8"?>
<ds:datastoreItem xmlns:ds="http://schemas.openxmlformats.org/officeDocument/2006/customXml" ds:itemID="{ab347ebe-75f2-4192-afb3-699aa6cefe59}">
  <ds:schemaRefs/>
</ds:datastoreItem>
</file>

<file path=customXml/itemProps50.xml><?xml version="1.0" encoding="utf-8"?>
<ds:datastoreItem xmlns:ds="http://schemas.openxmlformats.org/officeDocument/2006/customXml" ds:itemID="{068dac02-e4d2-4209-bfed-e3f2d60666c5}">
  <ds:schemaRefs/>
</ds:datastoreItem>
</file>

<file path=customXml/itemProps51.xml><?xml version="1.0" encoding="utf-8"?>
<ds:datastoreItem xmlns:ds="http://schemas.openxmlformats.org/officeDocument/2006/customXml" ds:itemID="{ad989d24-0b36-494c-a1b8-8ca98f9f4ccf}">
  <ds:schemaRefs/>
</ds:datastoreItem>
</file>

<file path=customXml/itemProps52.xml><?xml version="1.0" encoding="utf-8"?>
<ds:datastoreItem xmlns:ds="http://schemas.openxmlformats.org/officeDocument/2006/customXml" ds:itemID="{46b727e3-c8a7-4260-b06b-1cfaeb63a0e0}">
  <ds:schemaRefs/>
</ds:datastoreItem>
</file>

<file path=customXml/itemProps53.xml><?xml version="1.0" encoding="utf-8"?>
<ds:datastoreItem xmlns:ds="http://schemas.openxmlformats.org/officeDocument/2006/customXml" ds:itemID="{5227970e-0475-4d80-bc2c-f6aedd49e8c0}">
  <ds:schemaRefs/>
</ds:datastoreItem>
</file>

<file path=customXml/itemProps54.xml><?xml version="1.0" encoding="utf-8"?>
<ds:datastoreItem xmlns:ds="http://schemas.openxmlformats.org/officeDocument/2006/customXml" ds:itemID="{92a60db6-0966-4c48-9e1f-ca02cd014f03}">
  <ds:schemaRefs/>
</ds:datastoreItem>
</file>

<file path=customXml/itemProps55.xml><?xml version="1.0" encoding="utf-8"?>
<ds:datastoreItem xmlns:ds="http://schemas.openxmlformats.org/officeDocument/2006/customXml" ds:itemID="{b4d4090b-e783-422d-be9c-66991daf92b2}">
  <ds:schemaRefs/>
</ds:datastoreItem>
</file>

<file path=customXml/itemProps56.xml><?xml version="1.0" encoding="utf-8"?>
<ds:datastoreItem xmlns:ds="http://schemas.openxmlformats.org/officeDocument/2006/customXml" ds:itemID="{f6bef2c1-047c-49c4-a4ca-f2dc559f4f40}">
  <ds:schemaRefs/>
</ds:datastoreItem>
</file>

<file path=customXml/itemProps57.xml><?xml version="1.0" encoding="utf-8"?>
<ds:datastoreItem xmlns:ds="http://schemas.openxmlformats.org/officeDocument/2006/customXml" ds:itemID="{0f0416f9-ddd5-4878-8428-4d70a4b50d96}">
  <ds:schemaRefs/>
</ds:datastoreItem>
</file>

<file path=customXml/itemProps58.xml><?xml version="1.0" encoding="utf-8"?>
<ds:datastoreItem xmlns:ds="http://schemas.openxmlformats.org/officeDocument/2006/customXml" ds:itemID="{f0c7df9f-aaff-44d3-89e4-d8f2cd6b3552}">
  <ds:schemaRefs/>
</ds:datastoreItem>
</file>

<file path=customXml/itemProps59.xml><?xml version="1.0" encoding="utf-8"?>
<ds:datastoreItem xmlns:ds="http://schemas.openxmlformats.org/officeDocument/2006/customXml" ds:itemID="{e2a26ec3-e260-4c88-85f9-0797c2977e03}">
  <ds:schemaRefs/>
</ds:datastoreItem>
</file>

<file path=customXml/itemProps6.xml><?xml version="1.0" encoding="utf-8"?>
<ds:datastoreItem xmlns:ds="http://schemas.openxmlformats.org/officeDocument/2006/customXml" ds:itemID="{b921c36f-b925-4a04-a95e-cde4275ac6a5}">
  <ds:schemaRefs/>
</ds:datastoreItem>
</file>

<file path=customXml/itemProps60.xml><?xml version="1.0" encoding="utf-8"?>
<ds:datastoreItem xmlns:ds="http://schemas.openxmlformats.org/officeDocument/2006/customXml" ds:itemID="{650d760f-9090-4a16-84ef-0f415df1cdab}">
  <ds:schemaRefs/>
</ds:datastoreItem>
</file>

<file path=customXml/itemProps61.xml><?xml version="1.0" encoding="utf-8"?>
<ds:datastoreItem xmlns:ds="http://schemas.openxmlformats.org/officeDocument/2006/customXml" ds:itemID="{d57f3246-34ca-49ea-9dd0-92f1040b5a1f}">
  <ds:schemaRefs/>
</ds:datastoreItem>
</file>

<file path=customXml/itemProps62.xml><?xml version="1.0" encoding="utf-8"?>
<ds:datastoreItem xmlns:ds="http://schemas.openxmlformats.org/officeDocument/2006/customXml" ds:itemID="{bb723b49-95e2-48ff-b1ee-09d27a81c917}">
  <ds:schemaRefs/>
</ds:datastoreItem>
</file>

<file path=customXml/itemProps63.xml><?xml version="1.0" encoding="utf-8"?>
<ds:datastoreItem xmlns:ds="http://schemas.openxmlformats.org/officeDocument/2006/customXml" ds:itemID="{41c616d2-18d4-40d7-9e2b-0a84d8190ef7}">
  <ds:schemaRefs/>
</ds:datastoreItem>
</file>

<file path=customXml/itemProps64.xml><?xml version="1.0" encoding="utf-8"?>
<ds:datastoreItem xmlns:ds="http://schemas.openxmlformats.org/officeDocument/2006/customXml" ds:itemID="{6ba2bb60-e094-48f4-b6e6-ce152a1338b7}">
  <ds:schemaRefs/>
</ds:datastoreItem>
</file>

<file path=customXml/itemProps65.xml><?xml version="1.0" encoding="utf-8"?>
<ds:datastoreItem xmlns:ds="http://schemas.openxmlformats.org/officeDocument/2006/customXml" ds:itemID="{cab21b05-6942-4c5e-8e34-269a19d02e95}">
  <ds:schemaRefs/>
</ds:datastoreItem>
</file>

<file path=customXml/itemProps66.xml><?xml version="1.0" encoding="utf-8"?>
<ds:datastoreItem xmlns:ds="http://schemas.openxmlformats.org/officeDocument/2006/customXml" ds:itemID="{3a161bb0-8c3a-4e35-b429-e4b8fa96d40b}">
  <ds:schemaRefs/>
</ds:datastoreItem>
</file>

<file path=customXml/itemProps67.xml><?xml version="1.0" encoding="utf-8"?>
<ds:datastoreItem xmlns:ds="http://schemas.openxmlformats.org/officeDocument/2006/customXml" ds:itemID="{72a66556-e72d-4f2b-9b18-79d7e2ba1654}">
  <ds:schemaRefs/>
</ds:datastoreItem>
</file>

<file path=customXml/itemProps68.xml><?xml version="1.0" encoding="utf-8"?>
<ds:datastoreItem xmlns:ds="http://schemas.openxmlformats.org/officeDocument/2006/customXml" ds:itemID="{a29069a7-7e89-4a18-ba4b-7106cbb03c58}">
  <ds:schemaRefs/>
</ds:datastoreItem>
</file>

<file path=customXml/itemProps69.xml><?xml version="1.0" encoding="utf-8"?>
<ds:datastoreItem xmlns:ds="http://schemas.openxmlformats.org/officeDocument/2006/customXml" ds:itemID="{fef9ce52-67a0-4e93-8668-10c8864353c8}">
  <ds:schemaRefs/>
</ds:datastoreItem>
</file>

<file path=customXml/itemProps7.xml><?xml version="1.0" encoding="utf-8"?>
<ds:datastoreItem xmlns:ds="http://schemas.openxmlformats.org/officeDocument/2006/customXml" ds:itemID="{4fa8307f-0f91-4986-b910-6f09522e8812}">
  <ds:schemaRefs/>
</ds:datastoreItem>
</file>

<file path=customXml/itemProps70.xml><?xml version="1.0" encoding="utf-8"?>
<ds:datastoreItem xmlns:ds="http://schemas.openxmlformats.org/officeDocument/2006/customXml" ds:itemID="{12c44486-e19a-44f4-a49f-fdd57d2a6674}">
  <ds:schemaRefs/>
</ds:datastoreItem>
</file>

<file path=customXml/itemProps71.xml><?xml version="1.0" encoding="utf-8"?>
<ds:datastoreItem xmlns:ds="http://schemas.openxmlformats.org/officeDocument/2006/customXml" ds:itemID="{a68bc4de-f431-407b-b5d1-4981392e9d82}">
  <ds:schemaRefs/>
</ds:datastoreItem>
</file>

<file path=customXml/itemProps72.xml><?xml version="1.0" encoding="utf-8"?>
<ds:datastoreItem xmlns:ds="http://schemas.openxmlformats.org/officeDocument/2006/customXml" ds:itemID="{f38e547e-9a91-4600-95bb-4a237fc626e0}">
  <ds:schemaRefs/>
</ds:datastoreItem>
</file>

<file path=customXml/itemProps73.xml><?xml version="1.0" encoding="utf-8"?>
<ds:datastoreItem xmlns:ds="http://schemas.openxmlformats.org/officeDocument/2006/customXml" ds:itemID="{f4228f85-8d5b-4328-af26-051089cb9a8c}">
  <ds:schemaRefs/>
</ds:datastoreItem>
</file>

<file path=customXml/itemProps74.xml><?xml version="1.0" encoding="utf-8"?>
<ds:datastoreItem xmlns:ds="http://schemas.openxmlformats.org/officeDocument/2006/customXml" ds:itemID="{c072aaca-d1c5-4e15-b15e-a175904fe040}">
  <ds:schemaRefs/>
</ds:datastoreItem>
</file>

<file path=customXml/itemProps75.xml><?xml version="1.0" encoding="utf-8"?>
<ds:datastoreItem xmlns:ds="http://schemas.openxmlformats.org/officeDocument/2006/customXml" ds:itemID="{65e4a8d8-b268-4a60-9858-647614edc412}">
  <ds:schemaRefs/>
</ds:datastoreItem>
</file>

<file path=customXml/itemProps76.xml><?xml version="1.0" encoding="utf-8"?>
<ds:datastoreItem xmlns:ds="http://schemas.openxmlformats.org/officeDocument/2006/customXml" ds:itemID="{e7976418-fb47-414d-ae13-d9a9ca9e2df3}">
  <ds:schemaRefs/>
</ds:datastoreItem>
</file>

<file path=customXml/itemProps77.xml><?xml version="1.0" encoding="utf-8"?>
<ds:datastoreItem xmlns:ds="http://schemas.openxmlformats.org/officeDocument/2006/customXml" ds:itemID="{f4b4639b-fecf-48bf-8bd0-bf4e3f158b89}">
  <ds:schemaRefs/>
</ds:datastoreItem>
</file>

<file path=customXml/itemProps78.xml><?xml version="1.0" encoding="utf-8"?>
<ds:datastoreItem xmlns:ds="http://schemas.openxmlformats.org/officeDocument/2006/customXml" ds:itemID="{83198ef8-3b6d-49ce-bd71-e046e27c3e8c}">
  <ds:schemaRefs/>
</ds:datastoreItem>
</file>

<file path=customXml/itemProps79.xml><?xml version="1.0" encoding="utf-8"?>
<ds:datastoreItem xmlns:ds="http://schemas.openxmlformats.org/officeDocument/2006/customXml" ds:itemID="{ee8a6282-a55b-44c2-9ec5-2b1d83af504f}">
  <ds:schemaRefs/>
</ds:datastoreItem>
</file>

<file path=customXml/itemProps8.xml><?xml version="1.0" encoding="utf-8"?>
<ds:datastoreItem xmlns:ds="http://schemas.openxmlformats.org/officeDocument/2006/customXml" ds:itemID="{7e460593-67b3-437d-b8d2-fb273f01fea1}">
  <ds:schemaRefs/>
</ds:datastoreItem>
</file>

<file path=customXml/itemProps80.xml><?xml version="1.0" encoding="utf-8"?>
<ds:datastoreItem xmlns:ds="http://schemas.openxmlformats.org/officeDocument/2006/customXml" ds:itemID="{d2f7e73e-36be-4da1-a687-6fed39a4ce16}">
  <ds:schemaRefs/>
</ds:datastoreItem>
</file>

<file path=customXml/itemProps81.xml><?xml version="1.0" encoding="utf-8"?>
<ds:datastoreItem xmlns:ds="http://schemas.openxmlformats.org/officeDocument/2006/customXml" ds:itemID="{8e6acadd-2078-4441-a585-e4ef8a713d14}">
  <ds:schemaRefs/>
</ds:datastoreItem>
</file>

<file path=customXml/itemProps82.xml><?xml version="1.0" encoding="utf-8"?>
<ds:datastoreItem xmlns:ds="http://schemas.openxmlformats.org/officeDocument/2006/customXml" ds:itemID="{354382ef-88b1-4496-a579-3260b52220e8}">
  <ds:schemaRefs/>
</ds:datastoreItem>
</file>

<file path=customXml/itemProps83.xml><?xml version="1.0" encoding="utf-8"?>
<ds:datastoreItem xmlns:ds="http://schemas.openxmlformats.org/officeDocument/2006/customXml" ds:itemID="{35a921d6-d6bd-454b-bece-00896fa1eb1b}">
  <ds:schemaRefs/>
</ds:datastoreItem>
</file>

<file path=customXml/itemProps84.xml><?xml version="1.0" encoding="utf-8"?>
<ds:datastoreItem xmlns:ds="http://schemas.openxmlformats.org/officeDocument/2006/customXml" ds:itemID="{2335ef67-a387-40d6-8659-4a7f54e9753d}">
  <ds:schemaRefs/>
</ds:datastoreItem>
</file>

<file path=customXml/itemProps85.xml><?xml version="1.0" encoding="utf-8"?>
<ds:datastoreItem xmlns:ds="http://schemas.openxmlformats.org/officeDocument/2006/customXml" ds:itemID="{c3ad43b8-42a2-46ab-8834-3e232bcfc762}">
  <ds:schemaRefs/>
</ds:datastoreItem>
</file>

<file path=customXml/itemProps86.xml><?xml version="1.0" encoding="utf-8"?>
<ds:datastoreItem xmlns:ds="http://schemas.openxmlformats.org/officeDocument/2006/customXml" ds:itemID="{f157a1a9-9630-487a-af43-9a99ee20a950}">
  <ds:schemaRefs/>
</ds:datastoreItem>
</file>

<file path=customXml/itemProps87.xml><?xml version="1.0" encoding="utf-8"?>
<ds:datastoreItem xmlns:ds="http://schemas.openxmlformats.org/officeDocument/2006/customXml" ds:itemID="{c7ec9821-63a3-4c75-9023-dc0643080d1d}">
  <ds:schemaRefs/>
</ds:datastoreItem>
</file>

<file path=customXml/itemProps88.xml><?xml version="1.0" encoding="utf-8"?>
<ds:datastoreItem xmlns:ds="http://schemas.openxmlformats.org/officeDocument/2006/customXml" ds:itemID="{5117f034-8ec4-4bef-b2af-01a6ef48b748}">
  <ds:schemaRefs/>
</ds:datastoreItem>
</file>

<file path=customXml/itemProps89.xml><?xml version="1.0" encoding="utf-8"?>
<ds:datastoreItem xmlns:ds="http://schemas.openxmlformats.org/officeDocument/2006/customXml" ds:itemID="{f4af808a-6752-465c-a0a9-dbe757e6bcef}">
  <ds:schemaRefs/>
</ds:datastoreItem>
</file>

<file path=customXml/itemProps9.xml><?xml version="1.0" encoding="utf-8"?>
<ds:datastoreItem xmlns:ds="http://schemas.openxmlformats.org/officeDocument/2006/customXml" ds:itemID="{c65f2e6f-2636-4bc1-86b6-4ab4f7214837}">
  <ds:schemaRefs/>
</ds:datastoreItem>
</file>

<file path=customXml/itemProps90.xml><?xml version="1.0" encoding="utf-8"?>
<ds:datastoreItem xmlns:ds="http://schemas.openxmlformats.org/officeDocument/2006/customXml" ds:itemID="{dc98a32d-884a-492b-8dd2-cfa304d10ed9}">
  <ds:schemaRefs/>
</ds:datastoreItem>
</file>

<file path=customXml/itemProps91.xml><?xml version="1.0" encoding="utf-8"?>
<ds:datastoreItem xmlns:ds="http://schemas.openxmlformats.org/officeDocument/2006/customXml" ds:itemID="{3b2be97d-5b3b-4447-bead-63f29fd3369d}">
  <ds:schemaRefs/>
</ds:datastoreItem>
</file>

<file path=customXml/itemProps92.xml><?xml version="1.0" encoding="utf-8"?>
<ds:datastoreItem xmlns:ds="http://schemas.openxmlformats.org/officeDocument/2006/customXml" ds:itemID="{15ee0278-92a7-40dd-86a5-13d77c188a55}">
  <ds:schemaRefs/>
</ds:datastoreItem>
</file>

<file path=customXml/itemProps93.xml><?xml version="1.0" encoding="utf-8"?>
<ds:datastoreItem xmlns:ds="http://schemas.openxmlformats.org/officeDocument/2006/customXml" ds:itemID="{6e917ac2-d3db-48ab-af17-dcbbbbb28c4c}">
  <ds:schemaRefs/>
</ds:datastoreItem>
</file>

<file path=customXml/itemProps94.xml><?xml version="1.0" encoding="utf-8"?>
<ds:datastoreItem xmlns:ds="http://schemas.openxmlformats.org/officeDocument/2006/customXml" ds:itemID="{78dfdd60-e347-4e88-97a0-07cf4668a7f7}">
  <ds:schemaRefs/>
</ds:datastoreItem>
</file>

<file path=customXml/itemProps95.xml><?xml version="1.0" encoding="utf-8"?>
<ds:datastoreItem xmlns:ds="http://schemas.openxmlformats.org/officeDocument/2006/customXml" ds:itemID="{500cc71e-553e-4f2e-a8f1-128fd115799b}">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2</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2023-03-08T18:25:00Z</dcterms:created>
  <dc:creator>lenovo</dc:creator>
  <cp:lastModifiedBy>Administrator</cp:lastModifiedBy>
  <cp:lastPrinted>2023-04-11T00:49:00Z</cp:lastPrinted>
  <dcterms:modified xsi:type="dcterms:W3CDTF">2024-03-19T07:29:43Z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