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70" w:lineRule="exact"/>
        <w:jc w:val="center"/>
        <w:outlineLvl w:val="0"/>
        <w:rPr>
          <w:rFonts w:hint="eastAsia" w:ascii="黑体" w:hAnsi="黑体" w:eastAsia="黑体" w:cs="黑体"/>
          <w:b w:val="0"/>
          <w:bCs/>
          <w:sz w:val="44"/>
        </w:rPr>
      </w:pPr>
      <w:r>
        <w:rPr>
          <w:rFonts w:hint="eastAsia" w:ascii="黑体" w:hAnsi="黑体" w:eastAsia="黑体" w:cs="黑体"/>
          <w:b w:val="0"/>
          <w:bCs/>
          <w:sz w:val="44"/>
        </w:rPr>
        <w:t>202</w:t>
      </w:r>
      <w:r>
        <w:rPr>
          <w:rFonts w:hint="eastAsia" w:ascii="黑体" w:hAnsi="黑体" w:eastAsia="黑体" w:cs="黑体"/>
          <w:b w:val="0"/>
          <w:bCs/>
          <w:sz w:val="44"/>
          <w:lang w:val="en-US" w:eastAsia="zh-CN"/>
        </w:rPr>
        <w:t>2</w:t>
      </w:r>
      <w:r>
        <w:rPr>
          <w:rFonts w:hint="eastAsia" w:ascii="黑体" w:hAnsi="黑体" w:eastAsia="黑体" w:cs="黑体"/>
          <w:b w:val="0"/>
          <w:bCs/>
          <w:sz w:val="44"/>
        </w:rPr>
        <w:t>年</w:t>
      </w:r>
      <w:r>
        <w:rPr>
          <w:rFonts w:hint="eastAsia" w:ascii="黑体" w:hAnsi="黑体" w:eastAsia="黑体" w:cs="黑体"/>
          <w:b w:val="0"/>
          <w:bCs/>
          <w:sz w:val="44"/>
          <w:lang w:eastAsia="zh-CN"/>
        </w:rPr>
        <w:t>本级</w:t>
      </w:r>
      <w:r>
        <w:rPr>
          <w:rFonts w:hint="eastAsia" w:ascii="黑体" w:hAnsi="黑体" w:eastAsia="黑体" w:cs="黑体"/>
          <w:b w:val="0"/>
          <w:bCs/>
          <w:sz w:val="44"/>
        </w:rPr>
        <w:t>预算信息公开目录</w:t>
      </w:r>
    </w:p>
    <w:p>
      <w:pPr>
        <w:keepNext w:val="0"/>
        <w:keepLines w:val="0"/>
        <w:pageBreakBefore w:val="0"/>
        <w:kinsoku/>
        <w:wordWrap/>
        <w:overflowPunct/>
        <w:topLinePunct w:val="0"/>
        <w:bidi w:val="0"/>
        <w:snapToGrid/>
        <w:spacing w:line="570" w:lineRule="exact"/>
        <w:jc w:val="center"/>
        <w:rPr>
          <w:rFonts w:ascii="Times New Roman" w:hAnsi="宋体" w:eastAsia="宋体" w:cs="Times New Roman"/>
          <w:b/>
          <w:sz w:val="30"/>
        </w:rPr>
      </w:pPr>
      <w:r>
        <w:rPr>
          <w:rFonts w:ascii="黑体" w:hAnsi="黑体" w:eastAsia="黑体" w:cs="Times New Roman"/>
          <w:b/>
          <w:sz w:val="30"/>
        </w:rPr>
        <w:t xml:space="preserve"> </w:t>
      </w:r>
    </w:p>
    <w:p>
      <w:pPr>
        <w:keepNext w:val="0"/>
        <w:keepLines w:val="0"/>
        <w:pageBreakBefore w:val="0"/>
        <w:kinsoku/>
        <w:wordWrap/>
        <w:overflowPunct/>
        <w:topLinePunct w:val="0"/>
        <w:bidi w:val="0"/>
        <w:snapToGrid/>
        <w:spacing w:line="570" w:lineRule="exact"/>
        <w:jc w:val="left"/>
        <w:rPr>
          <w:rFonts w:hint="eastAsia" w:ascii="方正楷体_GBK" w:hAnsi="Calibri" w:eastAsia="方正楷体_GBK" w:cs="Times New Roman"/>
          <w:b/>
          <w:sz w:val="28"/>
        </w:rPr>
      </w:pPr>
      <w:r>
        <w:rPr>
          <w:rFonts w:hint="eastAsia" w:ascii="方正楷体_GBK" w:eastAsia="方正楷体_GBK" w:cs="Times New Roman"/>
          <w:b/>
          <w:sz w:val="28"/>
          <w:lang w:eastAsia="zh-CN"/>
        </w:rPr>
        <w:t>本级</w:t>
      </w:r>
      <w:r>
        <w:rPr>
          <w:rFonts w:hint="eastAsia" w:ascii="方正楷体_GBK" w:hAnsi="Calibri" w:eastAsia="方正楷体_GBK" w:cs="Times New Roman"/>
          <w:b/>
          <w:sz w:val="28"/>
        </w:rPr>
        <w:t>预算公开表</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"_Toc68791536"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预算收支总表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1</w:t>
      </w:r>
      <w:r>
        <w:rPr>
          <w:rFonts w:hint="eastAsia" w:ascii="Times New Roman" w:hAnsi="Calibri" w:eastAsia="方正仿宋_GBK" w:cs="Times New Roman"/>
          <w:sz w:val="28"/>
        </w:rPr>
        <w:fldChar w:fldCharType="end"/>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"_Toc68791537"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预算收入总表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3</w:t>
      </w:r>
      <w:r>
        <w:rPr>
          <w:rFonts w:hint="eastAsia" w:ascii="Times New Roman" w:hAnsi="Calibri" w:eastAsia="方正仿宋_GBK" w:cs="Times New Roman"/>
          <w:sz w:val="28"/>
        </w:rPr>
        <w:fldChar w:fldCharType="end"/>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"_Toc68791538"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预算支出总表</w:t>
      </w:r>
      <w:r>
        <w:rPr>
          <w:rFonts w:hint="eastAsia" w:ascii="Times New Roman" w:hAnsi="Calibri" w:eastAsia="方正仿宋_GBK" w:cs="Times New Roman"/>
          <w:sz w:val="28"/>
        </w:rPr>
        <w:tab/>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5</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"_Toc68791539"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预算财政拨款收支总表</w:t>
      </w:r>
      <w:r>
        <w:rPr>
          <w:rFonts w:hint="eastAsia" w:ascii="Times New Roman" w:hAnsi="Calibri" w:eastAsia="方正仿宋_GBK" w:cs="Times New Roman"/>
          <w:sz w:val="28"/>
        </w:rPr>
        <w:tab/>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7</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"_Toc68791540"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预算一般公共预算财政拨款支出表</w:t>
      </w:r>
      <w:r>
        <w:rPr>
          <w:rFonts w:hint="eastAsia" w:ascii="Times New Roman" w:hAnsi="Calibri" w:eastAsia="方正仿宋_GBK" w:cs="Times New Roman"/>
          <w:sz w:val="28"/>
        </w:rPr>
        <w:tab/>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9</w:t>
      </w:r>
    </w:p>
    <w:p>
      <w:pPr>
        <w:pStyle w:val="6"/>
        <w:keepNext w:val="0"/>
        <w:keepLines w:val="0"/>
        <w:pageBreakBefore w:val="0"/>
        <w:tabs>
          <w:tab w:val="right" w:leader="dot" w:pos="14789"/>
        </w:tabs>
        <w:kinsoku/>
        <w:wordWrap/>
        <w:overflowPunct/>
        <w:topLinePunct w:val="0"/>
        <w:bidi w:val="0"/>
        <w:snapToGrid/>
        <w:spacing w:line="570" w:lineRule="exact"/>
        <w:jc w:val="center"/>
        <w:rPr>
          <w:rFonts w:hint="default"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"_Toc68791541"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预算一般公共预算财政拨款基本支出表</w:t>
      </w:r>
      <w:r>
        <w:rPr>
          <w:rFonts w:hint="eastAsia" w:ascii="Times New Roman" w:hAnsi="Calibri" w:eastAsia="方正仿宋_GBK" w:cs="Times New Roman"/>
          <w:sz w:val="28"/>
        </w:rPr>
        <w:tab/>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12</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"_Toc68791542"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预算政府基金预算财政拨款支出表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1</w:t>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5</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"_Toc68791543"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预算国有资本经营预算财政拨款支出表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1</w:t>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6</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"_Toc68791544" </w:instrText>
      </w:r>
      <w:r>
        <w:rPr>
          <w:rFonts w:hint="eastAsia" w:ascii="Times New Roman" w:hAnsi="Calibri" w:eastAsia="方正仿宋_GBK" w:cs="Times New Roman"/>
          <w:sz w:val="28"/>
        </w:rPr>
        <w:fldChar w:fldCharType="separate"/>
      </w:r>
      <w:r>
        <w:rPr>
          <w:rFonts w:hint="eastAsia" w:ascii="Times New Roman" w:cs="Times New Roman"/>
          <w:sz w:val="28"/>
          <w:lang w:eastAsia="zh-CN"/>
        </w:rPr>
        <w:t>本级</w:t>
      </w:r>
      <w:r>
        <w:rPr>
          <w:rFonts w:hint="eastAsia" w:ascii="Times New Roman" w:hAnsi="Calibri" w:eastAsia="方正仿宋_GBK" w:cs="Times New Roman"/>
          <w:sz w:val="28"/>
        </w:rPr>
        <w:t>预算财政拨款“三公”经费支出表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1</w:t>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7</w:t>
      </w:r>
    </w:p>
    <w:p>
      <w:pPr>
        <w:pStyle w:val="6"/>
        <w:keepNext w:val="0"/>
        <w:keepLines w:val="0"/>
        <w:pageBreakBefore w:val="0"/>
        <w:tabs>
          <w:tab w:val="right" w:leader="dot" w:pos="14789"/>
        </w:tabs>
        <w:kinsoku/>
        <w:wordWrap/>
        <w:overflowPunct/>
        <w:topLinePunct w:val="0"/>
        <w:bidi w:val="0"/>
        <w:snapToGrid/>
        <w:spacing w:line="570" w:lineRule="exact"/>
        <w:jc w:val="center"/>
        <w:rPr>
          <w:rFonts w:ascii="Times New Roman" w:hAnsi="宋体" w:eastAsia="宋体" w:cs="Times New Roman"/>
        </w:rPr>
      </w:pPr>
      <w:r>
        <w:rPr>
          <w:rFonts w:ascii="Times New Roman" w:hAnsi="Calibri" w:eastAsia="方正仿宋_GBK" w:cs="Times New Roman"/>
          <w:sz w:val="28"/>
        </w:rPr>
        <w:fldChar w:fldCharType="end"/>
      </w:r>
    </w:p>
    <w:p>
      <w:pPr>
        <w:keepNext w:val="0"/>
        <w:keepLines w:val="0"/>
        <w:pageBreakBefore w:val="0"/>
        <w:kinsoku/>
        <w:wordWrap/>
        <w:overflowPunct/>
        <w:topLinePunct w:val="0"/>
        <w:bidi w:val="0"/>
        <w:snapToGrid/>
        <w:spacing w:line="570" w:lineRule="exact"/>
        <w:jc w:val="left"/>
        <w:rPr>
          <w:rFonts w:hint="eastAsia" w:ascii="方正楷体_GBK" w:hAnsi="Calibri" w:eastAsia="方正楷体_GBK" w:cs="Times New Roman"/>
          <w:b/>
          <w:sz w:val="28"/>
        </w:rPr>
      </w:pPr>
      <w:r>
        <w:rPr>
          <w:rFonts w:hint="eastAsia" w:ascii="方正楷体_GBK" w:eastAsia="方正楷体_GBK" w:cs="Times New Roman"/>
          <w:b/>
          <w:sz w:val="28"/>
          <w:lang w:eastAsia="zh-CN"/>
        </w:rPr>
        <w:t>本级</w:t>
      </w:r>
      <w:r>
        <w:rPr>
          <w:rFonts w:hint="eastAsia" w:ascii="方正楷体_GBK" w:hAnsi="Calibri" w:eastAsia="方正楷体_GBK" w:cs="Times New Roman"/>
          <w:b/>
          <w:sz w:val="28"/>
        </w:rPr>
        <w:t>预算信息公开情况说明</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TOC \o "3-3" \h \z \u \t "-1"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"_Toc68791545"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一、</w:t>
      </w:r>
      <w:r>
        <w:rPr>
          <w:rStyle w:val="10"/>
          <w:rFonts w:hint="eastAsia" w:ascii="Times New Roman" w:eastAsia="方正仿宋_GBK" w:cs="Times New Roman"/>
          <w:sz w:val="28"/>
          <w:u w:val="none"/>
          <w:lang w:val="en-US" w:eastAsia="zh-CN"/>
        </w:rPr>
        <w:t>本级</w:t>
      </w:r>
      <w:r>
        <w:rPr>
          <w:rStyle w:val="10"/>
          <w:rFonts w:hint="eastAsia" w:ascii="Times New Roman" w:hAnsi="Calibri" w:eastAsia="方正仿宋_GBK" w:cs="Times New Roman"/>
          <w:sz w:val="28"/>
          <w:u w:val="none"/>
          <w:lang w:val="en-US" w:eastAsia="zh-CN"/>
        </w:rPr>
        <w:t>职责及机构设置情况</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t>1</w:t>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hAnsi="Calibri" w:eastAsia="方正仿宋_GBK" w:cs="Times New Roman"/>
          <w:sz w:val="28"/>
          <w:u w:val="none"/>
          <w:lang w:val="en-US" w:eastAsia="zh-CN"/>
        </w:rPr>
        <w:t>8</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"_Toc68791546"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二、</w:t>
      </w:r>
      <w:r>
        <w:rPr>
          <w:rStyle w:val="10"/>
          <w:rFonts w:hint="eastAsia" w:ascii="Times New Roman" w:eastAsia="方正仿宋_GBK" w:cs="Times New Roman"/>
          <w:sz w:val="28"/>
          <w:u w:val="none"/>
          <w:lang w:val="en-US" w:eastAsia="zh-CN"/>
        </w:rPr>
        <w:t>本级</w:t>
      </w:r>
      <w:r>
        <w:rPr>
          <w:rStyle w:val="10"/>
          <w:rFonts w:hint="eastAsia" w:ascii="Times New Roman" w:hAnsi="Calibri" w:eastAsia="方正仿宋_GBK" w:cs="Times New Roman"/>
          <w:sz w:val="28"/>
          <w:u w:val="none"/>
          <w:lang w:val="en-US" w:eastAsia="zh-CN"/>
        </w:rPr>
        <w:t>预算安排的总体情况</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hAnsi="Calibri" w:eastAsia="方正仿宋_GBK" w:cs="Times New Roman"/>
          <w:sz w:val="28"/>
          <w:u w:val="none"/>
          <w:lang w:val="en-US" w:eastAsia="zh-CN"/>
        </w:rPr>
        <w:t>22</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eastAsia" w:ascii="Times New Roman" w:hAnsi="Calibri" w:eastAsia="方正仿宋_GBK" w:cs="Times New Roman"/>
          <w:sz w:val="28"/>
          <w:u w:val="none"/>
          <w:lang w:val="en-US" w:eastAsia="zh-CN"/>
        </w:rPr>
        <w:sectPr>
          <w:footerReference r:id="rId3" w:type="default"/>
          <w:pgSz w:w="16839" w:h="11907" w:orient="landscape"/>
          <w:pgMar w:top="680" w:right="1020" w:bottom="680" w:left="1020" w:header="851" w:footer="992" w:gutter="0"/>
          <w:cols w:space="720" w:num="1"/>
          <w:docGrid w:type="lines" w:linePitch="312" w:charSpace="0"/>
        </w:sectPr>
      </w:pP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"_Toc68791547"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三、机关运行经费安排情况</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t>2</w:t>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4</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"_Toc68791548"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四、财政拨款“三公”经费预算情况及增减变化原因</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t>2</w:t>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4</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"_Toc68791549"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五、预算绩效信息</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t>2</w:t>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5</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"_Toc68791550"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六、政府采购预算情况</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111</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"_Toc68791551"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七、国有资产信息</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112</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"_Toc68791552"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八、名词解释</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113</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"_Toc68791553"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九、其他需要说明的事项</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114</w:t>
      </w:r>
    </w:p>
    <w:p>
      <w:pPr>
        <w:pStyle w:val="6"/>
        <w:keepNext w:val="0"/>
        <w:keepLines w:val="0"/>
        <w:pageBreakBefore w:val="0"/>
        <w:tabs>
          <w:tab w:val="right" w:leader="dot" w:pos="14789"/>
        </w:tabs>
        <w:kinsoku/>
        <w:wordWrap/>
        <w:overflowPunct/>
        <w:topLinePunct w:val="0"/>
        <w:bidi w:val="0"/>
        <w:snapToGrid/>
        <w:spacing w:line="570" w:lineRule="exact"/>
        <w:jc w:val="center"/>
        <w:rPr>
          <w:rFonts w:ascii="Times New Roman" w:hAnsi="宋体" w:eastAsia="宋体" w:cs="Times New Roman"/>
        </w:rPr>
      </w:pPr>
      <w:r>
        <w:rPr>
          <w:rStyle w:val="10"/>
          <w:rFonts w:hint="eastAsia" w:ascii="Times New Roman" w:hAnsi="Calibri" w:eastAsia="方正仿宋_GBK" w:cs="Times New Roman"/>
          <w:sz w:val="28"/>
          <w:u w:val="none"/>
          <w:lang w:val="en-US" w:eastAsia="zh-CN"/>
        </w:rPr>
        <w:fldChar w:fldCharType="end"/>
      </w:r>
    </w:p>
    <w:p>
      <w:pPr>
        <w:pStyle w:val="5"/>
        <w:keepNext w:val="0"/>
        <w:keepLines w:val="0"/>
        <w:pageBreakBefore w:val="0"/>
        <w:tabs>
          <w:tab w:val="right" w:leader="dot" w:pos="14789"/>
        </w:tabs>
        <w:kinsoku/>
        <w:wordWrap/>
        <w:overflowPunct/>
        <w:topLinePunct w:val="0"/>
        <w:bidi w:val="0"/>
        <w:snapToGrid/>
        <w:spacing w:line="570" w:lineRule="exact"/>
        <w:ind w:left="420" w:leftChars="200"/>
        <w:jc w:val="center"/>
        <w:rPr>
          <w:rFonts w:ascii="Times New Roman" w:hAnsi="Calibri" w:eastAsia="方正仿宋_GBK" w:cs="Times New Roman"/>
          <w:sz w:val="28"/>
        </w:rPr>
      </w:pPr>
    </w:p>
    <w:p>
      <w:pPr>
        <w:keepNext w:val="0"/>
        <w:keepLines w:val="0"/>
        <w:pageBreakBefore w:val="0"/>
        <w:kinsoku/>
        <w:wordWrap/>
        <w:overflowPunct/>
        <w:topLinePunct w:val="0"/>
        <w:bidi w:val="0"/>
        <w:snapToGrid/>
        <w:spacing w:line="570" w:lineRule="exact"/>
        <w:ind w:left="420" w:leftChars="200"/>
        <w:jc w:val="center"/>
        <w:rPr>
          <w:rFonts w:ascii="Times New Roman" w:hAnsi="宋体" w:eastAsia="宋体" w:cs="Times New Roman"/>
        </w:rPr>
      </w:pPr>
    </w:p>
    <w:p>
      <w:pPr>
        <w:keepNext w:val="0"/>
        <w:keepLines w:val="0"/>
        <w:pageBreakBefore w:val="0"/>
        <w:kinsoku/>
        <w:wordWrap/>
        <w:overflowPunct/>
        <w:topLinePunct w:val="0"/>
        <w:bidi w:val="0"/>
        <w:snapToGrid/>
        <w:spacing w:line="570" w:lineRule="exact"/>
        <w:jc w:val="center"/>
        <w:rPr>
          <w:rFonts w:ascii="Calibri" w:hAnsi="Calibri" w:eastAsia="宋体" w:cs="Times New Roman"/>
        </w:rPr>
      </w:pPr>
      <w:r>
        <w:rPr>
          <w:rFonts w:ascii="方正小标宋_GBK" w:hAnsi="Calibri" w:eastAsia="方正小标宋_GBK" w:cs="Times New Roman"/>
          <w:sz w:val="44"/>
        </w:rPr>
        <w:t xml:space="preserve"> </w:t>
      </w:r>
    </w:p>
    <w:p>
      <w:pPr>
        <w:keepNext w:val="0"/>
        <w:keepLines w:val="0"/>
        <w:pageBreakBefore w:val="0"/>
        <w:kinsoku/>
        <w:wordWrap/>
        <w:overflowPunct/>
        <w:topLinePunct w:val="0"/>
        <w:bidi w:val="0"/>
        <w:snapToGrid/>
        <w:spacing w:line="570" w:lineRule="exact"/>
        <w:ind w:firstLine="560" w:firstLineChars="200"/>
        <w:jc w:val="left"/>
        <w:rPr>
          <w:rFonts w:ascii="Times New Roman" w:hAnsi="Calibri" w:eastAsia="方正仿宋_GBK" w:cs="Times New Roman"/>
          <w:sz w:val="28"/>
        </w:rPr>
      </w:pPr>
    </w:p>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lang w:eastAsia="zh-CN"/>
        </w:rPr>
      </w:pPr>
    </w:p>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lang w:eastAsia="zh-CN"/>
        </w:rPr>
      </w:pPr>
    </w:p>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lang w:eastAsia="zh-CN"/>
        </w:rPr>
        <w:sectPr>
          <w:footerReference r:id="rId4" w:type="default"/>
          <w:pgSz w:w="16839" w:h="11907" w:orient="landscape"/>
          <w:pgMar w:top="680" w:right="1020" w:bottom="680" w:left="1020" w:header="851" w:footer="992" w:gutter="0"/>
          <w:pgNumType w:fmt="decimal" w:start="1"/>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1-1</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预算收支总表</w:t>
      </w:r>
    </w:p>
    <w:p>
      <w:pPr>
        <w:keepNext w:val="0"/>
        <w:keepLines w:val="0"/>
        <w:pageBreakBefore w:val="0"/>
        <w:kinsoku/>
        <w:wordWrap/>
        <w:overflowPunct/>
        <w:topLinePunct w:val="0"/>
        <w:bidi w:val="0"/>
        <w:snapToGrid/>
        <w:spacing w:line="570" w:lineRule="exact"/>
        <w:ind w:firstLine="280" w:firstLineChars="100"/>
        <w:jc w:val="both"/>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预算年度：2022</w:t>
      </w:r>
      <w:r>
        <w:rPr>
          <w:rStyle w:val="10"/>
          <w:rFonts w:hint="eastAsia" w:ascii="方正仿宋简体" w:hAnsi="方正仿宋简体" w:eastAsia="方正仿宋简体" w:cs="方正仿宋简体"/>
          <w:color w:val="auto"/>
          <w:sz w:val="28"/>
          <w:szCs w:val="28"/>
          <w:u w:val="none"/>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keepNext w:val="0"/>
              <w:keepLines w:val="0"/>
              <w:pageBreakBefore w:val="0"/>
              <w:tabs>
                <w:tab w:val="left" w:pos="453"/>
              </w:tabs>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5790" w:type="dxa"/>
            <w:gridSpan w:val="2"/>
            <w:noWrap w:val="0"/>
            <w:vAlign w:val="center"/>
          </w:tcPr>
          <w:p>
            <w:pPr>
              <w:keepNext w:val="0"/>
              <w:keepLines w:val="0"/>
              <w:pageBreakBefore w:val="0"/>
              <w:kinsoku/>
              <w:wordWrap/>
              <w:overflowPunct/>
              <w:topLinePunct w:val="0"/>
              <w:bidi w:val="0"/>
              <w:snapToGrid/>
              <w:spacing w:line="570" w:lineRule="exact"/>
              <w:ind w:firstLine="1680" w:firstLineChars="600"/>
              <w:jc w:val="both"/>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收</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入</w:t>
            </w:r>
          </w:p>
        </w:tc>
        <w:tc>
          <w:tcPr>
            <w:tcW w:w="7714" w:type="dxa"/>
            <w:gridSpan w:val="2"/>
            <w:noWrap w:val="0"/>
            <w:vAlign w:val="center"/>
          </w:tcPr>
          <w:p>
            <w:pPr>
              <w:keepNext w:val="0"/>
              <w:keepLines w:val="0"/>
              <w:pageBreakBefore w:val="0"/>
              <w:kinsoku/>
              <w:wordWrap/>
              <w:overflowPunct/>
              <w:topLinePunct w:val="0"/>
              <w:bidi w:val="0"/>
              <w:snapToGrid/>
              <w:spacing w:line="570" w:lineRule="exact"/>
              <w:ind w:firstLine="2240" w:firstLineChars="800"/>
              <w:jc w:val="both"/>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支</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4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项  目</w:t>
            </w:r>
          </w:p>
        </w:tc>
        <w:tc>
          <w:tcPr>
            <w:tcW w:w="153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预算数</w:t>
            </w:r>
          </w:p>
        </w:tc>
        <w:tc>
          <w:tcPr>
            <w:tcW w:w="549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项  目</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sz w:val="28"/>
                <w:szCs w:val="28"/>
              </w:rPr>
              <w:t>栏</w:t>
            </w:r>
            <w:r>
              <w:rPr>
                <w:rStyle w:val="10"/>
                <w:rFonts w:hint="eastAsia" w:ascii="方正仿宋简体" w:hAnsi="方正仿宋简体" w:eastAsia="方正仿宋简体" w:cs="方正仿宋简体"/>
                <w:color w:val="auto"/>
                <w:sz w:val="28"/>
                <w:szCs w:val="28"/>
                <w:u w:val="none"/>
                <w:lang w:eastAsia="zh-CN"/>
              </w:rPr>
              <w:t>次</w:t>
            </w:r>
          </w:p>
        </w:tc>
        <w:tc>
          <w:tcPr>
            <w:tcW w:w="4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53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549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一、一般公共预算拨款收入</w:t>
            </w:r>
          </w:p>
        </w:tc>
        <w:tc>
          <w:tcPr>
            <w:tcW w:w="153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12964.86</w:t>
            </w: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一、一般公共服务支出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二、政府性基金预算拨款收入</w:t>
            </w:r>
          </w:p>
        </w:tc>
        <w:tc>
          <w:tcPr>
            <w:tcW w:w="153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10839.00</w:t>
            </w: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二、外交支出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三、国有资本经营预算拨款收入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三、国防支出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四、财政专户管理资金收入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四、公共安全支出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五、事业收入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五、教育支出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六、事业单位经营收入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六、科学技术支出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七、上级补助收入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七、文化旅游体育与传媒支出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八、附属单位上缴收入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八、社会保障和就业支出</w:t>
            </w:r>
          </w:p>
        </w:tc>
        <w:tc>
          <w:tcPr>
            <w:tcW w:w="2219"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886.25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九、其他收入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九</w:t>
            </w:r>
            <w:r>
              <w:rPr>
                <w:rStyle w:val="10"/>
                <w:rFonts w:hint="eastAsia" w:ascii="方正仿宋简体" w:hAnsi="方正仿宋简体" w:eastAsia="方正仿宋简体" w:cs="方正仿宋简体"/>
                <w:color w:val="auto"/>
                <w:sz w:val="28"/>
                <w:szCs w:val="28"/>
                <w:u w:val="none"/>
              </w:rPr>
              <w:t>、卫生健康支出</w:t>
            </w:r>
          </w:p>
        </w:tc>
        <w:tc>
          <w:tcPr>
            <w:tcW w:w="2219"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rPr>
              <w:t>十、节能环保支出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rPr>
              <w:t>十</w:t>
            </w:r>
            <w:r>
              <w:rPr>
                <w:rStyle w:val="10"/>
                <w:rFonts w:hint="eastAsia" w:ascii="方正仿宋简体" w:hAnsi="方正仿宋简体" w:eastAsia="方正仿宋简体" w:cs="方正仿宋简体"/>
                <w:color w:val="auto"/>
                <w:sz w:val="28"/>
                <w:szCs w:val="28"/>
                <w:u w:val="none"/>
                <w:lang w:eastAsia="zh-CN"/>
              </w:rPr>
              <w:t>一</w:t>
            </w:r>
            <w:r>
              <w:rPr>
                <w:rStyle w:val="10"/>
                <w:rFonts w:hint="eastAsia" w:ascii="方正仿宋简体" w:hAnsi="方正仿宋简体" w:eastAsia="方正仿宋简体" w:cs="方正仿宋简体"/>
                <w:color w:val="auto"/>
                <w:sz w:val="28"/>
                <w:szCs w:val="28"/>
                <w:u w:val="none"/>
              </w:rPr>
              <w:t>、城乡社区支出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12</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rPr>
              <w:t>十</w:t>
            </w:r>
            <w:r>
              <w:rPr>
                <w:rStyle w:val="10"/>
                <w:rFonts w:hint="eastAsia" w:ascii="方正仿宋简体" w:hAnsi="方正仿宋简体" w:eastAsia="方正仿宋简体" w:cs="方正仿宋简体"/>
                <w:color w:val="auto"/>
                <w:sz w:val="28"/>
                <w:szCs w:val="28"/>
                <w:u w:val="none"/>
                <w:lang w:eastAsia="zh-CN"/>
              </w:rPr>
              <w:t>二</w:t>
            </w:r>
            <w:r>
              <w:rPr>
                <w:rStyle w:val="10"/>
                <w:rFonts w:hint="eastAsia" w:ascii="方正仿宋简体" w:hAnsi="方正仿宋简体" w:eastAsia="方正仿宋简体" w:cs="方正仿宋简体"/>
                <w:color w:val="auto"/>
                <w:sz w:val="28"/>
                <w:szCs w:val="28"/>
                <w:u w:val="none"/>
              </w:rPr>
              <w:t>、农林水支出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13</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rPr>
              <w:t>十</w:t>
            </w:r>
            <w:r>
              <w:rPr>
                <w:rStyle w:val="10"/>
                <w:rFonts w:hint="eastAsia" w:ascii="方正仿宋简体" w:hAnsi="方正仿宋简体" w:eastAsia="方正仿宋简体" w:cs="方正仿宋简体"/>
                <w:color w:val="auto"/>
                <w:sz w:val="28"/>
                <w:szCs w:val="28"/>
                <w:u w:val="none"/>
                <w:lang w:eastAsia="zh-CN"/>
              </w:rPr>
              <w:t>三</w:t>
            </w:r>
            <w:r>
              <w:rPr>
                <w:rStyle w:val="10"/>
                <w:rFonts w:hint="eastAsia" w:ascii="方正仿宋简体" w:hAnsi="方正仿宋简体" w:eastAsia="方正仿宋简体" w:cs="方正仿宋简体"/>
                <w:color w:val="auto"/>
                <w:sz w:val="28"/>
                <w:szCs w:val="28"/>
                <w:u w:val="none"/>
              </w:rPr>
              <w:t>、交通运输支出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22194.31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pageBreakBefore w:val="0"/>
              <w:tabs>
                <w:tab w:val="left" w:pos="498"/>
              </w:tabs>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sz w:val="28"/>
                <w:szCs w:val="28"/>
              </w:rPr>
              <w:t>栏</w:t>
            </w:r>
            <w:r>
              <w:rPr>
                <w:rStyle w:val="10"/>
                <w:rFonts w:hint="eastAsia" w:ascii="方正仿宋简体" w:hAnsi="方正仿宋简体" w:eastAsia="方正仿宋简体" w:cs="方正仿宋简体"/>
                <w:color w:val="auto"/>
                <w:sz w:val="28"/>
                <w:szCs w:val="28"/>
                <w:u w:val="none"/>
                <w:lang w:eastAsia="zh-CN"/>
              </w:rPr>
              <w:t>次</w:t>
            </w:r>
          </w:p>
        </w:tc>
        <w:tc>
          <w:tcPr>
            <w:tcW w:w="4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53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549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14</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十四、资源勘探工业信息等支出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15</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十五、商业服务业等支出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16</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十六、金融支出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17</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十七、援助其他地区支出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18</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十八、自然资源海洋气象等支出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19</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十九、住房保障支出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422.66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20</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二十、粮油物资储备支出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21</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二十一、国有资本经营预算支出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22</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二十二、灾害防治及应急管理支出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23</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二十三、债务还本支出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24</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二十四、债务付息支出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25</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二十五、债务发行费用支出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26</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rPr>
              <w:t>二十六、</w:t>
            </w:r>
            <w:r>
              <w:rPr>
                <w:rStyle w:val="10"/>
                <w:rFonts w:hint="eastAsia" w:ascii="方正仿宋简体" w:hAnsi="方正仿宋简体" w:eastAsia="方正仿宋简体" w:cs="方正仿宋简体"/>
                <w:color w:val="auto"/>
                <w:sz w:val="28"/>
                <w:szCs w:val="28"/>
                <w:u w:val="none"/>
                <w:lang w:eastAsia="zh-CN"/>
              </w:rPr>
              <w:t>其他支出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27</w:t>
            </w:r>
          </w:p>
        </w:tc>
        <w:tc>
          <w:tcPr>
            <w:tcW w:w="4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本年收入合计</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23803.86</w:t>
            </w:r>
          </w:p>
        </w:tc>
        <w:tc>
          <w:tcPr>
            <w:tcW w:w="5495"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本年支出合计</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23803.86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28</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上年结转结余</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年终结转结余</w:t>
            </w:r>
          </w:p>
        </w:tc>
        <w:tc>
          <w:tcPr>
            <w:tcW w:w="2219"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29</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收入总计</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23803.86</w:t>
            </w:r>
          </w:p>
        </w:tc>
        <w:tc>
          <w:tcPr>
            <w:tcW w:w="5495"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支出总计</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23803.86</w:t>
            </w:r>
          </w:p>
        </w:tc>
      </w:tr>
    </w:tbl>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1-2</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预算收入总表</w:t>
      </w: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990"/>
        <w:gridCol w:w="1107"/>
        <w:gridCol w:w="108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keepNext w:val="0"/>
              <w:keepLines w:val="0"/>
              <w:pageBreakBefore w:val="0"/>
              <w:tabs>
                <w:tab w:val="left" w:pos="243"/>
              </w:tabs>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3765"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120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8238" w:type="dxa"/>
            <w:gridSpan w:val="8"/>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本年收入</w:t>
            </w:r>
          </w:p>
        </w:tc>
        <w:tc>
          <w:tcPr>
            <w:tcW w:w="87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02"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功能科目编码</w:t>
            </w:r>
          </w:p>
        </w:tc>
        <w:tc>
          <w:tcPr>
            <w:tcW w:w="2463"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120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9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小计</w:t>
            </w:r>
          </w:p>
        </w:tc>
        <w:tc>
          <w:tcPr>
            <w:tcW w:w="110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财政拨款收入</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财政专户收入</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事业收入</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经营收入</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上级补助收入</w:t>
            </w:r>
          </w:p>
        </w:tc>
        <w:tc>
          <w:tcPr>
            <w:tcW w:w="134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附属单位上缴收入</w:t>
            </w:r>
          </w:p>
        </w:tc>
        <w:tc>
          <w:tcPr>
            <w:tcW w:w="91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其他收入</w:t>
            </w:r>
          </w:p>
        </w:tc>
        <w:tc>
          <w:tcPr>
            <w:tcW w:w="874"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302"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2463"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99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10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34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91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87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2080505</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机关事业单位基本养老保险缴费支出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2080506</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机关事业单位职业年金缴费支出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交通运输支出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22194.31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22194.31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22194.31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公路水路运输</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302"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2463"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120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99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1107"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34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91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87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12</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2140104</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公路建设</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13</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2140106</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公路养护</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14</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15</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车辆购置税用于农村公路建设支出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16</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车辆通行费安排的支出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17</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公路还贷</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18</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政府还贷公路养护</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19</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2146203</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政府还贷公路管理</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20</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2146299</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其他车辆通行费安排的支出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21</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22</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23</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2210201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1-3</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预算支出总表</w:t>
      </w:r>
    </w:p>
    <w:p>
      <w:pPr>
        <w:keepNext w:val="0"/>
        <w:keepLines w:val="0"/>
        <w:pageBreakBefore w:val="0"/>
        <w:kinsoku/>
        <w:wordWrap/>
        <w:overflowPunct/>
        <w:topLinePunct w:val="0"/>
        <w:bidi w:val="0"/>
        <w:snapToGrid/>
        <w:spacing w:line="570" w:lineRule="exact"/>
        <w:ind w:firstLine="280" w:firstLineChars="100"/>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keepNext w:val="0"/>
              <w:keepLines w:val="0"/>
              <w:pageBreakBefore w:val="0"/>
              <w:tabs>
                <w:tab w:val="left" w:pos="408"/>
              </w:tabs>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6210"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1455"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本年支出合计</w:t>
            </w:r>
          </w:p>
        </w:tc>
        <w:tc>
          <w:tcPr>
            <w:tcW w:w="141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基本支出</w:t>
            </w:r>
          </w:p>
        </w:tc>
        <w:tc>
          <w:tcPr>
            <w:tcW w:w="138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项目支出</w:t>
            </w:r>
          </w:p>
        </w:tc>
        <w:tc>
          <w:tcPr>
            <w:tcW w:w="96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经营支出</w:t>
            </w:r>
          </w:p>
        </w:tc>
        <w:tc>
          <w:tcPr>
            <w:tcW w:w="90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上缴上级支出</w:t>
            </w:r>
          </w:p>
        </w:tc>
        <w:tc>
          <w:tcPr>
            <w:tcW w:w="135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功能分类科目编码</w:t>
            </w:r>
          </w:p>
        </w:tc>
        <w:tc>
          <w:tcPr>
            <w:tcW w:w="484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1455"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41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8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6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0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54"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3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484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45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14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3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9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9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135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3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484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23803.86</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5730.74</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18073.12</w:t>
            </w:r>
          </w:p>
        </w:tc>
        <w:tc>
          <w:tcPr>
            <w:tcW w:w="9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kern w:val="2"/>
                <w:sz w:val="28"/>
                <w:szCs w:val="28"/>
                <w:u w:val="none"/>
                <w:lang w:val="en-US" w:eastAsia="zh-CN" w:bidi="ar-SA"/>
              </w:rPr>
              <w:t>2</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3</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4</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2080505</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机关事业单位基本养老保险缴费支出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5</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2080506</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机关事业单位职业年金缴费支出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6</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7</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8</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9</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交通运输支出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22194.31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18073.12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10</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公路水路运输</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7083.12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11</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60.78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eastAsia="zh-CN"/>
              </w:rPr>
              <w:t>栏次</w:t>
            </w:r>
          </w:p>
        </w:tc>
        <w:tc>
          <w:tcPr>
            <w:tcW w:w="136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484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145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141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138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c>
          <w:tcPr>
            <w:tcW w:w="96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6</w:t>
            </w:r>
          </w:p>
        </w:tc>
        <w:tc>
          <w:tcPr>
            <w:tcW w:w="90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7</w:t>
            </w:r>
          </w:p>
        </w:tc>
        <w:tc>
          <w:tcPr>
            <w:tcW w:w="1354"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12</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13</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2140104</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公路建设</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14</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2140106</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公路养护</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15</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16</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车辆购置税用于农村公路建设支出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17</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车辆通行费安排的支出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18</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公路还贷</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19</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政府还贷公路养护</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20</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2146203</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政府还贷公路管理</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color w:val="auto"/>
                <w:kern w:val="2"/>
                <w:sz w:val="28"/>
                <w:szCs w:val="28"/>
                <w:u w:val="none"/>
                <w:lang w:val="en-US" w:eastAsia="zh-CN" w:bidi="ar-SA"/>
              </w:rPr>
              <w:t>21</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2146299</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其他车辆通行费安排的支出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color w:val="auto"/>
                <w:kern w:val="2"/>
                <w:sz w:val="28"/>
                <w:szCs w:val="28"/>
                <w:u w:val="none"/>
                <w:lang w:val="en-US" w:eastAsia="zh-CN" w:bidi="ar-SA"/>
              </w:rPr>
              <w:t>22</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color w:val="auto"/>
                <w:kern w:val="2"/>
                <w:sz w:val="28"/>
                <w:szCs w:val="28"/>
                <w:u w:val="none"/>
                <w:lang w:val="en-US" w:eastAsia="zh-CN" w:bidi="ar-SA"/>
              </w:rPr>
              <w:t>23</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color w:val="auto"/>
                <w:kern w:val="2"/>
                <w:sz w:val="28"/>
                <w:szCs w:val="28"/>
                <w:u w:val="none"/>
                <w:lang w:val="en-US" w:eastAsia="zh-CN" w:bidi="ar-SA"/>
              </w:rPr>
              <w:t>24</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2210201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1-4</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3</w:t>
            </w:r>
            <w:r>
              <w:rPr>
                <w:rStyle w:val="10"/>
                <w:rFonts w:hint="eastAsia" w:ascii="方正仿宋简体" w:hAnsi="方正仿宋简体" w:eastAsia="方正仿宋简体" w:cs="方正仿宋简体"/>
                <w:color w:val="auto"/>
                <w:sz w:val="21"/>
                <w:szCs w:val="21"/>
                <w:u w:val="none"/>
                <w:lang w:val="en-US" w:eastAsia="zh-CN"/>
              </w:rPr>
              <w:t xml:space="preserve">48 </w:t>
            </w:r>
            <w:r>
              <w:rPr>
                <w:rStyle w:val="10"/>
                <w:rFonts w:hint="eastAsia" w:ascii="方正仿宋简体" w:hAnsi="方正仿宋简体" w:eastAsia="方正仿宋简体" w:cs="方正仿宋简体"/>
                <w:color w:val="auto"/>
                <w:sz w:val="21"/>
                <w:szCs w:val="21"/>
                <w:u w:val="none"/>
                <w:lang w:eastAsia="zh-CN"/>
              </w:rPr>
              <w:t>遵化市交通运输局</w:t>
            </w:r>
            <w:r>
              <w:rPr>
                <w:rStyle w:val="10"/>
                <w:rFonts w:hint="eastAsia" w:ascii="方正仿宋简体" w:hAnsi="方正仿宋简体" w:eastAsia="方正仿宋简体" w:cs="方正仿宋简体"/>
                <w:color w:val="auto"/>
                <w:sz w:val="21"/>
                <w:szCs w:val="21"/>
                <w:u w:val="none"/>
                <w:lang w:val="en-US" w:eastAsia="zh-CN"/>
              </w:rPr>
              <w:t xml:space="preserve">                    </w:t>
            </w:r>
            <w:r>
              <w:rPr>
                <w:rStyle w:val="10"/>
                <w:rFonts w:hint="eastAsia" w:ascii="方正仿宋简体" w:hAnsi="方正仿宋简体" w:eastAsia="方正仿宋简体" w:cs="方正仿宋简体"/>
                <w:color w:val="auto"/>
                <w:sz w:val="21"/>
                <w:szCs w:val="21"/>
                <w:u w:val="none"/>
                <w:lang w:eastAsia="zh-CN"/>
              </w:rPr>
              <w:t xml:space="preserve"> 预算年度：2022</w:t>
            </w:r>
            <w:r>
              <w:rPr>
                <w:rStyle w:val="10"/>
                <w:rFonts w:hint="eastAsia" w:ascii="方正仿宋简体" w:hAnsi="方正仿宋简体" w:eastAsia="方正仿宋简体" w:cs="方正仿宋简体"/>
                <w:color w:val="auto"/>
                <w:sz w:val="21"/>
                <w:szCs w:val="21"/>
                <w:u w:val="none"/>
                <w:lang w:eastAsia="zh-CN"/>
              </w:rPr>
              <w:tab/>
            </w:r>
            <w:r>
              <w:rPr>
                <w:rStyle w:val="10"/>
                <w:rFonts w:hint="eastAsia" w:ascii="方正仿宋简体" w:hAnsi="方正仿宋简体" w:eastAsia="方正仿宋简体" w:cs="方正仿宋简体"/>
                <w:color w:val="auto"/>
                <w:sz w:val="21"/>
                <w:szCs w:val="21"/>
                <w:u w:val="none"/>
                <w:lang w:eastAsia="zh-CN"/>
              </w:rPr>
              <w:t xml:space="preserve">                       </w:t>
            </w:r>
            <w:r>
              <w:rPr>
                <w:rStyle w:val="10"/>
                <w:rFonts w:hint="eastAsia" w:ascii="方正仿宋简体" w:hAnsi="方正仿宋简体" w:eastAsia="方正仿宋简体" w:cs="方正仿宋简体"/>
                <w:color w:val="auto"/>
                <w:sz w:val="21"/>
                <w:szCs w:val="21"/>
                <w:u w:val="none"/>
                <w:lang w:val="en-US" w:eastAsia="zh-CN"/>
              </w:rPr>
              <w:t xml:space="preserve">      </w:t>
            </w:r>
            <w:r>
              <w:rPr>
                <w:rStyle w:val="10"/>
                <w:rFonts w:hint="eastAsia" w:ascii="方正仿宋简体" w:hAnsi="方正仿宋简体" w:eastAsia="方正仿宋简体" w:cs="方正仿宋简体"/>
                <w:color w:val="auto"/>
                <w:sz w:val="21"/>
                <w:szCs w:val="21"/>
                <w:u w:val="none"/>
                <w:lang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序号</w:t>
            </w:r>
          </w:p>
        </w:tc>
        <w:tc>
          <w:tcPr>
            <w:tcW w:w="4785"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收</w:t>
            </w:r>
            <w:r>
              <w:rPr>
                <w:rStyle w:val="10"/>
                <w:rFonts w:hint="eastAsia" w:ascii="方正仿宋简体" w:hAnsi="方正仿宋简体" w:eastAsia="方正仿宋简体" w:cs="方正仿宋简体"/>
                <w:color w:val="auto"/>
                <w:sz w:val="21"/>
                <w:szCs w:val="21"/>
                <w:u w:val="none"/>
                <w:lang w:val="en-US" w:eastAsia="zh-CN"/>
              </w:rPr>
              <w:t xml:space="preserve">  </w:t>
            </w:r>
            <w:r>
              <w:rPr>
                <w:rStyle w:val="10"/>
                <w:rFonts w:hint="eastAsia" w:ascii="方正仿宋简体" w:hAnsi="方正仿宋简体" w:eastAsia="方正仿宋简体" w:cs="方正仿宋简体"/>
                <w:color w:val="auto"/>
                <w:sz w:val="21"/>
                <w:szCs w:val="21"/>
                <w:u w:val="none"/>
                <w:lang w:eastAsia="zh-CN"/>
              </w:rPr>
              <w:t>入</w:t>
            </w:r>
          </w:p>
        </w:tc>
        <w:tc>
          <w:tcPr>
            <w:tcW w:w="8854" w:type="dxa"/>
            <w:gridSpan w:val="5"/>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支</w:t>
            </w:r>
            <w:r>
              <w:rPr>
                <w:rStyle w:val="10"/>
                <w:rFonts w:hint="eastAsia" w:ascii="方正仿宋简体" w:hAnsi="方正仿宋简体" w:eastAsia="方正仿宋简体" w:cs="方正仿宋简体"/>
                <w:color w:val="auto"/>
                <w:sz w:val="21"/>
                <w:szCs w:val="21"/>
                <w:u w:val="none"/>
                <w:lang w:val="en-US" w:eastAsia="zh-CN"/>
              </w:rPr>
              <w:t xml:space="preserve">  </w:t>
            </w:r>
            <w:r>
              <w:rPr>
                <w:rStyle w:val="10"/>
                <w:rFonts w:hint="eastAsia" w:ascii="方正仿宋简体" w:hAnsi="方正仿宋简体" w:eastAsia="方正仿宋简体" w:cs="方正仿宋简体"/>
                <w:color w:val="auto"/>
                <w:sz w:val="21"/>
                <w:szCs w:val="21"/>
                <w:u w:val="none"/>
                <w:lang w:eastAsia="zh-CN"/>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35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项  目</w:t>
            </w:r>
          </w:p>
        </w:tc>
        <w:tc>
          <w:tcPr>
            <w:tcW w:w="1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金额</w:t>
            </w:r>
          </w:p>
        </w:tc>
        <w:tc>
          <w:tcPr>
            <w:tcW w:w="4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项  目</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合计</w:t>
            </w: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一般公共预算财政拨款</w:t>
            </w:r>
          </w:p>
        </w:tc>
        <w:tc>
          <w:tcPr>
            <w:tcW w:w="10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政府性基金预算财政拨款</w:t>
            </w:r>
          </w:p>
        </w:tc>
        <w:tc>
          <w:tcPr>
            <w:tcW w:w="133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栏次</w:t>
            </w:r>
          </w:p>
        </w:tc>
        <w:tc>
          <w:tcPr>
            <w:tcW w:w="35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1</w:t>
            </w:r>
          </w:p>
        </w:tc>
        <w:tc>
          <w:tcPr>
            <w:tcW w:w="1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2</w:t>
            </w:r>
          </w:p>
        </w:tc>
        <w:tc>
          <w:tcPr>
            <w:tcW w:w="4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3</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4</w:t>
            </w: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5</w:t>
            </w:r>
          </w:p>
        </w:tc>
        <w:tc>
          <w:tcPr>
            <w:tcW w:w="10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6</w:t>
            </w:r>
          </w:p>
        </w:tc>
        <w:tc>
          <w:tcPr>
            <w:tcW w:w="133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1</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一、一般公共预算拨款</w:t>
            </w:r>
          </w:p>
        </w:tc>
        <w:tc>
          <w:tcPr>
            <w:tcW w:w="126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12964.86</w:t>
            </w: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一、一般公共服务支出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2</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二、政府性基金预算拨款</w:t>
            </w:r>
          </w:p>
        </w:tc>
        <w:tc>
          <w:tcPr>
            <w:tcW w:w="126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10839.00</w:t>
            </w: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二、外交支出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3</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三、国有资本经营预算拨款</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三、国防支出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4</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四、公共安全支出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5</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五、教育支出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6</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六、科学技术支出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7</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七、文化旅游体育与传媒支出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8</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八、社会保障和就业支出</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886.25</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886.25</w:t>
            </w: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9</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 xml:space="preserve"> </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九、卫生健康支出</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300.64</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300.64</w:t>
            </w: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10</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十、节能环保支出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11</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十一、城乡社区支出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12</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十二、农林水支出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13</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十三、交通运输支出</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22194.31</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11355.31</w:t>
            </w:r>
          </w:p>
        </w:tc>
        <w:tc>
          <w:tcPr>
            <w:tcW w:w="1065"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10839.00</w:t>
            </w: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14</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十四、资源勘探工业信息等支出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15</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十五、商业服务业等支出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16</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十六、金融支出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17</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十七、援助其他地区支出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18</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十八、自然资源海洋气象等支出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19</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十九、住房保障支出</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422.66</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422.66</w:t>
            </w: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20</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二十、粮油物资储备支出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21</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二十一、国有资本经营预算支出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22</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二十二、灾害防治及应急管理支出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23</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二十三、债务还本支出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24</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二十四、债务付息支出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25</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二十五、债务发行费用支出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26</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二十六、其他支出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27</w:t>
            </w:r>
          </w:p>
        </w:tc>
        <w:tc>
          <w:tcPr>
            <w:tcW w:w="35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本年收入合计</w:t>
            </w:r>
          </w:p>
        </w:tc>
        <w:tc>
          <w:tcPr>
            <w:tcW w:w="1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23803.86</w:t>
            </w:r>
          </w:p>
        </w:tc>
        <w:tc>
          <w:tcPr>
            <w:tcW w:w="4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本年支出合计</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23803.86</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12964.86</w:t>
            </w:r>
          </w:p>
        </w:tc>
        <w:tc>
          <w:tcPr>
            <w:tcW w:w="1065"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10839.00</w:t>
            </w: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28</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年初财政拨款结转和结余</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年末财政拨款结转和结余</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 xml:space="preserve">  </w:t>
            </w: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29</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一、一般公共预算拨款</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val="en-US" w:eastAsia="zh-CN"/>
              </w:rPr>
            </w:pPr>
          </w:p>
        </w:tc>
        <w:tc>
          <w:tcPr>
            <w:tcW w:w="42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val="en-US"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30</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二、政府性基金预算拨款</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31</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三、国有资本经营预算拨款</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32</w:t>
            </w:r>
          </w:p>
        </w:tc>
        <w:tc>
          <w:tcPr>
            <w:tcW w:w="35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总计</w:t>
            </w:r>
          </w:p>
        </w:tc>
        <w:tc>
          <w:tcPr>
            <w:tcW w:w="1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23803.86</w:t>
            </w:r>
          </w:p>
        </w:tc>
        <w:tc>
          <w:tcPr>
            <w:tcW w:w="4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总计</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23803.86</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12964.86</w:t>
            </w:r>
          </w:p>
        </w:tc>
        <w:tc>
          <w:tcPr>
            <w:tcW w:w="1065"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10839.00</w:t>
            </w: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Fonts w:hint="eastAsia" w:ascii="宋体" w:hAnsi="宋体" w:eastAsia="宋体" w:cs="宋体"/>
          <w:sz w:val="24"/>
          <w:szCs w:val="24"/>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1-5</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预算一般公共预算财政拨款支出表</w:t>
      </w:r>
    </w:p>
    <w:p>
      <w:pPr>
        <w:keepNext w:val="0"/>
        <w:keepLines w:val="0"/>
        <w:pageBreakBefore w:val="0"/>
        <w:kinsoku/>
        <w:wordWrap/>
        <w:overflowPunct/>
        <w:topLinePunct w:val="0"/>
        <w:bidi w:val="0"/>
        <w:snapToGrid/>
        <w:spacing w:line="570" w:lineRule="exact"/>
        <w:ind w:firstLine="280" w:firstLineChars="100"/>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 xml:space="preserve">遵化市交通运输局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eastAsia="zh-CN"/>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6315" w:type="dxa"/>
            <w:gridSpan w:val="2"/>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1515"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4500" w:type="dxa"/>
            <w:gridSpan w:val="3"/>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基本支出</w:t>
            </w:r>
          </w:p>
        </w:tc>
        <w:tc>
          <w:tcPr>
            <w:tcW w:w="153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6315" w:type="dxa"/>
            <w:gridSpan w:val="2"/>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515"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56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小计</w:t>
            </w:r>
          </w:p>
        </w:tc>
        <w:tc>
          <w:tcPr>
            <w:tcW w:w="1485"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人员经费</w:t>
            </w:r>
          </w:p>
        </w:tc>
        <w:tc>
          <w:tcPr>
            <w:tcW w:w="1455"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公用经费</w:t>
            </w:r>
          </w:p>
        </w:tc>
        <w:tc>
          <w:tcPr>
            <w:tcW w:w="1534"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57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功能分类科目编码</w:t>
            </w:r>
          </w:p>
        </w:tc>
        <w:tc>
          <w:tcPr>
            <w:tcW w:w="47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1515"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560"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485"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455"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534"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57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47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15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48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145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153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w:t>
            </w:r>
          </w:p>
        </w:tc>
        <w:tc>
          <w:tcPr>
            <w:tcW w:w="157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47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计</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12964.86</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5730.74</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5,683.69</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47.05</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7234.12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2</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3</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4</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2080505</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机关事业单位基本养老保险缴费支出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5</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2080506</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机关事业单位职业年金缴费支出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6</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7</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8</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2101102</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交通运输支出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11355.31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4074.14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7234.12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eastAsia="zh-CN"/>
              </w:rPr>
              <w:t>栏次</w:t>
            </w:r>
          </w:p>
        </w:tc>
        <w:tc>
          <w:tcPr>
            <w:tcW w:w="157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474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156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148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c>
          <w:tcPr>
            <w:tcW w:w="145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6</w:t>
            </w:r>
          </w:p>
        </w:tc>
        <w:tc>
          <w:tcPr>
            <w:tcW w:w="1534"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10</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公路水路运输</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4074.14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7083.12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11</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4074.14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60.78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12</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2140102</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13</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2140104</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公路建设</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14</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2140106</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公路养护</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15</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16</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2140602</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车辆购置税用于农村公路建设支出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17</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18</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19</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2210201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1-6</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预算一般公共预算财政拨款基本支出表</w:t>
      </w:r>
    </w:p>
    <w:p>
      <w:pPr>
        <w:keepNext w:val="0"/>
        <w:keepLines w:val="0"/>
        <w:pageBreakBefore w:val="0"/>
        <w:kinsoku/>
        <w:wordWrap/>
        <w:overflowPunct/>
        <w:topLinePunct w:val="0"/>
        <w:bidi w:val="0"/>
        <w:snapToGrid/>
        <w:spacing w:line="570" w:lineRule="exact"/>
        <w:ind w:firstLine="280" w:firstLineChars="100"/>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 xml:space="preserve">遵化市交通运输局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r>
        <w:rPr>
          <w:rStyle w:val="10"/>
          <w:rFonts w:hint="eastAsia" w:ascii="方正仿宋简体" w:hAnsi="方正仿宋简体" w:eastAsia="方正仿宋简体" w:cs="方正仿宋简体"/>
          <w:color w:val="auto"/>
          <w:sz w:val="28"/>
          <w:szCs w:val="28"/>
          <w:u w:val="none"/>
          <w:lang w:eastAsia="zh-CN"/>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6165"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7534" w:type="dxa"/>
            <w:gridSpan w:val="3"/>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51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经济分类科目编码</w:t>
            </w:r>
          </w:p>
        </w:tc>
        <w:tc>
          <w:tcPr>
            <w:tcW w:w="465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25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人员经费</w:t>
            </w:r>
          </w:p>
        </w:tc>
        <w:tc>
          <w:tcPr>
            <w:tcW w:w="232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465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5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32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4650" w:type="dxa"/>
            <w:noWrap w:val="0"/>
            <w:vAlign w:val="center"/>
          </w:tcPr>
          <w:p>
            <w:pPr>
              <w:keepNext w:val="0"/>
              <w:keepLines w:val="0"/>
              <w:pageBreakBefore w:val="0"/>
              <w:kinsoku/>
              <w:wordWrap/>
              <w:overflowPunct/>
              <w:topLinePunct w:val="0"/>
              <w:bidi w:val="0"/>
              <w:snapToGrid/>
              <w:spacing w:line="570" w:lineRule="exact"/>
              <w:ind w:firstLine="1400" w:firstLineChars="500"/>
              <w:jc w:val="both"/>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计</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5730.74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5683.69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工资福利支出</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5521.47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5521.47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基本工资</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3472.06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3472.06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30102</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津贴补贴</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426.32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426.32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30103</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奖金</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30107</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绩效工资</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7.86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7.86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30108</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机关事业单位基本养老保险缴费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30109</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职业年金缴费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30110</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职工基本医疗保险缴费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291.78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291.78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30111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公务员医疗补助缴费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465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256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2329"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30112</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其他社会保障缴费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1.62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1.62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12</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30113</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13</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商品和服务支出</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14</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30201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办公费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0.39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15</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30206</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电费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0.26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0.26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16</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30207</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邮电费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0.13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17</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30208</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取暖费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21.55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21.55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18</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30211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差旅费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0.26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0.26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19</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30215</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会议费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0.07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20</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30216</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培训费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21</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30217</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公务接待费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22</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30228</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工会经费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1.33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1.33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465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256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2329"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23</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30229</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福利费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24</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30231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公务用车运行维护费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25</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30239</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其他交通费用</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8.10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26</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30299</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其他商品和服务支出</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5.13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27</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303</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对个人和家庭的补助</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162.22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162.22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28</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30302</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退休费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147.23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147.23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29</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30304</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抚恤金</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14.99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14.99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1-7</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lang w:eastAsia="zh-CN"/>
        </w:rPr>
        <w:t>本级</w:t>
      </w:r>
      <w:r>
        <w:rPr>
          <w:rStyle w:val="10"/>
          <w:rFonts w:hint="eastAsia" w:ascii="方正小标宋简体" w:hAnsi="方正小标宋简体" w:eastAsia="方正小标宋简体" w:cs="方正小标宋简体"/>
          <w:color w:val="auto"/>
          <w:sz w:val="44"/>
          <w:szCs w:val="44"/>
          <w:u w:val="none"/>
        </w:rPr>
        <w:t>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 xml:space="preserve">预算年度：2022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 xml:space="preserve">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5956" w:type="dxa"/>
            <w:gridSpan w:val="2"/>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2747"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2473"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基本支出</w:t>
            </w:r>
          </w:p>
        </w:tc>
        <w:tc>
          <w:tcPr>
            <w:tcW w:w="249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83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功能分类科目编码</w:t>
            </w:r>
          </w:p>
        </w:tc>
        <w:tc>
          <w:tcPr>
            <w:tcW w:w="312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2747"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3"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94"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283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312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74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473"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49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5956"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计</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10839.00</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0.00</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10839.00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交通运输支出</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车辆通行费安排的支出</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2146201</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公路还贷</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2146202</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政府还贷公路养护</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2146203</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政府还贷公路管理</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2146299</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其他车辆通行费安排的支出</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sectPr>
          <w:pgSz w:w="16839" w:h="11907" w:orient="landscape"/>
          <w:pgMar w:top="680" w:right="1020" w:bottom="1134"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附表</w:t>
      </w:r>
      <w:r>
        <w:rPr>
          <w:rStyle w:val="10"/>
          <w:rFonts w:hint="eastAsia" w:ascii="方正仿宋简体" w:hAnsi="方正仿宋简体" w:eastAsia="方正仿宋简体" w:cs="方正仿宋简体"/>
          <w:color w:val="auto"/>
          <w:sz w:val="28"/>
          <w:szCs w:val="28"/>
          <w:u w:val="none"/>
          <w:lang w:val="en-US" w:eastAsia="zh-CN"/>
        </w:rPr>
        <w:t>1-8</w:t>
      </w:r>
    </w:p>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lang w:eastAsia="zh-CN"/>
        </w:rPr>
        <w:t>本级</w:t>
      </w:r>
      <w:r>
        <w:rPr>
          <w:rStyle w:val="10"/>
          <w:rFonts w:hint="eastAsia" w:ascii="方正仿宋简体" w:hAnsi="方正仿宋简体" w:eastAsia="方正仿宋简体" w:cs="方正仿宋简体"/>
          <w:color w:val="auto"/>
          <w:sz w:val="28"/>
          <w:szCs w:val="28"/>
          <w:u w:val="none"/>
        </w:rPr>
        <w:t>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序号</w:t>
            </w:r>
          </w:p>
        </w:tc>
        <w:tc>
          <w:tcPr>
            <w:tcW w:w="5535"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科  目</w:t>
            </w:r>
          </w:p>
        </w:tc>
        <w:tc>
          <w:tcPr>
            <w:tcW w:w="264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合计</w:t>
            </w:r>
          </w:p>
        </w:tc>
        <w:tc>
          <w:tcPr>
            <w:tcW w:w="258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基本支出</w:t>
            </w:r>
          </w:p>
        </w:tc>
        <w:tc>
          <w:tcPr>
            <w:tcW w:w="2659"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功能分类科目编码</w:t>
            </w: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科目名称</w:t>
            </w:r>
          </w:p>
        </w:tc>
        <w:tc>
          <w:tcPr>
            <w:tcW w:w="264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栏次</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bl>
    <w:p>
      <w:pPr>
        <w:keepNext w:val="0"/>
        <w:keepLines w:val="0"/>
        <w:pageBreakBefore w:val="0"/>
        <w:kinsoku/>
        <w:wordWrap/>
        <w:overflowPunct/>
        <w:topLinePunct w:val="0"/>
        <w:bidi w:val="0"/>
        <w:snapToGrid/>
        <w:spacing w:line="570" w:lineRule="exact"/>
        <w:ind w:firstLine="280" w:firstLineChars="100"/>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注：无国有资本经营预算财政拨款预算，空表列示。</w:t>
      </w: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p>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rPr>
      </w:pPr>
    </w:p>
    <w:p>
      <w:pPr>
        <w:keepNext w:val="0"/>
        <w:keepLines w:val="0"/>
        <w:pageBreakBefore w:val="0"/>
        <w:kinsoku/>
        <w:wordWrap/>
        <w:overflowPunct/>
        <w:topLinePunct w:val="0"/>
        <w:bidi w:val="0"/>
        <w:snapToGrid/>
        <w:spacing w:line="570" w:lineRule="exact"/>
        <w:jc w:val="both"/>
        <w:rPr>
          <w:rStyle w:val="10"/>
          <w:rFonts w:hint="eastAsia" w:ascii="方正小标宋简体" w:hAnsi="方正小标宋简体" w:eastAsia="方正小标宋简体" w:cs="方正小标宋简体"/>
          <w:color w:val="auto"/>
          <w:sz w:val="44"/>
          <w:szCs w:val="44"/>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1-9</w:t>
      </w:r>
    </w:p>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本级预算财政拨款“三公”经费支出表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395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 xml:space="preserve">项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 xml:space="preserve"> 目</w:t>
            </w:r>
          </w:p>
        </w:tc>
        <w:tc>
          <w:tcPr>
            <w:tcW w:w="9906" w:type="dxa"/>
            <w:gridSpan w:val="4"/>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395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一般公共预算       财政拨款</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政府性基金         预算拨款</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395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1</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2</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4</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1</w:t>
            </w:r>
          </w:p>
        </w:tc>
        <w:tc>
          <w:tcPr>
            <w:tcW w:w="395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计</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8.23</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8.23</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2</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一、因公出国（境）费</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二、公务用车购置及运维费</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4</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其中：公务用车购置费</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5</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公务用车运行维护费</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6</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三、公务接待费</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0.03 </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0.03 </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bl>
    <w:p>
      <w:pPr>
        <w:keepNext w:val="0"/>
        <w:keepLines w:val="0"/>
        <w:pageBreakBefore w:val="0"/>
        <w:kinsoku/>
        <w:wordWrap/>
        <w:overflowPunct/>
        <w:topLinePunct w:val="0"/>
        <w:bidi w:val="0"/>
        <w:snapToGrid/>
        <w:spacing w:line="570" w:lineRule="exact"/>
        <w:jc w:val="both"/>
        <w:rPr>
          <w:rFonts w:hint="eastAsia" w:ascii="宋体" w:hAnsi="宋体" w:eastAsia="宋体" w:cs="宋体"/>
          <w:sz w:val="44"/>
          <w:szCs w:val="44"/>
        </w:rPr>
      </w:pPr>
    </w:p>
    <w:p>
      <w:pPr>
        <w:keepNext w:val="0"/>
        <w:keepLines w:val="0"/>
        <w:pageBreakBefore w:val="0"/>
        <w:kinsoku/>
        <w:wordWrap/>
        <w:overflowPunct/>
        <w:topLinePunct w:val="0"/>
        <w:bidi w:val="0"/>
        <w:snapToGrid/>
        <w:spacing w:line="570" w:lineRule="exact"/>
        <w:jc w:val="both"/>
        <w:rPr>
          <w:rFonts w:hint="eastAsia" w:ascii="宋体" w:hAnsi="宋体" w:eastAsia="宋体" w:cs="宋体"/>
          <w:sz w:val="44"/>
          <w:szCs w:val="44"/>
        </w:rPr>
      </w:pPr>
    </w:p>
    <w:p>
      <w:pPr>
        <w:keepNext w:val="0"/>
        <w:keepLines w:val="0"/>
        <w:pageBreakBefore w:val="0"/>
        <w:kinsoku/>
        <w:wordWrap/>
        <w:overflowPunct/>
        <w:topLinePunct w:val="0"/>
        <w:bidi w:val="0"/>
        <w:snapToGrid/>
        <w:spacing w:line="570" w:lineRule="exact"/>
        <w:jc w:val="both"/>
        <w:rPr>
          <w:rFonts w:hint="eastAsia" w:ascii="宋体" w:hAnsi="宋体" w:eastAsia="宋体" w:cs="宋体"/>
          <w:sz w:val="44"/>
          <w:szCs w:val="44"/>
        </w:rPr>
      </w:pPr>
    </w:p>
    <w:p>
      <w:pPr>
        <w:keepNext w:val="0"/>
        <w:keepLines w:val="0"/>
        <w:pageBreakBefore w:val="0"/>
        <w:kinsoku/>
        <w:wordWrap/>
        <w:overflowPunct/>
        <w:topLinePunct w:val="0"/>
        <w:bidi w:val="0"/>
        <w:snapToGrid/>
        <w:spacing w:line="57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遵化市交通运输局202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预算信息公开情况说明</w:t>
      </w:r>
    </w:p>
    <w:p>
      <w:pPr>
        <w:keepNext w:val="0"/>
        <w:keepLines w:val="0"/>
        <w:pageBreakBefore w:val="0"/>
        <w:kinsoku/>
        <w:wordWrap/>
        <w:overflowPunct/>
        <w:topLinePunct w:val="0"/>
        <w:bidi w:val="0"/>
        <w:snapToGrid/>
        <w:spacing w:line="570" w:lineRule="exact"/>
        <w:ind w:firstLine="880" w:firstLineChars="200"/>
        <w:jc w:val="center"/>
        <w:rPr>
          <w:rFonts w:ascii="Times New Roman" w:hAnsi="Times New Roman" w:eastAsia="方正小标宋_GBK" w:cs="Times New Roman"/>
          <w:sz w:val="44"/>
          <w:szCs w:val="44"/>
        </w:rPr>
      </w:pPr>
    </w:p>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、《地方预决算公开操作规程》和《河北省省级预算公开办法》规定，现将遵化市交通运输局202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keepNext w:val="0"/>
        <w:keepLines w:val="0"/>
        <w:pageBreakBefore w:val="0"/>
        <w:kinsoku/>
        <w:wordWrap/>
        <w:overflowPunct/>
        <w:topLinePunct w:val="0"/>
        <w:bidi w:val="0"/>
        <w:snapToGrid/>
        <w:spacing w:line="570" w:lineRule="exact"/>
        <w:ind w:firstLine="64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w:t>
      </w:r>
      <w:r>
        <w:rPr>
          <w:rFonts w:hint="eastAsia" w:ascii="方正黑体简体" w:hAnsi="方正黑体简体" w:eastAsia="方正黑体简体" w:cs="方正黑体简体"/>
          <w:b w:val="0"/>
          <w:bCs w:val="0"/>
          <w:sz w:val="32"/>
          <w:szCs w:val="32"/>
          <w:lang w:eastAsia="zh-CN"/>
        </w:rPr>
        <w:t>本级</w:t>
      </w:r>
      <w:r>
        <w:rPr>
          <w:rFonts w:hint="eastAsia" w:ascii="方正黑体简体" w:hAnsi="方正黑体简体" w:eastAsia="方正黑体简体" w:cs="方正黑体简体"/>
          <w:b w:val="0"/>
          <w:bCs w:val="0"/>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贯彻执行国家、省、市交通运输工作方针、政策和法规，根据本县经济和社会发展要求，拟订全市交通发展战略，并监督实施。</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承担全市交通运输市场监管职责。负责城乡客运及有关设施的规划和管理工作；指导城市客运工作，负责出租汽车行业管理；负责全市道路运输及营运机动车维修检测、驾驶员培训、运输服务等交通运输行业管理；组织实施治理公路“三乱”工作。</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承担全市交通基本建设市场监管职责；负责组织实施全市交通基础设施建设和养护，指导农村公路建设和养护，组织交通工程建设质量监督管理工作。</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负责全市交通运输系统的安全生产指导和监督工作；负责突发事件的应急处置，依法组织或参与有关事故调查工作。</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负责全市交通运输组织和结构调整，指导运输装备技术建设，协调指导城乡各种运输方式衔接。开展行业统计工作，发布交通运输有关信息。</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负责全局治安和综合管理工作，指导和协调交通行业运输安全和安全生产工作。指导全市交通行业体制改革和职工队伍建设，组织行业精神文明建设工作。</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负责地方交通战备工作，在遇到防汛抗旱、抢险救灾、军事行动等紧急和其它特殊任务时，组织应急运输道路的抢修抢建。</w:t>
      </w:r>
    </w:p>
    <w:p>
      <w:pPr>
        <w:keepNext w:val="0"/>
        <w:keepLines w:val="0"/>
        <w:pageBreakBefore w:val="0"/>
        <w:numPr>
          <w:ilvl w:val="0"/>
          <w:numId w:val="0"/>
        </w:numPr>
        <w:kinsoku/>
        <w:wordWrap/>
        <w:overflowPunct/>
        <w:topLinePunct w:val="0"/>
        <w:bidi w:val="0"/>
        <w:snapToGrid/>
        <w:spacing w:line="570" w:lineRule="exact"/>
        <w:ind w:left="640"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负责辖区内货运车辆超限超载治理工作。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办公室。负责机关目常运转工作，承担机关公文审核、文电、机要、会务、保密、信访、文秘档案、史志等工作;负责组织重要会议和调研，负责重要文稿的起草。负责交通运输法制建设、行政执法监督、行政复议和行政应诉工作;组织起草相关规范性文件，承担有关交通运输地方立法规划和协调;承担有关规范性文件，以局名义做出的重大执法决定、重关行政决策的合法性审核;组织开展行业法律法规的政策研究;组织重大行政为听证工作;指导行业体制改革;综合协调、监督指导全市交通运输个域环保、大气污染防治工作。负责对全市交通重大决策、重要工作，重点项目的推进落实情况进行督导检查;负责督办局直属各单位、各工作目标的落实情况;负责人大代表、政协委员建议提案办理工作。负责汇总编报局预决算及公示工作;负责专质资金的拨付审核、使用项目绩效评价，办理政府采购、财政国库支付手续及资金支付等工作，负责机关及财务集中管理单位会计核算、会计监督，资产资金管理监督工作;负责国有资产管理，负责对会计独立核算单位经济活动的业务指导;负责交通建设债务管理工作。负责机关和所属单位的审计工作。负责对全局财务收支等重要经济活动、固定资产投资项目、所原单的要负责人经济审计。指导行业内部审计工作。</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人事科。承担机关和所属事业单位的干部入事、机构编制、绩效管理、劳动工资和人工作，指导交通系统人才队伍建设。组织协调交通运输科技项目研发、科技成果鉴定和新技术、新材料、新工艺的推广应用；组织交通行业科技合作和科技交流活动;组织局机关和所属单位各类人员的培训和继续教育工作。负责离退休干部工作。</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综合规划与公路科（交通战办公室）。编制全市综合交通运输发展规划和计划;拟定专项规划及分年度实施的资金投资计划:审定(拟订)交通基础设施、公路客货运输、水路运输等专项规划和年度计划，参与拟定全市物流业规划和相关政策;负责(指导)交通基础设施新改建项目的前期工作和后期评价，负责有关统计、预测和资料信息收集汇总工作。贯彻执行公路建设、养护、运营相关政策制度和标准并监督实施。负责公路、水路行业行政许可的实施和监督，负责公路、水路建设市场、招投标、资质的信用工程质量工程造价、安全生产的监督管理等工作。负责全市国防交通和局直属单位的民兵武装工作。</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综合运输和安全监督科(应急办公室)。承担交通综合运输体系的建设和组织协调工作;参与运价政策拟订和定价活动;组织协调本辖区内国家重点物资、战备物资、抢险物资和紧急客货运输的道路运输保障工作;负责京津冀交通运输一体化相关项目的论证、推进、对接的组织协调工作;组织拟订道路运输行业政策、规划、服务规范、技术标准等工作;依法办理交通运输场站等基础建设财政资金项目的计划、申报、验收等工作;负责道路运输、水路运输行业财政资金政策性补贴管理工作。负责监督、指导全市交通运输行业管理和行业政策、规划、服务规范、技术标准的落实;组织全市道路运输、水路运输企业和从业人员服务质量信誉考核工作;组织、协调京津冀及全市跨区域交通运输执法专项整治和重大交通运输综合执法活动;按照行业执法部门要求，负责组织道路货物车辆、道路旅客运输车辆、出租客运车辆的车辆技术管理工作和水运船舶的船舶技术管理工作;负责依法承办法律法规指定或者确需本级交通运输主管部门办理的行政执法案件或出具承办意见案件;负责组织道路运输、水路运输行业综合性资料统计和上报工作。贯彻执行国家、省、市和交通运输行业有关客全管理的政策、法规，组织协调指导局职责范围内的安全生产工作和应急处置体系建设，督促局行政执法和行政管理单位严格履行自身安全监管职能，负责局直属单位安全生产责任制的考核。依法依规组织协调或参与有关事故调查处理。负责局机关安全保卫工作，监督指导直属单位安全保卫、消防安全工作。负责受理辖区内公民、法人或其他组织所申请的有关道路运输经营许可积行政审批事项;受理辖区内公民、法人或其他组织所申请的涉及公路路产路权的行额许可和行政审批事项。负责船舶检验工作的监督管理。指导本辖区地方海事和船员管理有关工作。指导水路行业安全生产。</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直属机关党委。负责机关和直属单位党群工作。</w:t>
      </w:r>
    </w:p>
    <w:p>
      <w:pPr>
        <w:keepNext w:val="0"/>
        <w:keepLines w:val="0"/>
        <w:pageBreakBefore w:val="0"/>
        <w:kinsoku/>
        <w:wordWrap/>
        <w:overflowPunct/>
        <w:topLinePunct w:val="0"/>
        <w:bidi w:val="0"/>
        <w:snapToGrid/>
        <w:spacing w:line="570" w:lineRule="exact"/>
        <w:jc w:val="center"/>
        <w:outlineLvl w:val="0"/>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bidi w:val="0"/>
        <w:snapToGrid/>
        <w:spacing w:line="57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keepNext w:val="0"/>
              <w:keepLines w:val="0"/>
              <w:pageBreakBefore w:val="0"/>
              <w:kinsoku/>
              <w:wordWrap/>
              <w:overflowPunct/>
              <w:topLinePunct w:val="0"/>
              <w:bidi w:val="0"/>
              <w:snapToGrid/>
              <w:spacing w:line="57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遵化市交通运输局</w:t>
            </w:r>
          </w:p>
        </w:tc>
        <w:tc>
          <w:tcPr>
            <w:tcW w:w="2250" w:type="dxa"/>
            <w:noWrap w:val="0"/>
            <w:vAlign w:val="center"/>
          </w:tcPr>
          <w:p>
            <w:pPr>
              <w:keepNext w:val="0"/>
              <w:keepLines w:val="0"/>
              <w:pageBreakBefore w:val="0"/>
              <w:kinsoku/>
              <w:wordWrap/>
              <w:overflowPunct/>
              <w:topLinePunct w:val="0"/>
              <w:bidi w:val="0"/>
              <w:snapToGrid/>
              <w:spacing w:line="57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noWrap w:val="0"/>
            <w:vAlign w:val="center"/>
          </w:tcPr>
          <w:p>
            <w:pPr>
              <w:keepNext w:val="0"/>
              <w:keepLines w:val="0"/>
              <w:pageBreakBefore w:val="0"/>
              <w:kinsoku/>
              <w:wordWrap/>
              <w:overflowPunct/>
              <w:topLinePunct w:val="0"/>
              <w:bidi w:val="0"/>
              <w:snapToGrid/>
              <w:spacing w:line="57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keepNext w:val="0"/>
              <w:keepLines w:val="0"/>
              <w:pageBreakBefore w:val="0"/>
              <w:kinsoku/>
              <w:wordWrap/>
              <w:overflowPunct/>
              <w:topLinePunct w:val="0"/>
              <w:bidi w:val="0"/>
              <w:snapToGrid/>
              <w:spacing w:line="570" w:lineRule="exact"/>
              <w:ind w:firstLine="640" w:firstLine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bidi w:val="0"/>
        <w:snapToGrid/>
        <w:spacing w:line="570" w:lineRule="exact"/>
        <w:jc w:val="center"/>
        <w:outlineLvl w:val="0"/>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bidi w:val="0"/>
        <w:snapToGrid/>
        <w:spacing w:line="570" w:lineRule="exact"/>
        <w:ind w:firstLine="64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w:t>
      </w:r>
      <w:r>
        <w:rPr>
          <w:rFonts w:hint="eastAsia" w:ascii="方正黑体简体" w:hAnsi="方正黑体简体" w:eastAsia="方正黑体简体" w:cs="方正黑体简体"/>
          <w:b w:val="0"/>
          <w:bCs w:val="0"/>
          <w:sz w:val="32"/>
          <w:szCs w:val="32"/>
          <w:lang w:eastAsia="zh-CN"/>
        </w:rPr>
        <w:t>本级</w:t>
      </w:r>
      <w:r>
        <w:rPr>
          <w:rFonts w:hint="eastAsia" w:ascii="方正黑体简体" w:hAnsi="方正黑体简体" w:eastAsia="方正黑体简体" w:cs="方正黑体简体"/>
          <w:b w:val="0"/>
          <w:bCs w:val="0"/>
          <w:sz w:val="32"/>
          <w:szCs w:val="32"/>
        </w:rPr>
        <w:t>预算安排的总体情况</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预算的编制实行综合预算制度，即全部收入和支出都反映在预算中。</w:t>
      </w:r>
    </w:p>
    <w:p>
      <w:pPr>
        <w:keepNext w:val="0"/>
        <w:keepLines w:val="0"/>
        <w:pageBreakBefore w:val="0"/>
        <w:kinsoku/>
        <w:wordWrap/>
        <w:overflowPunct/>
        <w:topLinePunct w:val="0"/>
        <w:bidi w:val="0"/>
        <w:snapToGrid/>
        <w:spacing w:line="570" w:lineRule="exact"/>
        <w:ind w:firstLine="64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（一）、收入说明</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当年全部收入。202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23803.86</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12964.86</w:t>
      </w:r>
      <w:r>
        <w:rPr>
          <w:rFonts w:hint="eastAsia" w:ascii="方正仿宋简体" w:hAnsi="方正仿宋简体" w:eastAsia="方正仿宋简体" w:cs="方正仿宋简体"/>
          <w:sz w:val="32"/>
          <w:szCs w:val="32"/>
        </w:rPr>
        <w:t>万元，基金预算收入</w:t>
      </w:r>
      <w:r>
        <w:rPr>
          <w:rFonts w:hint="eastAsia" w:ascii="方正仿宋简体" w:hAnsi="方正仿宋简体" w:eastAsia="方正仿宋简体" w:cs="方正仿宋简体"/>
          <w:sz w:val="32"/>
          <w:szCs w:val="32"/>
          <w:lang w:val="en-US" w:eastAsia="zh-CN"/>
        </w:rPr>
        <w:t>10839.00</w:t>
      </w:r>
      <w:r>
        <w:rPr>
          <w:rFonts w:hint="eastAsia" w:ascii="方正仿宋简体" w:hAnsi="方正仿宋简体" w:eastAsia="方正仿宋简体" w:cs="方正仿宋简体"/>
          <w:sz w:val="32"/>
          <w:szCs w:val="32"/>
        </w:rPr>
        <w:t>万元，财政专户核拨收入0万元，其他来源收入0万元。</w:t>
      </w:r>
    </w:p>
    <w:p>
      <w:pPr>
        <w:keepNext w:val="0"/>
        <w:keepLines w:val="0"/>
        <w:pageBreakBefore w:val="0"/>
        <w:kinsoku/>
        <w:wordWrap/>
        <w:overflowPunct/>
        <w:topLinePunct w:val="0"/>
        <w:bidi w:val="0"/>
        <w:snapToGrid/>
        <w:spacing w:line="570" w:lineRule="exact"/>
        <w:ind w:firstLine="64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（二）、支出说明</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收支预算总表支出栏、基本支出表、项目支出表按经济分类和支出功能分类科目编制，反映遵化市交通运输局202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23803.86</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5730.74</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5683.69</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47.05</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18073.12</w:t>
      </w:r>
      <w:r>
        <w:rPr>
          <w:rFonts w:hint="eastAsia" w:ascii="方正仿宋简体" w:hAnsi="方正仿宋简体" w:eastAsia="方正仿宋简体" w:cs="方正仿宋简体"/>
          <w:sz w:val="32"/>
          <w:szCs w:val="32"/>
        </w:rPr>
        <w:t>万元， 偿还邦宽线贷款本金及利息</w:t>
      </w:r>
      <w:r>
        <w:rPr>
          <w:rFonts w:hint="eastAsia" w:ascii="方正仿宋简体" w:hAnsi="方正仿宋简体" w:eastAsia="方正仿宋简体" w:cs="方正仿宋简体"/>
          <w:sz w:val="32"/>
          <w:szCs w:val="32"/>
          <w:lang w:val="en-US" w:eastAsia="zh-CN"/>
        </w:rPr>
        <w:t>6323万元、</w:t>
      </w:r>
      <w:r>
        <w:rPr>
          <w:rFonts w:hint="eastAsia" w:ascii="方正仿宋简体" w:hAnsi="方正仿宋简体" w:eastAsia="方正仿宋简体" w:cs="方正仿宋简体"/>
          <w:sz w:val="32"/>
          <w:szCs w:val="32"/>
        </w:rPr>
        <w:t>邦宽公路港陆专用路大修工程</w:t>
      </w:r>
      <w:r>
        <w:rPr>
          <w:rFonts w:hint="eastAsia" w:ascii="方正仿宋简体" w:hAnsi="方正仿宋简体" w:eastAsia="方正仿宋简体" w:cs="方正仿宋简体"/>
          <w:sz w:val="32"/>
          <w:szCs w:val="32"/>
          <w:lang w:val="en-US" w:eastAsia="zh-CN"/>
        </w:rPr>
        <w:t>429.65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邦宽线养护经费</w:t>
      </w:r>
      <w:r>
        <w:rPr>
          <w:rFonts w:hint="eastAsia" w:ascii="方正仿宋简体" w:hAnsi="方正仿宋简体" w:eastAsia="方正仿宋简体" w:cs="方正仿宋简体"/>
          <w:sz w:val="32"/>
          <w:szCs w:val="32"/>
          <w:lang w:val="en-US" w:eastAsia="zh-CN"/>
        </w:rPr>
        <w:t>413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偿还邦宽线贷款本金及利息</w:t>
      </w:r>
      <w:r>
        <w:rPr>
          <w:rFonts w:hint="eastAsia" w:ascii="方正仿宋简体" w:hAnsi="方正仿宋简体" w:eastAsia="方正仿宋简体" w:cs="方正仿宋简体"/>
          <w:sz w:val="32"/>
          <w:szCs w:val="32"/>
          <w:lang w:val="en-US" w:eastAsia="zh-CN"/>
        </w:rPr>
        <w:t>3万元、城乡客运一体化建设1765万元、国防公路建设公益人员生活补贴项目49万元、国省干线日常养护经费（冀财建【2021】196号）443万元、</w:t>
      </w:r>
      <w:r>
        <w:rPr>
          <w:rFonts w:hint="eastAsia" w:ascii="方正仿宋简体" w:hAnsi="方正仿宋简体" w:eastAsia="方正仿宋简体" w:cs="方正仿宋简体"/>
          <w:sz w:val="32"/>
          <w:szCs w:val="32"/>
          <w:lang w:eastAsia="zh-CN"/>
        </w:rPr>
        <w:t>冀财建【2021】205号 提前下达2022年车购税补助地方第一批</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51万元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冀财建【2021】238号提前下达农村公路专项资金</w:t>
      </w:r>
      <w:r>
        <w:rPr>
          <w:rFonts w:hint="eastAsia" w:ascii="方正仿宋简体" w:hAnsi="方正仿宋简体" w:eastAsia="方正仿宋简体" w:cs="方正仿宋简体"/>
          <w:sz w:val="32"/>
          <w:szCs w:val="32"/>
          <w:lang w:val="en-US" w:eastAsia="zh-CN"/>
        </w:rPr>
        <w:t>599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、冀财建【2021】239号提前下达2022年普通国省干线公路建设养护发展专项资金</w:t>
      </w:r>
      <w:r>
        <w:rPr>
          <w:rFonts w:hint="eastAsia" w:ascii="方正仿宋简体" w:hAnsi="方正仿宋简体" w:eastAsia="方正仿宋简体" w:cs="方正仿宋简体"/>
          <w:sz w:val="32"/>
          <w:szCs w:val="32"/>
          <w:lang w:val="en-US" w:eastAsia="zh-CN"/>
        </w:rPr>
        <w:t>81万元</w:t>
      </w:r>
      <w:r>
        <w:rPr>
          <w:rFonts w:hint="eastAsia" w:ascii="方正仿宋简体" w:hAnsi="方正仿宋简体" w:eastAsia="方正仿宋简体" w:cs="方正仿宋简体"/>
          <w:sz w:val="32"/>
          <w:szCs w:val="32"/>
          <w:lang w:eastAsia="zh-CN"/>
        </w:rPr>
        <w:t>、交通道路保洁一体化服务费</w:t>
      </w:r>
      <w:r>
        <w:rPr>
          <w:rFonts w:hint="eastAsia" w:ascii="方正仿宋简体" w:hAnsi="方正仿宋简体" w:eastAsia="方正仿宋简体" w:cs="方正仿宋简体"/>
          <w:sz w:val="32"/>
          <w:szCs w:val="32"/>
          <w:lang w:val="en-US" w:eastAsia="zh-CN"/>
        </w:rPr>
        <w:t>418.79万元、</w:t>
      </w:r>
      <w:r>
        <w:rPr>
          <w:rFonts w:hint="eastAsia" w:ascii="方正仿宋简体" w:hAnsi="方正仿宋简体" w:eastAsia="方正仿宋简体" w:cs="方正仿宋简体"/>
          <w:sz w:val="32"/>
          <w:szCs w:val="32"/>
        </w:rPr>
        <w:t>农村公路建设改造工程（冀财建【2021】196号）1</w:t>
      </w:r>
      <w:r>
        <w:rPr>
          <w:rFonts w:hint="eastAsia" w:ascii="方正仿宋简体" w:hAnsi="方正仿宋简体" w:eastAsia="方正仿宋简体" w:cs="方正仿宋简体"/>
          <w:sz w:val="32"/>
          <w:szCs w:val="32"/>
          <w:lang w:val="en-US" w:eastAsia="zh-CN"/>
        </w:rPr>
        <w:t>162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、农村公路养护工程补助资金（冀财建【2021】196号）</w:t>
      </w:r>
      <w:r>
        <w:rPr>
          <w:rFonts w:hint="eastAsia" w:ascii="方正仿宋简体" w:hAnsi="方正仿宋简体" w:eastAsia="方正仿宋简体" w:cs="方正仿宋简体"/>
          <w:sz w:val="32"/>
          <w:szCs w:val="32"/>
          <w:lang w:val="en-US" w:eastAsia="zh-CN"/>
        </w:rPr>
        <w:t>405万元、平东线（平安城-G112线段）大修工程437.7万元、伤残职工抚恤金及人员专项经费11.78万元、</w:t>
      </w:r>
      <w:r>
        <w:rPr>
          <w:rFonts w:hint="eastAsia" w:ascii="方正仿宋简体" w:hAnsi="方正仿宋简体" w:eastAsia="方正仿宋简体" w:cs="方正仿宋简体"/>
          <w:sz w:val="32"/>
          <w:szCs w:val="32"/>
        </w:rPr>
        <w:t>省道帮宽线重点路段大修工程1</w:t>
      </w:r>
      <w:r>
        <w:rPr>
          <w:rFonts w:hint="eastAsia" w:ascii="方正仿宋简体" w:hAnsi="方正仿宋简体" w:eastAsia="方正仿宋简体" w:cs="方正仿宋简体"/>
          <w:sz w:val="32"/>
          <w:szCs w:val="32"/>
          <w:lang w:val="en-US" w:eastAsia="zh-CN"/>
        </w:rPr>
        <w:t>425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通行费安排交通设施维修维护资金120万元、</w:t>
      </w:r>
      <w:r>
        <w:rPr>
          <w:rFonts w:hint="eastAsia" w:ascii="方正仿宋简体" w:hAnsi="方正仿宋简体" w:eastAsia="方正仿宋简体" w:cs="方正仿宋简体"/>
          <w:sz w:val="32"/>
          <w:szCs w:val="32"/>
          <w:lang w:eastAsia="zh-CN"/>
        </w:rPr>
        <w:t>通行费安排收费站人员经费</w:t>
      </w:r>
      <w:r>
        <w:rPr>
          <w:rFonts w:hint="eastAsia" w:ascii="方正仿宋简体" w:hAnsi="方正仿宋简体" w:eastAsia="方正仿宋简体" w:cs="方正仿宋简体"/>
          <w:sz w:val="32"/>
          <w:szCs w:val="32"/>
          <w:lang w:val="en-US" w:eastAsia="zh-CN"/>
        </w:rPr>
        <w:t>834万元、通行费安排收费站运转经费91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、乡村振兴农村公路养护资金</w:t>
      </w:r>
      <w:r>
        <w:rPr>
          <w:rFonts w:hint="eastAsia" w:ascii="方正仿宋简体" w:hAnsi="方正仿宋简体" w:eastAsia="方正仿宋简体" w:cs="方正仿宋简体"/>
          <w:sz w:val="32"/>
          <w:szCs w:val="32"/>
          <w:lang w:val="en-US" w:eastAsia="zh-CN"/>
        </w:rPr>
        <w:t>990万元、以前年度工程欠款及新启动项目资金1630万元、愚公桥改建工程、七户桥改建工程40.2万元、治超站等执法专项经费251万元</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（三）、比上年增减情况</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2022年预算收支安排23803.86万元，</w:t>
      </w:r>
      <w:r>
        <w:rPr>
          <w:rFonts w:hint="eastAsia" w:ascii="方正仿宋简体" w:hAnsi="方正仿宋简体" w:eastAsia="方正仿宋简体" w:cs="方正仿宋简体"/>
          <w:sz w:val="32"/>
          <w:szCs w:val="32"/>
        </w:rPr>
        <w:t>2021年预算收支安排18163.79万元，较202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564</w:t>
      </w:r>
      <w:r>
        <w:rPr>
          <w:rFonts w:hint="eastAsia" w:ascii="方正仿宋简体" w:hAnsi="方正仿宋简体" w:eastAsia="方正仿宋简体" w:cs="方正仿宋简体"/>
          <w:color w:val="auto"/>
          <w:sz w:val="32"/>
          <w:szCs w:val="32"/>
          <w:lang w:val="en-US" w:eastAsia="zh-CN"/>
        </w:rPr>
        <w:t>0.07</w:t>
      </w:r>
      <w:r>
        <w:rPr>
          <w:rFonts w:hint="eastAsia" w:ascii="方正仿宋简体" w:hAnsi="方正仿宋简体" w:eastAsia="方正仿宋简体" w:cs="方正仿宋简体"/>
          <w:color w:val="auto"/>
          <w:sz w:val="32"/>
          <w:szCs w:val="32"/>
        </w:rPr>
        <w:t>万元，其中：基本支出</w:t>
      </w:r>
      <w:r>
        <w:rPr>
          <w:rFonts w:hint="eastAsia" w:ascii="方正仿宋简体" w:hAnsi="方正仿宋简体" w:eastAsia="方正仿宋简体" w:cs="方正仿宋简体"/>
          <w:sz w:val="32"/>
          <w:szCs w:val="32"/>
        </w:rPr>
        <w:t>增加了</w:t>
      </w:r>
      <w:r>
        <w:rPr>
          <w:rFonts w:hint="eastAsia" w:ascii="方正仿宋简体" w:hAnsi="方正仿宋简体" w:eastAsia="方正仿宋简体" w:cs="方正仿宋简体"/>
          <w:sz w:val="32"/>
          <w:szCs w:val="32"/>
          <w:lang w:val="en-US" w:eastAsia="zh-CN"/>
        </w:rPr>
        <w:t>1013.95</w:t>
      </w:r>
      <w:r>
        <w:rPr>
          <w:rFonts w:hint="eastAsia" w:ascii="方正仿宋简体" w:hAnsi="方正仿宋简体" w:eastAsia="方正仿宋简体" w:cs="方正仿宋简体"/>
          <w:sz w:val="32"/>
          <w:szCs w:val="32"/>
        </w:rPr>
        <w:t>万元，主要原因</w:t>
      </w:r>
      <w:r>
        <w:rPr>
          <w:rFonts w:hint="eastAsia" w:ascii="方正仿宋简体" w:hAnsi="方正仿宋简体" w:eastAsia="方正仿宋简体" w:cs="方正仿宋简体"/>
          <w:sz w:val="32"/>
          <w:szCs w:val="32"/>
          <w:lang w:eastAsia="zh-CN"/>
        </w:rPr>
        <w:t>工资及取暖费的</w:t>
      </w:r>
      <w:r>
        <w:rPr>
          <w:rFonts w:hint="eastAsia" w:ascii="方正仿宋简体" w:hAnsi="方正仿宋简体" w:eastAsia="方正仿宋简体" w:cs="方正仿宋简体"/>
          <w:sz w:val="32"/>
          <w:szCs w:val="32"/>
        </w:rPr>
        <w:t>增加；项目支出增加</w:t>
      </w:r>
      <w:r>
        <w:rPr>
          <w:rFonts w:hint="eastAsia" w:ascii="方正仿宋简体" w:hAnsi="方正仿宋简体" w:eastAsia="方正仿宋简体" w:cs="方正仿宋简体"/>
          <w:sz w:val="32"/>
          <w:szCs w:val="32"/>
          <w:lang w:val="en-US" w:eastAsia="zh-CN"/>
        </w:rPr>
        <w:t>4626.12</w:t>
      </w:r>
      <w:r>
        <w:rPr>
          <w:rFonts w:hint="eastAsia" w:ascii="方正仿宋简体" w:hAnsi="方正仿宋简体" w:eastAsia="方正仿宋简体" w:cs="方正仿宋简体"/>
          <w:sz w:val="32"/>
          <w:szCs w:val="32"/>
        </w:rPr>
        <w:t>万元，主要原因是提前下达202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年专项资金收入及政府性基金收入增加。</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三、机关运行经费安排情况</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年，我局机关运行经费共计安排</w:t>
      </w:r>
      <w:r>
        <w:rPr>
          <w:rFonts w:hint="eastAsia" w:ascii="方正仿宋简体" w:hAnsi="方正仿宋简体" w:eastAsia="方正仿宋简体" w:cs="方正仿宋简体"/>
          <w:sz w:val="32"/>
          <w:szCs w:val="32"/>
          <w:lang w:val="en-US" w:eastAsia="zh-CN"/>
        </w:rPr>
        <w:t>47.05</w:t>
      </w:r>
      <w:r>
        <w:rPr>
          <w:rFonts w:hint="eastAsia" w:ascii="方正仿宋简体" w:hAnsi="方正仿宋简体" w:eastAsia="方正仿宋简体" w:cs="方正仿宋简体"/>
          <w:sz w:val="32"/>
          <w:szCs w:val="32"/>
        </w:rPr>
        <w:t>万元，主要用于办公费</w:t>
      </w:r>
      <w:r>
        <w:rPr>
          <w:rFonts w:hint="eastAsia" w:ascii="方正仿宋简体" w:hAnsi="方正仿宋简体" w:eastAsia="方正仿宋简体" w:cs="方正仿宋简体"/>
          <w:sz w:val="32"/>
          <w:szCs w:val="32"/>
          <w:lang w:val="en-US" w:eastAsia="zh-CN"/>
        </w:rPr>
        <w:t>0.39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000000"/>
          <w:sz w:val="32"/>
          <w:szCs w:val="32"/>
        </w:rPr>
        <w:t>电费</w:t>
      </w:r>
      <w:r>
        <w:rPr>
          <w:rFonts w:hint="eastAsia" w:ascii="方正仿宋简体" w:hAnsi="方正仿宋简体" w:eastAsia="方正仿宋简体" w:cs="方正仿宋简体"/>
          <w:color w:val="000000"/>
          <w:sz w:val="32"/>
          <w:szCs w:val="32"/>
          <w:lang w:val="en-US" w:eastAsia="zh-CN"/>
        </w:rPr>
        <w:t>0.26</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、邮电费</w:t>
      </w:r>
      <w:r>
        <w:rPr>
          <w:rFonts w:hint="eastAsia" w:ascii="方正仿宋简体" w:hAnsi="方正仿宋简体" w:eastAsia="方正仿宋简体" w:cs="方正仿宋简体"/>
          <w:sz w:val="32"/>
          <w:szCs w:val="32"/>
          <w:lang w:val="en-US" w:eastAsia="zh-CN"/>
        </w:rPr>
        <w:t>0.13</w:t>
      </w:r>
      <w:r>
        <w:rPr>
          <w:rFonts w:hint="eastAsia" w:ascii="方正仿宋简体" w:hAnsi="方正仿宋简体" w:eastAsia="方正仿宋简体" w:cs="方正仿宋简体"/>
          <w:sz w:val="32"/>
          <w:szCs w:val="32"/>
        </w:rPr>
        <w:t>万元、办公用房取暖费</w:t>
      </w:r>
      <w:r>
        <w:rPr>
          <w:rFonts w:hint="eastAsia" w:ascii="方正仿宋简体" w:hAnsi="方正仿宋简体" w:eastAsia="方正仿宋简体" w:cs="方正仿宋简体"/>
          <w:sz w:val="32"/>
          <w:szCs w:val="32"/>
          <w:lang w:val="en-US" w:eastAsia="zh-CN"/>
        </w:rPr>
        <w:t>21.54</w:t>
      </w:r>
      <w:r>
        <w:rPr>
          <w:rFonts w:hint="eastAsia" w:ascii="方正仿宋简体" w:hAnsi="方正仿宋简体" w:eastAsia="方正仿宋简体" w:cs="方正仿宋简体"/>
          <w:sz w:val="32"/>
          <w:szCs w:val="32"/>
        </w:rPr>
        <w:t>万元、差旅费</w:t>
      </w:r>
      <w:r>
        <w:rPr>
          <w:rFonts w:hint="eastAsia" w:ascii="方正仿宋简体" w:hAnsi="方正仿宋简体" w:eastAsia="方正仿宋简体" w:cs="方正仿宋简体"/>
          <w:sz w:val="32"/>
          <w:szCs w:val="32"/>
          <w:lang w:val="en-US" w:eastAsia="zh-CN"/>
        </w:rPr>
        <w:t>0.26</w:t>
      </w:r>
      <w:r>
        <w:rPr>
          <w:rFonts w:hint="eastAsia" w:ascii="方正仿宋简体" w:hAnsi="方正仿宋简体" w:eastAsia="方正仿宋简体" w:cs="方正仿宋简体"/>
          <w:sz w:val="32"/>
          <w:szCs w:val="32"/>
        </w:rPr>
        <w:t>万元、会议费</w:t>
      </w:r>
      <w:r>
        <w:rPr>
          <w:rFonts w:hint="eastAsia" w:ascii="方正仿宋简体" w:hAnsi="方正仿宋简体" w:eastAsia="方正仿宋简体" w:cs="方正仿宋简体"/>
          <w:sz w:val="32"/>
          <w:szCs w:val="32"/>
          <w:lang w:val="en-US" w:eastAsia="zh-CN"/>
        </w:rPr>
        <w:t>0.07</w:t>
      </w:r>
      <w:r>
        <w:rPr>
          <w:rFonts w:hint="eastAsia" w:ascii="方正仿宋简体" w:hAnsi="方正仿宋简体" w:eastAsia="方正仿宋简体" w:cs="方正仿宋简体"/>
          <w:sz w:val="32"/>
          <w:szCs w:val="32"/>
        </w:rPr>
        <w:t>万元、培训费</w:t>
      </w:r>
      <w:r>
        <w:rPr>
          <w:rFonts w:hint="eastAsia" w:ascii="方正仿宋简体" w:hAnsi="方正仿宋简体" w:eastAsia="方正仿宋简体" w:cs="方正仿宋简体"/>
          <w:sz w:val="32"/>
          <w:szCs w:val="32"/>
          <w:lang w:val="en-US" w:eastAsia="zh-CN"/>
        </w:rPr>
        <w:t>0.07</w:t>
      </w:r>
      <w:r>
        <w:rPr>
          <w:rFonts w:hint="eastAsia" w:ascii="方正仿宋简体" w:hAnsi="方正仿宋简体" w:eastAsia="方正仿宋简体" w:cs="方正仿宋简体"/>
          <w:sz w:val="32"/>
          <w:szCs w:val="32"/>
        </w:rPr>
        <w:t>万元、公务用车运行维护费</w:t>
      </w:r>
      <w:r>
        <w:rPr>
          <w:rFonts w:hint="eastAsia" w:ascii="方正仿宋简体" w:hAnsi="方正仿宋简体" w:eastAsia="方正仿宋简体" w:cs="方正仿宋简体"/>
          <w:sz w:val="32"/>
          <w:szCs w:val="32"/>
          <w:lang w:val="en-US" w:eastAsia="zh-CN"/>
        </w:rPr>
        <w:t>8.2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退休人员</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万元、其他交通费用8.1万元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w:t>
      </w:r>
      <w:r>
        <w:rPr>
          <w:rFonts w:hint="eastAsia" w:ascii="方正仿宋简体" w:hAnsi="方正仿宋简体" w:eastAsia="方正仿宋简体" w:cs="方正仿宋简体"/>
          <w:sz w:val="32"/>
          <w:szCs w:val="32"/>
          <w:lang w:eastAsia="zh-CN"/>
        </w:rPr>
        <w:t>业务费</w:t>
      </w:r>
      <w:r>
        <w:rPr>
          <w:rFonts w:hint="eastAsia" w:ascii="方正仿宋简体" w:hAnsi="方正仿宋简体" w:eastAsia="方正仿宋简体" w:cs="方正仿宋简体"/>
          <w:sz w:val="32"/>
          <w:szCs w:val="32"/>
          <w:lang w:val="en-US" w:eastAsia="zh-CN"/>
        </w:rPr>
        <w:t>0.13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公务接待费0.</w:t>
      </w:r>
      <w:r>
        <w:rPr>
          <w:rFonts w:hint="eastAsia" w:ascii="方正仿宋简体" w:hAnsi="方正仿宋简体" w:eastAsia="方正仿宋简体" w:cs="方正仿宋简体"/>
          <w:sz w:val="32"/>
          <w:szCs w:val="32"/>
          <w:lang w:val="en-US" w:eastAsia="zh-CN"/>
        </w:rPr>
        <w:t>03</w:t>
      </w:r>
      <w:r>
        <w:rPr>
          <w:rFonts w:hint="eastAsia" w:ascii="方正仿宋简体" w:hAnsi="方正仿宋简体" w:eastAsia="方正仿宋简体" w:cs="方正仿宋简体"/>
          <w:sz w:val="32"/>
          <w:szCs w:val="32"/>
        </w:rPr>
        <w:t>万元、工会经费</w:t>
      </w:r>
      <w:r>
        <w:rPr>
          <w:rFonts w:hint="eastAsia" w:ascii="方正仿宋简体" w:hAnsi="方正仿宋简体" w:eastAsia="方正仿宋简体" w:cs="方正仿宋简体"/>
          <w:sz w:val="32"/>
          <w:szCs w:val="32"/>
          <w:lang w:val="en-US" w:eastAsia="zh-CN"/>
        </w:rPr>
        <w:t>1.33</w:t>
      </w:r>
      <w:r>
        <w:rPr>
          <w:rFonts w:hint="eastAsia" w:ascii="方正仿宋简体" w:hAnsi="方正仿宋简体" w:eastAsia="方正仿宋简体" w:cs="方正仿宋简体"/>
          <w:sz w:val="32"/>
          <w:szCs w:val="32"/>
        </w:rPr>
        <w:t>万元、福利费</w:t>
      </w:r>
      <w:r>
        <w:rPr>
          <w:rFonts w:hint="eastAsia" w:ascii="方正仿宋简体" w:hAnsi="方正仿宋简体" w:eastAsia="方正仿宋简体" w:cs="方正仿宋简体"/>
          <w:sz w:val="32"/>
          <w:szCs w:val="32"/>
          <w:lang w:val="en-US" w:eastAsia="zh-CN"/>
        </w:rPr>
        <w:t>1.54</w:t>
      </w:r>
      <w:r>
        <w:rPr>
          <w:rFonts w:hint="eastAsia" w:ascii="方正仿宋简体" w:hAnsi="方正仿宋简体" w:eastAsia="方正仿宋简体" w:cs="方正仿宋简体"/>
          <w:sz w:val="32"/>
          <w:szCs w:val="32"/>
        </w:rPr>
        <w:t>万元。</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四、财政拨款“三公”经费预算情况及增减变化原因</w:t>
      </w:r>
    </w:p>
    <w:p>
      <w:pPr>
        <w:keepNext w:val="0"/>
        <w:keepLines w:val="0"/>
        <w:pageBreakBefore w:val="0"/>
        <w:widowControl/>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年，我局财政拨款“三公”经费预算安排</w:t>
      </w:r>
      <w:r>
        <w:rPr>
          <w:rFonts w:hint="eastAsia" w:ascii="方正仿宋简体" w:hAnsi="方正仿宋简体" w:eastAsia="方正仿宋简体" w:cs="方正仿宋简体"/>
          <w:sz w:val="32"/>
          <w:szCs w:val="32"/>
          <w:lang w:val="en-US" w:eastAsia="zh-CN"/>
        </w:rPr>
        <w:t>8.23</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84.98</w:t>
      </w:r>
      <w:r>
        <w:rPr>
          <w:rFonts w:hint="eastAsia" w:ascii="方正仿宋简体" w:hAnsi="方正仿宋简体" w:eastAsia="方正仿宋简体" w:cs="方正仿宋简体"/>
          <w:sz w:val="32"/>
          <w:szCs w:val="32"/>
        </w:rPr>
        <w:t>万元。具体安排情况为：</w:t>
      </w:r>
    </w:p>
    <w:p>
      <w:pPr>
        <w:keepNext w:val="0"/>
        <w:keepLines w:val="0"/>
        <w:pageBreakBefore w:val="0"/>
        <w:widowControl/>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（一）公务用车购置及运维费。</w:t>
      </w:r>
      <w:r>
        <w:rPr>
          <w:rFonts w:hint="eastAsia" w:ascii="方正仿宋简体" w:hAnsi="方正仿宋简体" w:eastAsia="方正仿宋简体" w:cs="方正仿宋简体"/>
          <w:sz w:val="32"/>
          <w:szCs w:val="32"/>
        </w:rPr>
        <w:t>共计安排</w:t>
      </w:r>
      <w:r>
        <w:rPr>
          <w:rFonts w:hint="eastAsia" w:ascii="方正仿宋简体" w:hAnsi="方正仿宋简体" w:eastAsia="方正仿宋简体" w:cs="方正仿宋简体"/>
          <w:sz w:val="32"/>
          <w:szCs w:val="32"/>
          <w:lang w:val="en-US" w:eastAsia="zh-CN"/>
        </w:rPr>
        <w:t>8.2</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84.5</w:t>
      </w:r>
      <w:r>
        <w:rPr>
          <w:rFonts w:hint="eastAsia" w:ascii="方正仿宋简体" w:hAnsi="方正仿宋简体" w:eastAsia="方正仿宋简体" w:cs="方正仿宋简体"/>
          <w:sz w:val="32"/>
          <w:szCs w:val="32"/>
        </w:rPr>
        <w:t>万元，主要原因是</w:t>
      </w:r>
      <w:r>
        <w:rPr>
          <w:rFonts w:hint="eastAsia" w:ascii="方正仿宋简体" w:hAnsi="方正仿宋简体" w:eastAsia="方正仿宋简体" w:cs="方正仿宋简体"/>
          <w:sz w:val="32"/>
          <w:szCs w:val="32"/>
          <w:lang w:eastAsia="zh-CN"/>
        </w:rPr>
        <w:t>车辆报废等原因车辆数量的建少</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topLinePunct w:val="0"/>
        <w:bidi w:val="0"/>
        <w:snapToGrid/>
        <w:spacing w:line="570" w:lineRule="exact"/>
        <w:ind w:firstLine="1600" w:firstLineChars="5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1、公务用车购置安排0万元。与上年持平。</w:t>
      </w:r>
    </w:p>
    <w:p>
      <w:pPr>
        <w:keepNext w:val="0"/>
        <w:keepLines w:val="0"/>
        <w:pageBreakBefore w:val="0"/>
        <w:widowControl/>
        <w:kinsoku/>
        <w:wordWrap/>
        <w:overflowPunct/>
        <w:topLinePunct w:val="0"/>
        <w:bidi w:val="0"/>
        <w:snapToGrid/>
        <w:spacing w:line="570" w:lineRule="exact"/>
        <w:ind w:firstLine="1600" w:firstLineChars="5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2、公务运行维护经费安排</w:t>
      </w:r>
      <w:r>
        <w:rPr>
          <w:rFonts w:hint="eastAsia" w:ascii="方正仿宋简体" w:hAnsi="方正仿宋简体" w:eastAsia="方正仿宋简体" w:cs="方正仿宋简体"/>
          <w:sz w:val="32"/>
          <w:szCs w:val="32"/>
          <w:lang w:val="en-US" w:eastAsia="zh-CN"/>
        </w:rPr>
        <w:t>8.2</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84.05</w:t>
      </w:r>
      <w:r>
        <w:rPr>
          <w:rFonts w:hint="eastAsia" w:ascii="方正仿宋简体" w:hAnsi="方正仿宋简体" w:eastAsia="方正仿宋简体" w:cs="方正仿宋简体"/>
          <w:sz w:val="32"/>
          <w:szCs w:val="32"/>
        </w:rPr>
        <w:t>万元，主要原因是</w:t>
      </w:r>
      <w:r>
        <w:rPr>
          <w:rFonts w:hint="eastAsia" w:ascii="方正仿宋简体" w:hAnsi="方正仿宋简体" w:eastAsia="方正仿宋简体" w:cs="方正仿宋简体"/>
          <w:sz w:val="32"/>
          <w:szCs w:val="32"/>
          <w:lang w:eastAsia="zh-CN"/>
        </w:rPr>
        <w:t>车辆报废等原因车辆数量的减少</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sz w:val="32"/>
          <w:szCs w:val="32"/>
        </w:rPr>
        <w:t>安排0.</w:t>
      </w:r>
      <w:r>
        <w:rPr>
          <w:rFonts w:hint="eastAsia" w:ascii="方正仿宋简体" w:hAnsi="方正仿宋简体" w:eastAsia="方正仿宋简体" w:cs="方正仿宋简体"/>
          <w:sz w:val="32"/>
          <w:szCs w:val="32"/>
          <w:lang w:val="en-US" w:eastAsia="zh-CN"/>
        </w:rPr>
        <w:t>03</w:t>
      </w:r>
      <w:r>
        <w:rPr>
          <w:rFonts w:hint="eastAsia" w:ascii="方正仿宋简体" w:hAnsi="方正仿宋简体" w:eastAsia="方正仿宋简体" w:cs="方正仿宋简体"/>
          <w:sz w:val="32"/>
          <w:szCs w:val="32"/>
        </w:rPr>
        <w:t>万元，较上年预算减少0.</w:t>
      </w:r>
      <w:r>
        <w:rPr>
          <w:rFonts w:hint="eastAsia" w:ascii="方正仿宋简体" w:hAnsi="方正仿宋简体" w:eastAsia="方正仿宋简体" w:cs="方正仿宋简体"/>
          <w:sz w:val="32"/>
          <w:szCs w:val="32"/>
          <w:lang w:val="en-US" w:eastAsia="zh-CN"/>
        </w:rPr>
        <w:t>93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主要原因为编制三公经费预算人员的减少。</w:t>
      </w:r>
    </w:p>
    <w:p>
      <w:pPr>
        <w:keepNext w:val="0"/>
        <w:keepLines w:val="0"/>
        <w:pageBreakBefore w:val="0"/>
        <w:widowControl/>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安排0元，与上年持平，无增减变化。没有因公出国安排，所以未安排因公出国费。</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五、绩效预算信息</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楷体简体" w:hAnsi="方正楷体简体" w:eastAsia="方正楷体简体" w:cs="方正楷体简体"/>
          <w:sz w:val="32"/>
          <w:szCs w:val="32"/>
        </w:rPr>
      </w:pPr>
      <w:bookmarkStart w:id="0" w:name="_Toc471398463"/>
      <w:r>
        <w:rPr>
          <w:rFonts w:hint="eastAsia" w:ascii="方正楷体简体" w:hAnsi="方正楷体简体" w:eastAsia="方正楷体简体" w:cs="方正楷体简体"/>
          <w:sz w:val="32"/>
          <w:szCs w:val="32"/>
        </w:rPr>
        <w:t>（一）总体绩效目标：</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2"/>
          <w:szCs w:val="32"/>
        </w:rPr>
        <w:t>结合全市经济社会发展和交通工作实际，确定2022年交通运输工作的总体思路是：坚持以习近平总书记系列重要讲话精神为指导，围绕全市经济社会发展大局，以建设群众满意交通为主线，强力推进公路基础设施改造升级，不断深化交通行业管理，努力推动交通运输发展再上新台阶、实现新跨越，为建设环京津新型工业基地、旅游商贸名城、魅力中等城市、再创遵化发展新辉煌提供有力交通支撑和保障。结合实际情况控制工程成本，节约开支，提高资金使用效率，工程资金控制在预算范围内。专款专用，严把质量关。坚持以人为本，持续保持服务对象的满意度指数。</w:t>
      </w:r>
    </w:p>
    <w:p>
      <w:pPr>
        <w:keepNext w:val="0"/>
        <w:keepLines w:val="0"/>
        <w:pageBreakBefore w:val="0"/>
        <w:kinsoku/>
        <w:wordWrap/>
        <w:overflowPunct/>
        <w:topLinePunct w:val="0"/>
        <w:bidi w:val="0"/>
        <w:snapToGrid/>
        <w:spacing w:line="57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1、农村公路建设</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根据《国务院办公厅关于实施公路安全生命防护工程的意见》，重点支持农村公路安全生命防护工程建设、危桥改造，助力脱贫攻坚，支持乡村振兴，基本完成全省乡道及以上行政等级公路安全隐患治理，进一步完善农村公路安全设施，实现农村公路危桥数量逐年下降。</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绩效指标：维修改造、加固农村公路、危桥；农村公路工程质量合格率达到98％以上；中等以上农村公路占农村公路评定里程的比例达到75%以上；项目实施后较长时期对区域交通状况改善明显。</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2、归还邦宽线贷款</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绩效目标：根据合同约定的还款计划及利率，按期足额偿还利息及贷款本金，确保不出现逾期，影响贷款信用授信。</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绩效指标：按时、足额偿还贷款本金及利息，违约率为0。</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3、普通国省干线公路养护</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绩效目标：通过实施普通干线公路大中修及预防性养护、危桥改造、安保工程及沿线服务设施等专项养护工程，使普通国省干线公路保障有力、安全畅通，保持良好的服务水平。</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绩效指标：工程质量合格率达到100%；处置危桥，处置安防灾害隐患路段。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4、农村公路以奖代补</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绩效目标：以“以奖代补”的形式引导激励市县加大对农村公路养护资金的投入，农村公路养护资金全部纳入财政预算，实现农村公路有路必养。</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绩效指标：引导市县全部落实农村公路日常养护资金，预期县级将农村公路日常养护资金列入财政预算比例达到100%；农村公路技术状况中等以上的比例不低于75%。</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5、公路管理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公路建设、养护、运营进行管理，完成公路建设、养护工程投资，路网结构进一步优化和改善；加大路政、治理超限超载管理，确保公路桥梁等构造物的运行安全，维护路产路权，治理超限运输，保障通行能力，服务水平进一步提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绩效指标：保证公路超限检测站正常运行，普通公路检测超限超载率不超过2%。</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6、道路运输管理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绩效目标：加强货运源头企业监管，推进“两客一危”企业双控机制建设，进一步推动规范使用全省统一的《河北省机动车驾驶培训服务合同》, 全省公路运输量统计及行业规划编制工作持续推进,全省营运车辆“两客一危”动态监管系统运转良好。</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全市道路运输应急保障车辆、政府公示企业巡查派驻监管实现100%，驾校签订机动车驾驶培训服务合同使用率达到100%,按期完成道路运输统计年报、交通运输综合统计年报等公路运输统计和规划编制工作，“两客一危”营运车辆上线率90%以上。 </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7、城市客运管理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指导全市城市客运行业的管理工作，保障行业安全稳定，对全省各市公交和出租汽车企业进行安全检查；完成出租汽车企业和从业人员服务质量信誉考核；指导新能源公交车推广；完成城市客运行业数据报送；城市客运行业信息报送；优先发展公共交通示范城市创建工作。</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全市公交和出租汽车企业整改率达到100%；完成出租汽车企业和从业人员服务质量信誉考核工作，工作完成率达100%；新能源车推广，新增及更换公交车新能源比重达到85%；行业数据报送完成率达到100%；对城市创建工作进行评估，评估率达100%。</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8、水路运输管理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绩效目标：全面梳理水路交通发展历史进程，系统总结实践经验；做好航道导助航标志的日常维护管理；加强水上交通安全管理；加强水运工程质量监督。</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绩效指标：导助航标志配布与发光率达到98%；水上交通安全检查不少于2次；水运工程质量安全检查不低于12次。</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9、综合事务管理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绩效目标：深入推进京津冀交通一体化，持续做好</w:t>
      </w:r>
      <w:r>
        <w:rPr>
          <w:rFonts w:hint="eastAsia" w:ascii="方正仿宋简体" w:hAnsi="方正仿宋简体" w:eastAsia="方正仿宋简体" w:cs="方正仿宋简体"/>
          <w:sz w:val="32"/>
          <w:szCs w:val="32"/>
          <w:lang w:eastAsia="zh-CN"/>
        </w:rPr>
        <w:t>防范化解重大风险</w:t>
      </w:r>
      <w:r>
        <w:rPr>
          <w:rFonts w:hint="eastAsia" w:ascii="方正仿宋简体" w:hAnsi="方正仿宋简体" w:eastAsia="方正仿宋简体" w:cs="方正仿宋简体"/>
          <w:sz w:val="32"/>
          <w:szCs w:val="32"/>
        </w:rPr>
        <w:t>工作，继续深化供给侧结构性改革，加强法治建设，做好行政许可审批，加强队伍建设，做好巡察等工作；开展质量、安全监督，对普通公路建设项目进行行业指导，开展绩效评价工作，保障公路建设质量稳定发展，实现公路建设质量水平持续提高。</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绩效指标：对运输结构调整进行动态监测分析，完成城乡交通运输一体化发展水平评估；开展综合立体交通网规划研究和综合交通</w:t>
      </w:r>
      <w:bookmarkStart w:id="26" w:name="_GoBack"/>
      <w:bookmarkEnd w:id="26"/>
      <w:r>
        <w:rPr>
          <w:rFonts w:hint="eastAsia" w:ascii="方正仿宋简体" w:hAnsi="方正仿宋简体" w:eastAsia="方正仿宋简体" w:cs="方正仿宋简体"/>
          <w:sz w:val="32"/>
          <w:szCs w:val="32"/>
        </w:rPr>
        <w:t>运输规划前期研究；完成公路工程质量监督、安全检查计划，完成交竣工项目的质量检测鉴定工作。</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 （三）工作保障措施</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关于全面实施预算绩效管理的实施意见》（冀发〔2018〕54号）、《河北省省级部门预算绩效管理办法》（冀财绩〔2019〕4号）和《河北省省级部门预算绩效目标设定规范》（冀财绩〔2019〕6号）等文件精神，我局将采取切实有效的工作保障措施，科学确定总体绩效目标和分项绩效目标，加强预算绩效管理，做好绩效自评和整体评价。</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在局党组的坚强领导下，制定预算绩效管理有关制度办法、完善财务管理规定，建立健全绩效评价领导机构和工作机构，科学确定全年预算绩效目标，客观评价年度完成情况。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2.加强支出和绩效管理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优化支出结构、编细编实预算，及早履行政府采购手续、尽快启动项目、及时支付资金、确保支出进度达标，提高财政资金使用效益。按要求开展上年度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3.规范财政资金、财务资产管理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政资金使用效益，坚持依法理财，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4.强化宣传引导</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组织开展多轮次、多角度的业务培训，使交通运输</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干部职工牢固树立绩效理念，熟悉管理流程，掌握工作方法，提升管理能力。各单位探索工作经验，及时总结交通运输系统预算绩效管理成效，营造良好的舆论氛围，提升预算绩效管理水平。</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bookmarkEnd w:id="0"/>
    <w:p>
      <w:pPr>
        <w:keepNext w:val="0"/>
        <w:keepLines w:val="0"/>
        <w:pageBreakBefore w:val="0"/>
        <w:kinsoku/>
        <w:wordWrap/>
        <w:overflowPunct/>
        <w:topLinePunct w:val="0"/>
        <w:bidi w:val="0"/>
        <w:snapToGrid/>
        <w:spacing w:line="570" w:lineRule="exact"/>
        <w:ind w:firstLine="360" w:firstLineChars="200"/>
        <w:jc w:val="center"/>
        <w:rPr>
          <w:rFonts w:ascii="新宋体" w:hAnsi="新宋体" w:eastAsia="新宋体" w:cs="Times New Roman"/>
          <w:sz w:val="18"/>
          <w:szCs w:val="18"/>
        </w:rPr>
      </w:pPr>
      <w:r>
        <w:rPr>
          <w:rFonts w:ascii="新宋体" w:hAnsi="新宋体" w:eastAsia="新宋体" w:cs="新宋体"/>
          <w:sz w:val="18"/>
          <w:szCs w:val="18"/>
        </w:rPr>
        <w:t xml:space="preserve"> </w:t>
      </w:r>
    </w:p>
    <w:p>
      <w:pPr>
        <w:keepNext w:val="0"/>
        <w:keepLines w:val="0"/>
        <w:pageBreakBefore w:val="0"/>
        <w:numPr>
          <w:ilvl w:val="0"/>
          <w:numId w:val="2"/>
        </w:numPr>
        <w:kinsoku/>
        <w:wordWrap/>
        <w:overflowPunct/>
        <w:topLinePunct w:val="0"/>
        <w:bidi w:val="0"/>
        <w:snapToGrid/>
        <w:spacing w:line="570" w:lineRule="exact"/>
        <w:ind w:left="-13" w:leftChars="0" w:firstLine="643" w:firstLineChars="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预算项目绩效目标</w:t>
      </w:r>
    </w:p>
    <w:p>
      <w:pPr>
        <w:keepNext w:val="0"/>
        <w:keepLines w:val="0"/>
        <w:pageBreakBefore w:val="0"/>
        <w:widowControl w:val="0"/>
        <w:numPr>
          <w:ilvl w:val="0"/>
          <w:numId w:val="0"/>
        </w:numPr>
        <w:kinsoku/>
        <w:wordWrap/>
        <w:overflowPunct/>
        <w:topLinePunct w:val="0"/>
        <w:bidi w:val="0"/>
        <w:snapToGrid/>
        <w:spacing w:line="570" w:lineRule="exact"/>
        <w:jc w:val="both"/>
        <w:rPr>
          <w:rFonts w:hint="eastAsia" w:ascii="新宋体" w:hAnsi="新宋体" w:eastAsia="新宋体" w:cs="新宋体"/>
          <w:b/>
          <w:bCs/>
          <w:sz w:val="32"/>
          <w:szCs w:val="32"/>
        </w:rPr>
      </w:pP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color w:val="000000"/>
          <w:sz w:val="28"/>
        </w:rPr>
      </w:pPr>
      <w:bookmarkStart w:id="1" w:name="_Toc_4_4_0000000004"/>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color w:val="000000"/>
          <w:sz w:val="28"/>
        </w:rPr>
      </w:pP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color w:val="000000"/>
          <w:sz w:val="28"/>
        </w:rPr>
      </w:pP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1.邦宽公路港陆专用路大修工程绩效目标表</w:t>
      </w:r>
      <w:bookmarkEnd w:id="1"/>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13028122P00222410001L</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邦宽公路港陆专用路大修工程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429.65</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429.65</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用于邦宽线港陆专用公路大修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1.根据公路工程大修施工技术标准，严把工程质量，按规范进行验收完工，保证工程质量。</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2022年拟实施项目个数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经请示市领导，财政遵财答复【2021】1022号批复本级负担1432.15万元，分3年支付（3.3.4）。</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1项</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工程施工质量标准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根据公路工程大修施工技术标准，严把工程质量，按规范进行验收完工，保证工程质量。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工程完工时限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根据施工计划分三年按照3.3.4的比例进行阶段施工，本阶段在年底完成。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按照施工工可并结合实际，合理安排支出，节约工程成本，控制在预算范围内。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促进经济增长</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不断加快社会进步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对港陆公司等的运输业提供了良好的交通环境，促进行业发展，加快社会进步。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抑制了飘洒扬尘</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通过路况的改善，货物运输的飘洒扬尘情况得到极大改善。</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持续影响港陆公司为主的运输行业发展，为经济发展起到积极作用。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 w:name="_Toc_4_4_0000000005"/>
      <w:r>
        <w:rPr>
          <w:rFonts w:hint="eastAsia" w:ascii="方正仿宋简体" w:hAnsi="方正仿宋简体" w:eastAsia="方正仿宋简体" w:cs="方正仿宋简体"/>
          <w:b w:val="0"/>
          <w:bCs/>
          <w:color w:val="000000"/>
          <w:sz w:val="28"/>
        </w:rPr>
        <w:t>2.邦宽线养护经费绩效目标表</w:t>
      </w:r>
      <w:bookmarkEnd w:id="2"/>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13028122P003172100018</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邦宽线养护经费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413.00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413.00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用于国省干线养护经费资金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1.邦宽线公路做到整洁、美观，车辆、行人出行做到畅通、安全，项目资金专款专用，全部用于养护方面开支。</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公路里程</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项目资金主要用于邦宽线的日常养护工作，邦宽线遵化段里程共计51.748公里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51.75公里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合格以上项目个数占总项目个数的比例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资金列支时间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计划按季度拨付农村公路配套资金，于2022年底，资金全部列支到位。保障公路建设及养护工作的正常开展。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减少养护工程投资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按照养护工程重点，充分有效利用项目资金，降低成本节约资金。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对社会经济发展的影响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公路建设和养护，有效推动沿线乡镇经济发展。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方便群众出行，改善群众出行条件，构建外通内畅运输网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公路的公益性建设，会使得农村公路得到保洁和畅通，促进生态效益发展。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项目建成后对交通状况改善影响时间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公路建设维护提高公路好路率,使得交通状况保持良好，保障了行人车辆出行安全畅通。</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社会公众出行满意度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社会公众出行满意度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3" w:name="_Toc_4_4_0000000006"/>
      <w:r>
        <w:rPr>
          <w:rFonts w:hint="eastAsia" w:ascii="方正仿宋简体" w:hAnsi="方正仿宋简体" w:eastAsia="方正仿宋简体" w:cs="方正仿宋简体"/>
          <w:b w:val="0"/>
          <w:bCs/>
          <w:color w:val="000000"/>
          <w:sz w:val="28"/>
        </w:rPr>
        <w:t>3.偿还邦宽线贷款本金及利息绩效目标表</w:t>
      </w:r>
      <w:bookmarkEnd w:id="3"/>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13028122P00232610001P</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偿还邦宽线贷款本金及利息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6323.00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6323.00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用于偿还邦宽线贷款本金及利息，根据以前年度收费能力测算，预计2022年度约收取通行费6326万元用于偿还邦宽线建设所贷款项。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1.完善资金收缴体系，加大通行费收入，加快还贷进度。依据还贷合同约定，及时偿还贷款。　</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贷款本金及利息</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根据收费能力测算，2022年计划偿还本息6326万元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≥6326万元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按时还本还息</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结合实际并及时合理调整收费机制，尽量提高通行费收入金额，已保障及早偿还邦宽线修建贷款。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按合同约定每月20日前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根据建遵基贷字【2019】01号合同规定，于每月20日前偿还建设银行贷款。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银行利息通知单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根据每月通行费收入，经测算按银行利息通知单及时拨付资金，并做好还贷手续。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完善管理体制，增加收费额</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合理运行收费机制、加大通行收费力度，以尽快还清贷款。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及时还贷，保证信誉度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及时还贷履行了合同期限，保证了还贷信誉，使我单位不会失信，在社会中的信誉不会下滑。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促进生态建设</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还贷</w:t>
            </w:r>
            <w:r>
              <w:rPr>
                <w:rFonts w:hint="eastAsia" w:ascii="方正仿宋简体" w:hAnsi="方正仿宋简体" w:eastAsia="方正仿宋简体" w:cs="方正仿宋简体"/>
                <w:b w:val="0"/>
                <w:bCs/>
                <w:lang w:eastAsia="zh-CN"/>
              </w:rPr>
              <w:t>结余资金</w:t>
            </w:r>
            <w:r>
              <w:rPr>
                <w:rFonts w:hint="eastAsia" w:ascii="方正仿宋简体" w:hAnsi="方正仿宋简体" w:eastAsia="方正仿宋简体" w:cs="方正仿宋简体"/>
                <w:b w:val="0"/>
                <w:bCs/>
              </w:rPr>
              <w:t>能够用于公路养护，保证公路好路率，促进生态效益建设。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持续影响单位信誉</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按照贷款合同约定按期偿还本金、支付利息，不出现贷款本息逾期现象，保持良好信誉。</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4" w:name="_Toc_4_4_0000000007"/>
      <w:r>
        <w:rPr>
          <w:rFonts w:hint="eastAsia" w:ascii="方正仿宋简体" w:hAnsi="方正仿宋简体" w:eastAsia="方正仿宋简体" w:cs="方正仿宋简体"/>
          <w:b w:val="0"/>
          <w:bCs/>
          <w:color w:val="000000"/>
          <w:sz w:val="28"/>
        </w:rPr>
        <w:t>4.偿还邦宽线贷款本金及利息绩效目标表</w:t>
      </w:r>
      <w:bookmarkEnd w:id="4"/>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13028122P00354810001K</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偿还邦宽线贷款本金及利息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用于偿还邦宽线修建工程所欠银行贷款资金。按照贷款合同和收费能力列入预算逐年偿还。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1.完善资金收缴体系，加大通行费收入，提高还贷能力。</w:t>
            </w:r>
          </w:p>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2.加快还贷进度，依据还贷合同约定，及时偿还贷款。</w:t>
            </w:r>
          </w:p>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3.按照预算规定形成指标，依据规范使用资金。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贷款本金及利息</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根据收费能力测算，2022年计划偿还本息6326万元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≥6326万元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按时还本还息</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结合实际并及时合理调整收费机制，尽量提高通行费收入金额，已保障及早偿还邦宽线修建贷款。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按合同约定每月20日前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根据建遵基贷字【2019】01号合同规定，于每月20日前偿还建设银行贷款。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银行利息通知单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根据每月通行费收入，经测算按银行利息通知单及时拨付资金，并做好还贷手续。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完善管理体制，增加收费额</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合理运行收费机制、加大通行收费力度，以尽快还清贷款。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及时还贷，保证信誉度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及时还贷履行了合同期限，保证了还贷信誉，使我单位不会失信，在社会中的信誉不会下滑。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促进生态建设</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还贷</w:t>
            </w:r>
            <w:r>
              <w:rPr>
                <w:rFonts w:hint="eastAsia" w:ascii="方正仿宋简体" w:hAnsi="方正仿宋简体" w:eastAsia="方正仿宋简体" w:cs="方正仿宋简体"/>
                <w:b w:val="0"/>
                <w:bCs/>
                <w:lang w:eastAsia="zh-CN"/>
              </w:rPr>
              <w:t>结余资金</w:t>
            </w:r>
            <w:r>
              <w:rPr>
                <w:rFonts w:hint="eastAsia" w:ascii="方正仿宋简体" w:hAnsi="方正仿宋简体" w:eastAsia="方正仿宋简体" w:cs="方正仿宋简体"/>
                <w:b w:val="0"/>
                <w:bCs/>
              </w:rPr>
              <w:t>能够用于公路养护，保证公路好路率，促进生态效益建设。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持续影响单位信誉</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按照贷款合同约定按期偿还本金、支付利息，不出现贷款本息逾期现象，保持良好信誉。</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5" w:name="_Toc_4_4_0000000008"/>
      <w:r>
        <w:rPr>
          <w:rFonts w:hint="eastAsia" w:ascii="方正仿宋简体" w:hAnsi="方正仿宋简体" w:eastAsia="方正仿宋简体" w:cs="方正仿宋简体"/>
          <w:b w:val="0"/>
          <w:bCs/>
          <w:color w:val="000000"/>
          <w:sz w:val="28"/>
        </w:rPr>
        <w:t>5.城乡客运一体化建设绩效目标表</w:t>
      </w:r>
      <w:bookmarkEnd w:id="5"/>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13028122P002574100010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城乡客运一体化建设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1765.00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1765.00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根据我市目前公交现状，向原经营者发放收购补偿资金1105万元，基础充电桩、招呼站牌、变压器等基础设施440万元，40辆运营亏损补贴220万元。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1.积极落实上级精神，于今年年底实现公交化全覆盖。</w:t>
            </w:r>
          </w:p>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2.带动经济快速发展，提高社会发展活力。</w:t>
            </w:r>
          </w:p>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3.提高城乡居民生产生活水平，降低车辆排放空气污染，改善生态环境。</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建设城乡客运线路数量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该指标项目通车完成情况，共计6条线路。</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6条</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城乡客运旅客数量增长率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本年运输旅客数较上年增长比率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完成城乡公交一体化时限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按照上级指示精神，计划于今年底实现公交化全覆盖</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于今年底实现公交化全覆盖</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客运运输能力带动经济发展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客运运输的能力提高，促进了客流量的增加，刺激了经济发展。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提高了社会发展活力</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客运人数流量的增加，促进了社会发展活力。</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加速了生态环境建设进程</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新能源公交车的投入使用，减少了私家车的出行数量，降低了空气污染，提升了生态环境质量。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持续影响城乡居民生成生活</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城乡公交一体化的实施，给城乡居民带来极大便利，方便了生活，降低了开支，对多方面起到了持续的积极作用。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群众满意度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群众满意度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6" w:name="_Toc_4_4_0000000009"/>
      <w:r>
        <w:rPr>
          <w:rFonts w:hint="eastAsia" w:ascii="方正仿宋简体" w:hAnsi="方正仿宋简体" w:eastAsia="方正仿宋简体" w:cs="方正仿宋简体"/>
          <w:b w:val="0"/>
          <w:bCs/>
          <w:color w:val="000000"/>
          <w:sz w:val="28"/>
        </w:rPr>
        <w:t>6.国防公路建设公益人员生活补贴项目绩效目标表</w:t>
      </w:r>
      <w:bookmarkEnd w:id="6"/>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13028122P00221610001Q</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国防公路建设公益人员生活补贴项目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49.00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49.00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国防公益人员生活补贴资金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31%</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1.积极与乡镇沟通，认真核实享受补贴人员数量情况，严格按照补贴标准及时拨付补贴资金。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全市国防工役制人员数量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经摸排确认，2020年12月共有工役制人员及工役制家属人员数量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45个</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符合条件申报对象覆盖率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享受政策人数占符合条件申报对象总数的比例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支付时限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每季度末根据各乡镇的摸底核实，确定发放对象数量金额，于每季度末争取资金到位，当月发放到位。</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符合条件申报对象覆盖率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享受扶助政策人数占符合条件申报对象总数的比例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增加经济收入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改善了国防工役制建设人员的生活条件，使得万年生活得到保障。</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促进社会和谐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国防工役制人员生活得到保障，提高补助对象满意度 ，维护了社会稳定，促进了社会和谐。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生态环境改善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国防公益建设促进了公路发展建设的早期发展，对生态环境改善起到促进作用。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≥96%</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对社会持续影响作用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补贴了国防公路建设人员生活，排除信访隐患，持续维护了社会稳定。</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7" w:name="_Toc_4_4_0000000010"/>
      <w:r>
        <w:rPr>
          <w:rFonts w:hint="eastAsia" w:ascii="方正仿宋简体" w:hAnsi="方正仿宋简体" w:eastAsia="方正仿宋简体" w:cs="方正仿宋简体"/>
          <w:b w:val="0"/>
          <w:bCs/>
          <w:color w:val="000000"/>
          <w:sz w:val="28"/>
        </w:rPr>
        <w:t>7.国省干线日常养护经费（冀财建【2021】196号）绩效目标表</w:t>
      </w:r>
      <w:bookmarkEnd w:id="7"/>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13028122P002222100019</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国省干线日常养护经费（冀财建【2021】196号）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443.00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443.00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资金用于国省干线日常养护。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1.通过实施公路养护工程及日常养护，保证公路行车安全畅通。出行环境舒适。及时争取资金，专款专用，提高资金使用效益。</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国道112线遵化段里程数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国道112线共计管养里程44.574公里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44.57公里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国道建设及养护工程质量合格百分比达到95%以上。</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预算指标及时形成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及时形成指标，按季度拨付，年底资金列支完成，保障公路建设及养护工作的正常开展。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减少养护工程投资成本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提高养护工程成本节约率，节约成本、控制开支，控制在预算资金范围内。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对社会经济发展的影响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国道建设养护工作，使得道路洁净畅通，有效带动经济发展，经济发展率持续提高。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国道的畅通整洁，使得车流量增长比率持续提高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公路的经常性养护使公路环境得到明显改善。</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公路交通的持续作用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保持了公路交通的畅通整洁，路况改善逐步提高。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8" w:name="_Toc_4_4_0000000011"/>
      <w:r>
        <w:rPr>
          <w:rFonts w:hint="eastAsia" w:ascii="方正仿宋简体" w:hAnsi="方正仿宋简体" w:eastAsia="方正仿宋简体" w:cs="方正仿宋简体"/>
          <w:b w:val="0"/>
          <w:bCs/>
          <w:color w:val="000000"/>
          <w:sz w:val="28"/>
        </w:rPr>
        <w:t>8.冀财建【2021】205号 提前下达2022年车购税补助地方第一批绩效目标表</w:t>
      </w:r>
      <w:bookmarkEnd w:id="8"/>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13028122P00225910001N</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提前下达2022年车购税补助地方第一批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2022年中央车购税补助收入资金用于补助农村公路建设项目，遵化段补助151万元。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1.完成公路建设、养护工程任务；路网结构和公路路况进一步优化和改善，公路通行能力进一步提升。</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年度改造农村公路里程</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遵化范围内年度改造农村公路公里数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资金使用合规性</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按照上级资金使用规范合理合规使用资金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按期完成投资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2022年底争取资金到位并完成投资项目</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节约成本，保证完成项目合格率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就地取材，节约成本，保证项目验收合格率。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对经济发展的促进作用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提高公路交通运输能力，促进经济发展。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公共服务水平、公路安全水平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维护好农村公路质量，提高公共服务水平。及时清理飘洒、路障、维护好安全设施，提高公路安全水平。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交通建设符合环评审批要求</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严格控制建设的环保质量，符合环评审批要求。</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公路项目适应未来一定时期内交通要求</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公路项目适应未来一定时期内交通要求</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改善通行服务水平群众满意度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改善通行服务水平群众满意度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9" w:name="_Toc_4_4_0000000012"/>
      <w:r>
        <w:rPr>
          <w:rFonts w:hint="eastAsia" w:ascii="方正仿宋简体" w:hAnsi="方正仿宋简体" w:eastAsia="方正仿宋简体" w:cs="方正仿宋简体"/>
          <w:b w:val="0"/>
          <w:bCs/>
          <w:color w:val="000000"/>
          <w:sz w:val="28"/>
        </w:rPr>
        <w:t>9.冀财建【2021】238号提前下达农村公路专项资金绩效目标表</w:t>
      </w:r>
      <w:bookmarkEnd w:id="9"/>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13028122P00354710001X</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冀财建【2021】238号提前下达农村公路专项资金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599.00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599.00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完成公路建设任务；路网结构和公路路况进一步优化和改善，公路通行能力进一步提升。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1.完成公路建设任务；路网结构和公路路况进一步优化和改善，公路通行能力进一步提升。</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农村公路建设改造公里数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遵化市境内农村公路改造里程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农村公路建设改造工程合格率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项目完成时间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2022年项目于2022年12月底完成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工程项目造价</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工程项目造价成本控制在预算范围内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改善公路交通环境，带动经济发展。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推动社会进步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交通量的增加，有效推动了社会进步。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持续影响基本服务公共水平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农村公路管养人员车辆的增加和改良，直接影响了养护质量，持续影响基本服务公共水平。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持续影响农村公路使用寿命</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农村公路的日常保养到位，能够直接影响农村公路的使用寿命。</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社会公众和服务对象满意度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社会公众和服务对象满意度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0" w:name="_Toc_4_4_0000000013"/>
      <w:r>
        <w:rPr>
          <w:rFonts w:hint="eastAsia" w:ascii="方正仿宋简体" w:hAnsi="方正仿宋简体" w:eastAsia="方正仿宋简体" w:cs="方正仿宋简体"/>
          <w:b w:val="0"/>
          <w:bCs/>
          <w:color w:val="000000"/>
          <w:sz w:val="28"/>
        </w:rPr>
        <w:t>10.冀财建【2021】239号提前下达2022年普通国省干线公路建设养护发展专项资金绩效目标表</w:t>
      </w:r>
      <w:bookmarkEnd w:id="10"/>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13028122P003484100012</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普通干线农村公路日常养护资金。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1.普通干线农村公路日常养护资金。节约开支，控制在预算范围内。</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补助资金项目个数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包括普通国省干线养护工程项目补助、普通国省干线日常养护补助、普通公路超限检测站补助。</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3项</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工程质量验收合格</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完成项目时间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于2022年年底前完成全部养护工程、日常养护及超限超载任务。</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工程项目造价</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节约成本，将专项资金开支控制在预算范围内。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增加运输业的经济收入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公路环境的改善，能够提高运输效率，增加人民经济收入。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对社会发展的促进作用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对社会发展进步起到积极促进作用。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持续影响人民生活水平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能够持续影响人民的生活水平。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基本公共服务水平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能够持续影响基本公共服务水平。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社会公众和服务对象满意度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社会公众和服务对象满意度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≥96%</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1" w:name="_Toc_4_4_0000000014"/>
      <w:r>
        <w:rPr>
          <w:rFonts w:hint="eastAsia" w:ascii="方正仿宋简体" w:hAnsi="方正仿宋简体" w:eastAsia="方正仿宋简体" w:cs="方正仿宋简体"/>
          <w:b w:val="0"/>
          <w:bCs/>
          <w:color w:val="000000"/>
          <w:sz w:val="28"/>
        </w:rPr>
        <w:t>11.交通道路保洁一体化服务费绩效目标表</w:t>
      </w:r>
      <w:bookmarkEnd w:id="11"/>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13028122P002687100010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418.79</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418.79</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用于支付保洁公司所养护的路线保洁款，主要用于，路面清扫、垃圾清运、绿化养护等各项保洁一体化服务。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1.做好公路养护市场化工作的指导、监督与考核，确保公路养护保洁效果。科学测算保洁公司运行期间产生费用，并结合财政依法拨付资金。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签订合同单位个数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分别由山东伟琦物业公司和鸿鑫环境科技公司2个单位承包养护保洁项目</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2个</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养护保洁工作合格率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根据保洁市场化项目合同内容，考核保洁市场化成效，合格率是否达标。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保洁合同期限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根据保洁合同，服务期限为2021年1月1日-2023年12月31日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合同</w:t>
            </w:r>
            <w:r>
              <w:rPr>
                <w:rFonts w:hint="eastAsia" w:ascii="方正仿宋简体" w:hAnsi="方正仿宋简体" w:eastAsia="方正仿宋简体" w:cs="方正仿宋简体"/>
                <w:b w:val="0"/>
                <w:bCs/>
                <w:lang w:eastAsia="zh-CN"/>
              </w:rPr>
              <w:t>截至</w:t>
            </w:r>
            <w:r>
              <w:rPr>
                <w:rFonts w:hint="eastAsia" w:ascii="方正仿宋简体" w:hAnsi="方正仿宋简体" w:eastAsia="方正仿宋简体" w:cs="方正仿宋简体"/>
                <w:b w:val="0"/>
                <w:bCs/>
              </w:rPr>
              <w:t>2023年12月31日止</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估算成本在预算范围内</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根据服务范围和服务内容，估算服务成本，合理控制在预算范围内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吸收闲置劳动力，促进经济发展。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服务范围大，能够吸收沿线闲置的附近劳动力，增加额外经济收入。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丰富了社会经济运转内容，促进社会发展。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能够就地用人，就地取材，灵活机动性强，促进了社会发展。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路容路貌干净整洁</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路容路貌得到及时管养，美化了路域环境。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项目持续影响效果</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群众交通安全意识、文明意识进一步提高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服务对象的满意度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服务对象的满意度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2" w:name="_Toc_4_4_0000000015"/>
      <w:r>
        <w:rPr>
          <w:rFonts w:hint="eastAsia" w:ascii="方正仿宋简体" w:hAnsi="方正仿宋简体" w:eastAsia="方正仿宋简体" w:cs="方正仿宋简体"/>
          <w:b w:val="0"/>
          <w:bCs/>
          <w:color w:val="000000"/>
          <w:sz w:val="28"/>
        </w:rPr>
        <w:t>12.农村公路建设改造工程（冀财建【2021】196号）绩效目标表</w:t>
      </w:r>
      <w:bookmarkEnd w:id="12"/>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13028122P00316710001D</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农村公路建设改造工程（冀财建【2021】196号）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1162.00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1162.00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1.养护工程项目验收合格，养护任务达标，改善农村公路交通环境，建设好村村通项目开展。</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完成农村公路建设改造范围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遵化境内农村公路共计801条，列养公里1800.77公里。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遵化境内农村公路共计801条，列养公里1800.77公里。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养护工程完成时限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于2022年底完成所有养护工程任务</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合理分配，减少养护工程投资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严格控制成本，在保障工程的稳步实施中，合理规划工程成本资金。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对社会经济发展的影响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做好农村公路建设和养护，有效推动沿线乡镇经济发展，提升农村公路面貌。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方便群众出行，改善群众出行条件，构建外通内畅运输网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持续优化农村公路路域环境，促进城乡环境发展。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持续带来社会效益</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深化农村公路建设网络，持续影响公路便捷带来的社会效益。</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社会公众或服务对象满意度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社会公众或服务对象满意度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3" w:name="_Toc_4_4_0000000016"/>
      <w:r>
        <w:rPr>
          <w:rFonts w:hint="eastAsia" w:ascii="方正仿宋简体" w:hAnsi="方正仿宋简体" w:eastAsia="方正仿宋简体" w:cs="方正仿宋简体"/>
          <w:b w:val="0"/>
          <w:bCs/>
          <w:color w:val="000000"/>
          <w:sz w:val="28"/>
        </w:rPr>
        <w:t>13.农村公路养护工程补助资金（冀财建【2021】196号）绩效目标表</w:t>
      </w:r>
      <w:bookmarkEnd w:id="13"/>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13028122P00222310001Y</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农村公路养护工程补助资金（冀财建【2021】196号）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405.00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405.00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用于农村公路养护及日常修补资金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1.通过实施公路养护工程及日常养护，保证公路安全畅通。及时争取资金，专款专用，提高资金使用效益。</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完成农村公路日常养护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完成农村公路日常养护任务比率，合理计划农村公路日常养护任务，每次日常养护任务达标率达95%以上</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参照农村公路养护工程施工标准，严格把关养护工程质量合格百分比。</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资金列支时间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计划按季度拨付养护资金，以保障公路养护工程的正常开展，于年底列支完成。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减少养护工程投资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合理规划，以政治任务为主，日常养护为辅，控制养护工程成本，节约养护开支。</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对社会经济发展的影响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农村公路日常养护维护及养护工程建设，通过劳动力的加入和路况的改善带动了周边经济发展，逐步提高经济增长。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通过交通养护工程和日常养护工作，路况得到维持和改善的同时，车流量逐步增加。</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不断改善了交通环境，同时促进了生态环境建设进步。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公路交通的持续作用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公路交通持续影响了周边经济、环境建设、社会进步等方面</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4" w:name="_Toc_4_4_0000000017"/>
      <w:r>
        <w:rPr>
          <w:rFonts w:hint="eastAsia" w:ascii="方正仿宋简体" w:hAnsi="方正仿宋简体" w:eastAsia="方正仿宋简体" w:cs="方正仿宋简体"/>
          <w:b w:val="0"/>
          <w:bCs/>
          <w:color w:val="000000"/>
          <w:sz w:val="28"/>
        </w:rPr>
        <w:t>14.平东线（平安城-G112线段）大修工程绩效目标表</w:t>
      </w:r>
      <w:bookmarkEnd w:id="14"/>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13028122P00222810001B</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平东线（平安城-G112线段）大修工程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437.70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437.70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用于平东线（平安城-G112线段）大修工程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1.按照公路技术标准与施工工可并结合实际情况控制工程成本，节约开支，严把质量关，工程资金控制在预算范围内，专款专用，提高资金使用效率。</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新改建公里数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按照二级公路标准建设，总投资2822.66万元。全长19.491公里，4个行车道15米宽路面维修。</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19.49公里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公路技术标准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2级公路技术标准进行施工，严把质量关，控制合格率。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开完工时间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计划于2022年底，资金到位并完成工程建设。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工程施工过程中，按照施工工可并结合实际，合理安排支出，节约工程成本。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带动经济提升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工程建设期间吸收了周边空闲劳动力的投入，带动沿线经济收入。建成后，交通路况的改善也会促进运输业的发展，带动周边经济增长。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交通环境的改善能够不断促进我市旅游业等社会行业发展，促进社会进步。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美化改善环境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通过路况的改善，美化公路旅游环境，增涨了生态指标提高。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项目建成后路况的畅通、美化、和舒适，将持续影响运输业、旅游业等各行业的发展，促进社会文明进步。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服务对象调查满意度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服务对象调查满意度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5" w:name="_Toc_4_4_0000000018"/>
      <w:r>
        <w:rPr>
          <w:rFonts w:hint="eastAsia" w:ascii="方正仿宋简体" w:hAnsi="方正仿宋简体" w:eastAsia="方正仿宋简体" w:cs="方正仿宋简体"/>
          <w:b w:val="0"/>
          <w:bCs/>
          <w:color w:val="000000"/>
          <w:sz w:val="28"/>
        </w:rPr>
        <w:t>15.伤残职工抚恤金及人员专项经费绩效目标表</w:t>
      </w:r>
      <w:bookmarkEnd w:id="15"/>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13028122P00221710001E</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伤残职工抚恤金及人员专项经费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11.78</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11.78</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用于交通局伤残职工的日常补助与工资、保险等支出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1.严格按照财政审批手续及时申请资金，保障资金及时到位。专款专用,不挤占挪用,严格按照国家文件规定使用资金.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伤残职工人员数量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经过严格核实，确定发放伤残职工人员数量。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5人</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伤残职工补贴标准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按照相关文件要求，确定符合伤残职工人员补贴标准，合法合规。</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支付时间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按月和季度发放资金，保障伤残补贴及时发放和保险及时缴纳。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伤残职工补贴及保险预算成本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按照年度保险单及伤残补贴发放文件为基础，确定年度资金成本，合理编制年度预算。</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补贴项目发放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补贴项目专款专用，补挤占挪用，及时发放。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社会稳定水平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提高补助对象满意度 ，维护了社会稳定，促进了社会和谐，排除信访隐患。</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促进生态环境改善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为早期公路建设做出了贡献，促进了生态环境的发展。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项目能持续运行，项目依据的政策能持续执行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补贴对象满意度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被补贴对象对此项补贴政策及实施情况满意度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6" w:name="_Toc_4_4_0000000019"/>
      <w:r>
        <w:rPr>
          <w:rFonts w:hint="eastAsia" w:ascii="方正仿宋简体" w:hAnsi="方正仿宋简体" w:eastAsia="方正仿宋简体" w:cs="方正仿宋简体"/>
          <w:b w:val="0"/>
          <w:bCs/>
          <w:color w:val="000000"/>
          <w:sz w:val="28"/>
        </w:rPr>
        <w:t>16.省道邦宽线重点路段大修工程绩效目标表</w:t>
      </w:r>
      <w:bookmarkEnd w:id="16"/>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13028122P00259410001E</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省道邦宽线重点路段大修工程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1425.00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1425.00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用于邦宽线养护建设资金，包括北京鑫旺集体有限公司项目款、正太集团工程项目款、路面养护工程审计造价款等。项目资金的投入能够不断保持路况完好，达到收费公路技术标准，保障行人车辆出行安全舒适。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1.结合实际情况控制工程成本，节约开支，提高资金使用效率，工程资金控制在预算范围内。专款专用，严把质量关。</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路段长度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省道邦宽线路段长度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52.01公里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公路建设技术标准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根据公路技术标准进行施工，严把质量关，控制合格率。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开完工时间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计划于2022年底，资金到位并完成工程建设。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2022年底完成项目建设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节约工程成本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工程施工过程中，按照施工工可并结合实际，合理安排支出，节约工程成本。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带动经济提升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工程建设期间吸收了周边空闲劳动力的投入，带动沿线经济收入。建成后，交通路况的改善也会促进运输业的发展，带动周边经济增长。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交通环境的改善能够不断促进我市旅游业等社会行业发展，促进社会进步。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改善了公路环境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通过路况的改善，美化公路旅游环境，增涨了生态指标提高。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持续影响各行业发展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项目建成后路况的畅通、美化、和舒适，将持续影响运输业、旅游业等各行业的发展，促进社会文明进步。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通过调查，社会公众调查满意度指标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调查问卷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7" w:name="_Toc_4_4_0000000020"/>
      <w:r>
        <w:rPr>
          <w:rFonts w:hint="eastAsia" w:ascii="方正仿宋简体" w:hAnsi="方正仿宋简体" w:eastAsia="方正仿宋简体" w:cs="方正仿宋简体"/>
          <w:b w:val="0"/>
          <w:bCs/>
          <w:color w:val="000000"/>
          <w:sz w:val="28"/>
        </w:rPr>
        <w:t>17.通行费安排交通设施维修维护资金绩效目标表</w:t>
      </w:r>
      <w:bookmarkEnd w:id="17"/>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13028122P00317310001X</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通行费安排交通设施维修维护资金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收费站设施维修维护资金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1.保障设施完好无损，发现问题及时维修，做到设施齐全干净，给交通安全提供了资金保障。专款专用，合理利用资金。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公路里程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项目资金主要用于邦宽线的日常养护工作，邦宽线遵化段里程共计51.748公里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51.75公里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维护标准合格</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设施维修质量合格，维修及时，严把验收关，以达到质量质保。</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拨付进度及时</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计划按季度拨付资金，于2022年底，资金全部列支到位。保障公路设施建设工作的正常开展。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通行费收入节余</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通行费收缴的收入的金额数量是设施维修保养的基础，</w:t>
            </w:r>
            <w:r>
              <w:rPr>
                <w:rFonts w:hint="eastAsia" w:ascii="方正仿宋简体" w:hAnsi="方正仿宋简体" w:eastAsia="方正仿宋简体" w:cs="方正仿宋简体"/>
                <w:b w:val="0"/>
                <w:bCs/>
                <w:lang w:eastAsia="zh-CN"/>
              </w:rPr>
              <w:t>结余资金</w:t>
            </w:r>
            <w:r>
              <w:rPr>
                <w:rFonts w:hint="eastAsia" w:ascii="方正仿宋简体" w:hAnsi="方正仿宋简体" w:eastAsia="方正仿宋简体" w:cs="方正仿宋简体"/>
                <w:b w:val="0"/>
                <w:bCs/>
              </w:rPr>
              <w:t>用于设施养护，期间合理控制支出，节约成本。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对社会经济发展的影响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公路建设和养护，有效推动沿线乡镇经济发展。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收费设施（设备）运行正常率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能够正常运行的设施（设备）占全部设施比例的100%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项目实施对生态的影响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公路的公益性建设，会使得农村公路得到保洁和畅通，促进生态效益发展。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项目实施的持续影响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收费公路安全畅通，使得交通状况保持良好，持续影响保障了行人车辆出行安全畅通。</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社会公众对项目实施效果的满意程度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8" w:name="_Toc_4_4_0000000021"/>
      <w:r>
        <w:rPr>
          <w:rFonts w:hint="eastAsia" w:ascii="方正仿宋简体" w:hAnsi="方正仿宋简体" w:eastAsia="方正仿宋简体" w:cs="方正仿宋简体"/>
          <w:b w:val="0"/>
          <w:bCs/>
          <w:color w:val="000000"/>
          <w:sz w:val="28"/>
        </w:rPr>
        <w:t>18.通行费安排收费站人员经费绩效目标表</w:t>
      </w:r>
      <w:bookmarkEnd w:id="18"/>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13028122P00242210001Q</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通行费安排收费站人员经费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834.00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834.00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用于收费站运作人员工资及保险，保障收费站的正常运转、通行费的正常收取、收费公路的日常维护和保养及收费路贷款的按期归还。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1.及时争取资金到位，保障养护工作及时开展。有效利用通行费返还资金，维持收费站正常运转。 </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人员数量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收费站运转工作人员数量的最低标准。</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≥188人</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执行标准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用于收费站运作人员工资及保险，用于保障收费站的正常运转，通行费的正常收取，已保障收费公路的日常维护和保养及收费路贷款的按期归还。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拨付进度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依据测算按月拨付职工工资及保险费用，每月月初拨付完成。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收费公路收费收入金额</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根据以前年都收费公路通行费实际收入金额，计划2022年约收入通行费2.2亿元。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资金使用效率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把资金的支出充分利用在通行费收缴工作中，保障通行费收入的正常开展。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提前促进社会进步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修路还贷的建设方案能够提前促进社会进步，刺激经济发展，方便公众出行。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提升和改善公路环境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通过通行费的收取，能够抽取部分资金用于公路养护建设方面，改善公路环境。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持续影响收费站的正常运转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直接持续影响收费站的正常运转，间接持续影响通行费收取和收费公路的日常建设和养护，已保障收费公路的畅通和安全。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9" w:name="_Toc_4_4_0000000022"/>
      <w:r>
        <w:rPr>
          <w:rFonts w:hint="eastAsia" w:ascii="方正仿宋简体" w:hAnsi="方正仿宋简体" w:eastAsia="方正仿宋简体" w:cs="方正仿宋简体"/>
          <w:b w:val="0"/>
          <w:bCs/>
          <w:color w:val="000000"/>
          <w:sz w:val="28"/>
        </w:rPr>
        <w:t>19.通行费安排收费站运转经费绩效目标表</w:t>
      </w:r>
      <w:bookmarkEnd w:id="19"/>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13028122P00W28710002P</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通行费安排收费站运转经费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保障通行费收缴工作正常运转所需的收费站运转经费，经测算需要支出、车辆使用费、办公经费、两村绕道补偿、垃圾清运费、通勤车租赁费、取暖用燃料、收费站食堂补助、收费站水电费等费用共计91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1.节约开支、控制成本，合理运行运转机制以提高通行费收入，合法合规利用运转资金，保障收费站正常运转。</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预测发生费用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收费站运转所用办公费、通勤车辆 、水电、发电机用油、取暖费等</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≥91万元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根据预算法等法律法规规范使用资金</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根据收费站以前年度经费正常运转测算，计划2022年约91万元运转经费，做到专款专用，用于收费站运转方面支出。</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预算执行进度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计划每季度初拨付一次，与2022年底拨付完成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收入完成率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通行费实际收入数占通行费计划收入数的比率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间接促进社会发展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保障了收费站的正常运转，同时也给收费公路的日常养护提供了资金保障，对社会发展提供积极推进作用。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间接改善生态环境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给收费公路的日常养护提供了资金保障，间接促进了生态环境改善。</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持续保障收费公路建设和保养</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持续影响了收费公路建设和保养，能够让车辆行人出行安全畅通，促进各行业发展和社会文明进步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0" w:name="_Toc_4_4_0000000023"/>
      <w:r>
        <w:rPr>
          <w:rFonts w:hint="eastAsia" w:ascii="方正仿宋简体" w:hAnsi="方正仿宋简体" w:eastAsia="方正仿宋简体" w:cs="方正仿宋简体"/>
          <w:b w:val="0"/>
          <w:bCs/>
          <w:color w:val="000000"/>
          <w:sz w:val="28"/>
        </w:rPr>
        <w:t>20.乡村振兴农村公路养护资金绩效目标表</w:t>
      </w:r>
      <w:bookmarkEnd w:id="20"/>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13028122P00222010001X</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乡村振兴农村公路养护资金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用于乡村公路养护、维护资金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1.圆满完成路面清洁、实施齐全完整、桥涵牢固通畅、路树及时修建防虫等各项养护任务。打造出行安全、畅通、舒适的公路环境。</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完成农村公路日常养护范围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遵化境内农村公路共计801条，列养公里1800.77公里。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养护任务质量合格率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养护任务合格的项目个数占总项目个数的比例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养护任务完成时限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各项养护任务的任务时限要求达标，总体完成率合格</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合理分配，减少养护工程投资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按照养护工程重点，充分有效利用配套资金，降低成本节约资金。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对社会经济发展的影响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农村公路建设和养护，有效推动沿线乡镇经济发展。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方便群众出行，改善群众出行条件，构建外通内畅运输网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农村公路的公益性建设，会使得农村公路得到保洁和畅通，促进生态效益发展。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持续影响出行质量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良好的交通环境，将持续影响行人车辆出行质量。使得出行安全、畅通、舒适。</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社会公众或服务对象满意度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社会公众或服务对象满意度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1" w:name="_Toc_4_4_0000000024"/>
      <w:r>
        <w:rPr>
          <w:rFonts w:hint="eastAsia" w:ascii="方正仿宋简体" w:hAnsi="方正仿宋简体" w:eastAsia="方正仿宋简体" w:cs="方正仿宋简体"/>
          <w:b w:val="0"/>
          <w:bCs/>
          <w:color w:val="000000"/>
          <w:sz w:val="28"/>
        </w:rPr>
        <w:t>21.以前年度工程欠款及新启动项目资金绩效目标表</w:t>
      </w:r>
      <w:bookmarkEnd w:id="21"/>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13028122P00317010001W</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1630.00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1630.00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用于偿还以前年度工程欠款，及2022年新启动项目款项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1.新启动项目结合实际情况控制工程成本，节约开支。以前工程欠款按照项目结余合理安排，控制在预算范围内。</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新启动项目个数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2022年新启动项目个数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12项</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工程时段</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计划于2022年底，财政资金到位并完成工程建设。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2022年底完成项目建设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节约工程成本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按照工程进度，规范合理安排工程资金，规范支出，节约工程成本。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带动经济提升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工程建设期间吸收了周边空闲劳动力的投入，带动沿线经济收入。建成后，交通路况的改善也会促进运输业的发展，带动周边经济增长。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交通环境的改善涉及全市经济发展大局，全面加强交通基础设施建设，促进社会整体经济大环境。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改善了公路环境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促进我市旅游环境，补齐全域旅游短板，完善文明城市硬件设施，改善公路生态环境。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持续影响各行业发展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畅通的公路网络促进各地区的发展，将持续影响运输业、旅游业等各行业的发展，促进社会文明进步。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2" w:name="_Toc_4_4_0000000025"/>
      <w:r>
        <w:rPr>
          <w:rFonts w:hint="eastAsia" w:ascii="方正仿宋简体" w:hAnsi="方正仿宋简体" w:eastAsia="方正仿宋简体" w:cs="方正仿宋简体"/>
          <w:b w:val="0"/>
          <w:bCs/>
          <w:color w:val="000000"/>
          <w:sz w:val="28"/>
        </w:rPr>
        <w:t>22.愚公桥改建工程、七户桥改建工程绩效目标表</w:t>
      </w:r>
      <w:bookmarkEnd w:id="22"/>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13028122P002247100014</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愚公桥改建工程、七户桥改建工程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40.20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40.20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愚公桥改建工程、七户桥改建工程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1.结合实际情况控制工程成本，节约开支，提高资金使用效率，工程资金控制在预算范围内。专款专用，严把质量关。</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桥梁数量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对愚公桥、七户桥2座桥梁进行改建</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2座</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桥梁技术标准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根据桥梁工程技术标准，控制合格率，严把质量关，保障桥梁安全系数。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开完工时间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计划于2022年底，资金到位并完成工程建设。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工程施工过程中，按照施工工可并结合实际，合理安排支出，节约工程成本。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带动经济提升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工程建设期间吸收了周边空闲劳动力的投入，带动沿线经济收入。建成后，交通路况的改善也会促进运输业的发展，带动周边经济增长。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交通环境的改善能够不断促进我市旅游业等社会行业发展，促进社会进步。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美化环境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通过路况的改善，美化公路旅游环境，增涨了生态指标提高。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项目建成后路况的畅通、美化、和舒适，将持续影响运输业、旅游业等各行业的发展，促进社会文明进步。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服务对象调查满意度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服务对象调查满意度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3" w:name="_Toc_4_4_0000000026"/>
      <w:r>
        <w:rPr>
          <w:rFonts w:hint="eastAsia" w:ascii="方正仿宋简体" w:hAnsi="方正仿宋简体" w:eastAsia="方正仿宋简体" w:cs="方正仿宋简体"/>
          <w:b w:val="0"/>
          <w:bCs/>
          <w:color w:val="000000"/>
          <w:sz w:val="28"/>
        </w:rPr>
        <w:t>23.治超站等执法专项经费绩效目标表</w:t>
      </w:r>
      <w:bookmarkEnd w:id="23"/>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5"/>
        <w:gridCol w:w="2145"/>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13028122P00222110001K</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治超站等执法专项经费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治超站人员、办公经费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1.加大执法力度，增加非税收入。申请财政资金，保证执法车辆及设备的运行维护，综合执法工作有序开展。</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5"/>
        <w:gridCol w:w="2145"/>
        <w:gridCol w:w="2145"/>
        <w:gridCol w:w="4290"/>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年度执法经费</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执法大队公用经费、办公楼取暖费、不可预见费等</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251万元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保障执法工作正常运转，使得路产路权得到有效维护，超限超载得到有效治理，出租客运行业得到有序开展。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支付时间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计划按月拨付资金，保障执法工作正常运转，于2022年底争取资金到位。</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控制支出预算成本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有效利用执法专项经费资金，节约成本，控制开支，控制资金在预算范围之内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职能履行</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职能履行带动社会经济效益发展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有效打击交通违法行为</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全年处理交通违法行为约2300件，有效控制违法数量。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有效发挥职能效用，使得职能履行带动生态效益效益发展。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持续作用的影响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项目能持续运行，项目依据的政策能持续执行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方正仿宋简体" w:eastAsia="方正仿宋简体" w:cs="方正仿宋简体"/>
          <w:b/>
          <w:bCs/>
          <w:sz w:val="32"/>
          <w:szCs w:val="32"/>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六、政府采购预算情况</w:t>
      </w:r>
    </w:p>
    <w:p>
      <w:pPr>
        <w:keepNext w:val="0"/>
        <w:keepLines w:val="0"/>
        <w:pageBreakBefore w:val="0"/>
        <w:kinsoku/>
        <w:wordWrap/>
        <w:overflowPunct/>
        <w:topLinePunct w:val="0"/>
        <w:bidi w:val="0"/>
        <w:snapToGrid/>
        <w:spacing w:line="570" w:lineRule="exact"/>
        <w:ind w:firstLine="630"/>
        <w:outlineLvl w:val="0"/>
        <w:rPr>
          <w:rFonts w:hint="eastAsia" w:ascii="方正仿宋简体" w:hAnsi="方正仿宋简体" w:eastAsia="方正仿宋简体" w:cs="方正仿宋简体"/>
          <w:sz w:val="32"/>
          <w:szCs w:val="32"/>
        </w:rPr>
      </w:pPr>
      <w:bookmarkStart w:id="24" w:name="_Toc471398468"/>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年，我局安排政府采购预算0万元，较202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年无增减变化，主要由于根据单位实际需要无较多需采购工程、货物及服务。具体内容见下表。</w:t>
      </w:r>
    </w:p>
    <w:p>
      <w:pPr>
        <w:keepNext w:val="0"/>
        <w:keepLines w:val="0"/>
        <w:pageBreakBefore w:val="0"/>
        <w:kinsoku/>
        <w:wordWrap/>
        <w:overflowPunct/>
        <w:topLinePunct w:val="0"/>
        <w:bidi w:val="0"/>
        <w:snapToGrid/>
        <w:spacing w:line="570" w:lineRule="exact"/>
        <w:ind w:firstLine="630"/>
        <w:outlineLvl w:val="0"/>
        <w:rPr>
          <w:rFonts w:hint="eastAsia" w:ascii="方正仿宋简体" w:hAnsi="方正仿宋简体" w:eastAsia="方正仿宋简体" w:cs="方正仿宋简体"/>
          <w:sz w:val="32"/>
          <w:szCs w:val="32"/>
        </w:rPr>
      </w:pPr>
    </w:p>
    <w:bookmarkEnd w:id="24"/>
    <w:p>
      <w:pPr>
        <w:keepNext w:val="0"/>
        <w:keepLines w:val="0"/>
        <w:pageBreakBefore w:val="0"/>
        <w:kinsoku/>
        <w:wordWrap/>
        <w:overflowPunct/>
        <w:topLinePunct w:val="0"/>
        <w:bidi w:val="0"/>
        <w:snapToGrid/>
        <w:spacing w:line="570" w:lineRule="exact"/>
        <w:jc w:val="center"/>
        <w:outlineLvl w:val="0"/>
        <w:rPr>
          <w:rFonts w:hint="eastAsia" w:ascii="方正仿宋简体" w:hAnsi="方正仿宋简体" w:eastAsia="方正仿宋简体" w:cs="方正仿宋简体"/>
          <w:b w:val="0"/>
          <w:bCs w:val="0"/>
          <w:sz w:val="32"/>
          <w:szCs w:val="32"/>
        </w:rPr>
      </w:pPr>
      <w:bookmarkStart w:id="25" w:name="_Toc508116596"/>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政府采购预算</w:t>
      </w:r>
      <w:bookmarkEnd w:id="25"/>
    </w:p>
    <w:tbl>
      <w:tblPr>
        <w:tblStyle w:val="7"/>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996"/>
        <w:gridCol w:w="1051"/>
        <w:gridCol w:w="1103"/>
        <w:gridCol w:w="677"/>
        <w:gridCol w:w="677"/>
        <w:gridCol w:w="762"/>
        <w:gridCol w:w="924"/>
        <w:gridCol w:w="924"/>
        <w:gridCol w:w="867"/>
        <w:gridCol w:w="924"/>
        <w:gridCol w:w="870"/>
        <w:gridCol w:w="875"/>
        <w:gridCol w:w="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36"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348遵化市交通运输局</w:t>
            </w:r>
            <w:r>
              <w:rPr>
                <w:rFonts w:hint="eastAsia" w:ascii="方正仿宋简体" w:hAnsi="方正仿宋简体" w:eastAsia="方正仿宋简体" w:cs="方正仿宋简体"/>
                <w:b w:val="0"/>
                <w:bCs w:val="0"/>
                <w:sz w:val="24"/>
                <w:szCs w:val="24"/>
                <w:lang w:eastAsia="zh-CN"/>
              </w:rPr>
              <w:t>本级</w:t>
            </w:r>
          </w:p>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sz w:val="24"/>
                <w:szCs w:val="24"/>
              </w:rPr>
            </w:pPr>
          </w:p>
        </w:tc>
        <w:tc>
          <w:tcPr>
            <w:tcW w:w="6216"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66" w:type="dxa"/>
            <w:gridSpan w:val="2"/>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政府采购项目来源</w:t>
            </w:r>
          </w:p>
        </w:tc>
        <w:tc>
          <w:tcPr>
            <w:tcW w:w="1051"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采购物品名称</w:t>
            </w:r>
          </w:p>
        </w:tc>
        <w:tc>
          <w:tcPr>
            <w:tcW w:w="1103"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政府采购目录序号</w:t>
            </w:r>
          </w:p>
        </w:tc>
        <w:tc>
          <w:tcPr>
            <w:tcW w:w="677"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  单位</w:t>
            </w:r>
          </w:p>
        </w:tc>
        <w:tc>
          <w:tcPr>
            <w:tcW w:w="677"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w:t>
            </w:r>
          </w:p>
        </w:tc>
        <w:tc>
          <w:tcPr>
            <w:tcW w:w="762"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单价</w:t>
            </w:r>
          </w:p>
        </w:tc>
        <w:tc>
          <w:tcPr>
            <w:tcW w:w="6216" w:type="dxa"/>
            <w:gridSpan w:val="7"/>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996"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w:t>
            </w:r>
          </w:p>
        </w:tc>
        <w:tc>
          <w:tcPr>
            <w:tcW w:w="1051"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1103"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677"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677"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762"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924"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总计</w:t>
            </w:r>
          </w:p>
        </w:tc>
        <w:tc>
          <w:tcPr>
            <w:tcW w:w="4460" w:type="dxa"/>
            <w:gridSpan w:val="5"/>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当年</w:t>
            </w:r>
            <w:r>
              <w:rPr>
                <w:rFonts w:hint="eastAsia" w:ascii="方正仿宋简体" w:hAnsi="方正仿宋简体" w:eastAsia="方正仿宋简体" w:cs="方正仿宋简体"/>
                <w:b w:val="0"/>
                <w:bCs w:val="0"/>
                <w:lang w:eastAsia="zh-CN"/>
              </w:rPr>
              <w:t>本级</w:t>
            </w:r>
            <w:r>
              <w:rPr>
                <w:rFonts w:hint="eastAsia" w:ascii="方正仿宋简体" w:hAnsi="方正仿宋简体" w:eastAsia="方正仿宋简体" w:cs="方正仿宋简体"/>
                <w:b w:val="0"/>
                <w:bCs w:val="0"/>
              </w:rPr>
              <w:t>预算安排资金</w:t>
            </w:r>
          </w:p>
        </w:tc>
        <w:tc>
          <w:tcPr>
            <w:tcW w:w="832"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996"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1051"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1103"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677"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677"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762"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924"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924"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67"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一般公共预算拨款</w:t>
            </w:r>
          </w:p>
        </w:tc>
        <w:tc>
          <w:tcPr>
            <w:tcW w:w="924"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基金预算拨款</w:t>
            </w:r>
          </w:p>
        </w:tc>
        <w:tc>
          <w:tcPr>
            <w:tcW w:w="870"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财政专户核拨</w:t>
            </w:r>
          </w:p>
        </w:tc>
        <w:tc>
          <w:tcPr>
            <w:tcW w:w="875"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其他来源收入</w:t>
            </w:r>
          </w:p>
        </w:tc>
        <w:tc>
          <w:tcPr>
            <w:tcW w:w="832"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270"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　计</w:t>
            </w:r>
          </w:p>
        </w:tc>
        <w:tc>
          <w:tcPr>
            <w:tcW w:w="996"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1051"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rPr>
            </w:pPr>
          </w:p>
        </w:tc>
        <w:tc>
          <w:tcPr>
            <w:tcW w:w="1103"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rPr>
            </w:pPr>
          </w:p>
        </w:tc>
        <w:tc>
          <w:tcPr>
            <w:tcW w:w="677"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rPr>
            </w:pPr>
          </w:p>
        </w:tc>
        <w:tc>
          <w:tcPr>
            <w:tcW w:w="67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76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86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870"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875"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83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2270"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bCs/>
              </w:rPr>
            </w:pPr>
          </w:p>
        </w:tc>
        <w:tc>
          <w:tcPr>
            <w:tcW w:w="996"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1051"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bCs/>
              </w:rPr>
            </w:pPr>
          </w:p>
        </w:tc>
        <w:tc>
          <w:tcPr>
            <w:tcW w:w="1103"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bCs/>
              </w:rPr>
            </w:pPr>
          </w:p>
        </w:tc>
        <w:tc>
          <w:tcPr>
            <w:tcW w:w="677"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bCs/>
              </w:rPr>
            </w:pPr>
          </w:p>
        </w:tc>
        <w:tc>
          <w:tcPr>
            <w:tcW w:w="67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76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86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870"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875"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83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270"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996"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1051"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1103"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677"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67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76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6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70"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75"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3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270"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996"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1051"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1103"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677"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67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76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6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70"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75"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3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r>
    </w:tbl>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七、国有资产信息</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遵化市交通运输局上年末固定资产金额为</w:t>
      </w:r>
      <w:r>
        <w:rPr>
          <w:rFonts w:hint="eastAsia" w:ascii="方正仿宋简体" w:hAnsi="方正仿宋简体" w:eastAsia="方正仿宋简体" w:cs="方正仿宋简体"/>
          <w:b w:val="0"/>
          <w:bCs w:val="0"/>
          <w:sz w:val="32"/>
          <w:szCs w:val="32"/>
          <w:lang w:val="en-US" w:eastAsia="zh-CN"/>
        </w:rPr>
        <w:t>5411.99</w:t>
      </w:r>
      <w:r>
        <w:rPr>
          <w:rFonts w:hint="eastAsia" w:ascii="方正仿宋简体" w:hAnsi="方正仿宋简体" w:eastAsia="方正仿宋简体" w:cs="方正仿宋简体"/>
          <w:b w:val="0"/>
          <w:bCs w:val="0"/>
          <w:sz w:val="32"/>
          <w:szCs w:val="32"/>
        </w:rPr>
        <w:t>万元（详见下表）</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b/>
          <w:bCs/>
          <w:sz w:val="32"/>
          <w:szCs w:val="32"/>
        </w:rPr>
      </w:pPr>
    </w:p>
    <w:tbl>
      <w:tblPr>
        <w:tblStyle w:val="7"/>
        <w:tblW w:w="13482" w:type="dxa"/>
        <w:tblInd w:w="2"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val="0"/>
                <w:bCs w:val="0"/>
                <w:kern w:val="0"/>
                <w:sz w:val="32"/>
                <w:szCs w:val="32"/>
              </w:rPr>
              <w:t>遵化市交通运输局</w:t>
            </w:r>
            <w:r>
              <w:rPr>
                <w:rFonts w:hint="eastAsia" w:ascii="方正仿宋简体" w:hAnsi="方正仿宋简体" w:eastAsia="方正仿宋简体" w:cs="方正仿宋简体"/>
                <w:b w:val="0"/>
                <w:bCs w:val="0"/>
                <w:kern w:val="0"/>
                <w:sz w:val="32"/>
                <w:szCs w:val="32"/>
                <w:lang w:eastAsia="zh-CN"/>
              </w:rPr>
              <w:t>本级</w:t>
            </w:r>
            <w:r>
              <w:rPr>
                <w:rFonts w:hint="eastAsia" w:ascii="方正仿宋简体" w:hAnsi="方正仿宋简体" w:eastAsia="方正仿宋简体" w:cs="方正仿宋简体"/>
                <w:b w:val="0"/>
                <w:bCs w:val="0"/>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编制</w:t>
            </w:r>
            <w:r>
              <w:rPr>
                <w:rFonts w:hint="eastAsia" w:ascii="方正仿宋简体" w:hAnsi="方正仿宋简体" w:eastAsia="方正仿宋简体" w:cs="方正仿宋简体"/>
                <w:kern w:val="0"/>
                <w:lang w:eastAsia="zh-CN"/>
              </w:rPr>
              <w:t>本级</w:t>
            </w:r>
            <w:r>
              <w:rPr>
                <w:rFonts w:hint="eastAsia" w:ascii="方正仿宋简体" w:hAnsi="方正仿宋简体" w:eastAsia="方正仿宋简体" w:cs="方正仿宋简体"/>
                <w:kern w:val="0"/>
              </w:rPr>
              <w:t>：遵化市交通运输局</w:t>
            </w:r>
          </w:p>
        </w:tc>
        <w:tc>
          <w:tcPr>
            <w:tcW w:w="5103" w:type="dxa"/>
            <w:tcBorders>
              <w:top w:val="nil"/>
              <w:left w:val="nil"/>
              <w:bottom w:val="nil"/>
              <w:right w:val="nil"/>
            </w:tcBorders>
            <w:noWrap/>
            <w:vAlign w:val="center"/>
          </w:tcPr>
          <w:p>
            <w:pPr>
              <w:keepNext w:val="0"/>
              <w:keepLines w:val="0"/>
              <w:pageBreakBefore w:val="0"/>
              <w:widowControl/>
              <w:kinsoku/>
              <w:wordWrap/>
              <w:overflowPunct/>
              <w:topLinePunct w:val="0"/>
              <w:bidi w:val="0"/>
              <w:snapToGrid/>
              <w:spacing w:line="570" w:lineRule="exact"/>
              <w:ind w:firstLine="1890" w:firstLineChars="900"/>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截止时间：202</w:t>
            </w:r>
            <w:r>
              <w:rPr>
                <w:rFonts w:hint="eastAsia" w:ascii="方正仿宋简体" w:hAnsi="方正仿宋简体" w:eastAsia="方正仿宋简体" w:cs="方正仿宋简体"/>
                <w:kern w:val="0"/>
                <w:lang w:val="en-US" w:eastAsia="zh-CN"/>
              </w:rPr>
              <w:t>1</w:t>
            </w:r>
            <w:r>
              <w:rPr>
                <w:rFonts w:hint="eastAsia" w:ascii="方正仿宋简体" w:hAnsi="方正仿宋简体" w:eastAsia="方正仿宋简体" w:cs="方正仿宋简体"/>
                <w:kern w:val="0"/>
              </w:rPr>
              <w:t xml:space="preserve">年12月31日  </w:t>
            </w:r>
          </w:p>
        </w:tc>
      </w:tr>
      <w:tr>
        <w:tblPrEx>
          <w:tblCellMar>
            <w:top w:w="0" w:type="dxa"/>
            <w:left w:w="108" w:type="dxa"/>
            <w:bottom w:w="0" w:type="dxa"/>
            <w:right w:w="108" w:type="dxa"/>
          </w:tblCellMar>
        </w:tblPrEx>
        <w:trPr>
          <w:trHeight w:val="682"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b w:val="0"/>
                <w:bCs w:val="0"/>
                <w:kern w:val="0"/>
              </w:rPr>
            </w:pPr>
            <w:r>
              <w:rPr>
                <w:rFonts w:hint="eastAsia" w:ascii="方正仿宋简体" w:hAnsi="方正仿宋简体" w:eastAsia="方正仿宋简体" w:cs="方正仿宋简体"/>
                <w:b w:val="0"/>
                <w:bCs w:val="0"/>
                <w:kern w:val="0"/>
              </w:rPr>
              <w:t>项   目</w:t>
            </w:r>
          </w:p>
        </w:tc>
        <w:tc>
          <w:tcPr>
            <w:tcW w:w="315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b w:val="0"/>
                <w:bCs w:val="0"/>
                <w:kern w:val="0"/>
              </w:rPr>
            </w:pPr>
            <w:r>
              <w:rPr>
                <w:rFonts w:hint="eastAsia" w:ascii="方正仿宋简体" w:hAnsi="方正仿宋简体" w:eastAsia="方正仿宋简体" w:cs="方正仿宋简体"/>
                <w:b w:val="0"/>
                <w:bCs w:val="0"/>
                <w:kern w:val="0"/>
              </w:rPr>
              <w:t>数量</w:t>
            </w:r>
          </w:p>
        </w:tc>
        <w:tc>
          <w:tcPr>
            <w:tcW w:w="510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b w:val="0"/>
                <w:bCs w:val="0"/>
                <w:kern w:val="0"/>
              </w:rPr>
            </w:pPr>
            <w:r>
              <w:rPr>
                <w:rFonts w:hint="eastAsia" w:ascii="方正仿宋简体" w:hAnsi="方正仿宋简体" w:eastAsia="方正仿宋简体" w:cs="方正仿宋简体"/>
                <w:b w:val="0"/>
                <w:bCs w:val="0"/>
                <w:kern w:val="0"/>
              </w:rPr>
              <w:t>价值（金额单位：万元）</w:t>
            </w:r>
          </w:p>
        </w:tc>
      </w:tr>
      <w:tr>
        <w:tblPrEx>
          <w:tblCellMar>
            <w:top w:w="0" w:type="dxa"/>
            <w:left w:w="108" w:type="dxa"/>
            <w:bottom w:w="0" w:type="dxa"/>
            <w:right w:w="108" w:type="dxa"/>
          </w:tblCellMar>
        </w:tblPrEx>
        <w:trPr>
          <w:trHeight w:val="74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资产总额</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5411.99</w:t>
            </w:r>
          </w:p>
        </w:tc>
      </w:tr>
      <w:tr>
        <w:tblPrEx>
          <w:tblCellMar>
            <w:top w:w="0" w:type="dxa"/>
            <w:left w:w="108" w:type="dxa"/>
            <w:bottom w:w="0" w:type="dxa"/>
            <w:right w:w="108" w:type="dxa"/>
          </w:tblCellMar>
        </w:tblPrEx>
        <w:trPr>
          <w:trHeight w:val="74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1、房屋（平方米）</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26783.26</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4027.70</w:t>
            </w:r>
          </w:p>
        </w:tc>
      </w:tr>
      <w:tr>
        <w:tblPrEx>
          <w:tblCellMar>
            <w:top w:w="0" w:type="dxa"/>
            <w:left w:w="108" w:type="dxa"/>
            <w:bottom w:w="0" w:type="dxa"/>
            <w:right w:w="108" w:type="dxa"/>
          </w:tblCellMar>
        </w:tblPrEx>
        <w:trPr>
          <w:trHeight w:val="75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 xml:space="preserve">   其中：办公用房（平方米）</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26783.26</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4027.70</w:t>
            </w:r>
          </w:p>
        </w:tc>
      </w:tr>
      <w:tr>
        <w:tblPrEx>
          <w:tblCellMar>
            <w:top w:w="0" w:type="dxa"/>
            <w:left w:w="108" w:type="dxa"/>
            <w:bottom w:w="0" w:type="dxa"/>
            <w:right w:w="108" w:type="dxa"/>
          </w:tblCellMar>
        </w:tblPrEx>
        <w:trPr>
          <w:trHeight w:val="69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2、车辆（台、辆）</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42</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333.51</w:t>
            </w:r>
          </w:p>
        </w:tc>
      </w:tr>
      <w:tr>
        <w:tblPrEx>
          <w:tblCellMar>
            <w:top w:w="0" w:type="dxa"/>
            <w:left w:w="108" w:type="dxa"/>
            <w:bottom w:w="0" w:type="dxa"/>
            <w:right w:w="108" w:type="dxa"/>
          </w:tblCellMar>
        </w:tblPrEx>
        <w:trPr>
          <w:trHeight w:val="677" w:hRule="exact"/>
        </w:trPr>
        <w:tc>
          <w:tcPr>
            <w:tcW w:w="52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3、单价在50万元以上的设备</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p>
        </w:tc>
      </w:tr>
      <w:tr>
        <w:tblPrEx>
          <w:tblCellMar>
            <w:top w:w="0" w:type="dxa"/>
            <w:left w:w="108" w:type="dxa"/>
            <w:bottom w:w="0" w:type="dxa"/>
            <w:right w:w="108" w:type="dxa"/>
          </w:tblCellMar>
        </w:tblPrEx>
        <w:trPr>
          <w:trHeight w:val="73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4、其他固定资产</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638</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1050.78</w:t>
            </w:r>
          </w:p>
        </w:tc>
      </w:tr>
    </w:tbl>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八、名词解释</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1、一般公共预算拨款收入：指市级财政当年拨付的资金。</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2、事业收入：指事业单位开展专业业务活动及辅助活动所取得的收入。</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3、其他收入：指除“一般公共预算拨款收入”、“事业收入”等以外的收入。主要是按规定动用的租房收入、存款利息收入等。</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4、基本支出：指为保障机构正常运转、完成日常工作任务而发生的人员支出和公用支出。</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5、项目支出：指在基本支出之外为完成特定行政任务和事业发展目标所发生的支出。</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6、上缴上级支出：指下级单位上缴上级的支出。</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三公”经费：纳入市级财政预算管理的“三公”经费，是指市级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9、上年结转：指以前年度尚未完成、结转到本年仍按原规定用途继续使用的资金。</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九、其他需要说明的事项</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i w:val="0"/>
          <w:iCs w:val="0"/>
          <w:caps w:val="0"/>
          <w:color w:val="000000"/>
          <w:spacing w:val="0"/>
          <w:kern w:val="0"/>
          <w:sz w:val="22"/>
          <w:szCs w:val="22"/>
          <w:lang w:val="en-US" w:eastAsia="zh-CN" w:bidi="ar"/>
        </w:rPr>
      </w:pPr>
      <w:r>
        <w:rPr>
          <w:rFonts w:hint="eastAsia" w:ascii="方正仿宋简体" w:hAnsi="方正仿宋简体" w:eastAsia="方正仿宋简体" w:cs="方正仿宋简体"/>
          <w:sz w:val="32"/>
          <w:szCs w:val="32"/>
          <w:lang w:eastAsia="zh-CN"/>
        </w:rPr>
        <w:t>无</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rPr>
        <w:sectPr>
          <w:footerReference r:id="rId6" w:type="default"/>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方正仿宋简体" w:hAnsi="方正仿宋简体" w:eastAsia="方正仿宋简体" w:cs="方正仿宋简体"/>
          <w:szCs w:val="21"/>
        </w:rPr>
      </w:pPr>
    </w:p>
    <w:sectPr>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F0358"/>
    <w:multiLevelType w:val="singleLevel"/>
    <w:tmpl w:val="F3CF0358"/>
    <w:lvl w:ilvl="0" w:tentative="0">
      <w:start w:val="1"/>
      <w:numFmt w:val="decimal"/>
      <w:suff w:val="nothing"/>
      <w:lvlText w:val="%1、"/>
      <w:lvlJc w:val="left"/>
    </w:lvl>
  </w:abstractNum>
  <w:abstractNum w:abstractNumId="1">
    <w:nsid w:val="15871F93"/>
    <w:multiLevelType w:val="singleLevel"/>
    <w:tmpl w:val="15871F93"/>
    <w:lvl w:ilvl="0" w:tentative="0">
      <w:start w:val="2"/>
      <w:numFmt w:val="chineseCounting"/>
      <w:suff w:val="space"/>
      <w:lvlText w:val="第%1部分"/>
      <w:lvlJc w:val="left"/>
      <w:pPr>
        <w:ind w:left="-1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AC"/>
    <w:rsid w:val="000119AD"/>
    <w:rsid w:val="000F5685"/>
    <w:rsid w:val="001849C5"/>
    <w:rsid w:val="00285CCD"/>
    <w:rsid w:val="002F55D6"/>
    <w:rsid w:val="00350E0F"/>
    <w:rsid w:val="00627F27"/>
    <w:rsid w:val="00633FBF"/>
    <w:rsid w:val="00790499"/>
    <w:rsid w:val="007B7DAC"/>
    <w:rsid w:val="00992BA3"/>
    <w:rsid w:val="00A464E7"/>
    <w:rsid w:val="00C60112"/>
    <w:rsid w:val="00CB4BB6"/>
    <w:rsid w:val="00F8192C"/>
    <w:rsid w:val="01697529"/>
    <w:rsid w:val="01D90083"/>
    <w:rsid w:val="0230692D"/>
    <w:rsid w:val="024C4CC7"/>
    <w:rsid w:val="02C30ADE"/>
    <w:rsid w:val="03121653"/>
    <w:rsid w:val="031E5023"/>
    <w:rsid w:val="033A6154"/>
    <w:rsid w:val="034F401E"/>
    <w:rsid w:val="03685B9C"/>
    <w:rsid w:val="03D424E6"/>
    <w:rsid w:val="049D7FDE"/>
    <w:rsid w:val="04F63CC6"/>
    <w:rsid w:val="05302856"/>
    <w:rsid w:val="05DA705A"/>
    <w:rsid w:val="06122702"/>
    <w:rsid w:val="069528D3"/>
    <w:rsid w:val="070D7675"/>
    <w:rsid w:val="07A1465B"/>
    <w:rsid w:val="07CF5EEC"/>
    <w:rsid w:val="07E82644"/>
    <w:rsid w:val="07EB0F1A"/>
    <w:rsid w:val="08286E61"/>
    <w:rsid w:val="082B1E6E"/>
    <w:rsid w:val="082B2B4C"/>
    <w:rsid w:val="085327BB"/>
    <w:rsid w:val="085C5796"/>
    <w:rsid w:val="08A52DFF"/>
    <w:rsid w:val="08AD20B4"/>
    <w:rsid w:val="08E2146A"/>
    <w:rsid w:val="08FC3767"/>
    <w:rsid w:val="090411D3"/>
    <w:rsid w:val="0920178D"/>
    <w:rsid w:val="09A064A3"/>
    <w:rsid w:val="09AE68F1"/>
    <w:rsid w:val="09E1319A"/>
    <w:rsid w:val="0A597F3F"/>
    <w:rsid w:val="0C3B1522"/>
    <w:rsid w:val="0C472F3C"/>
    <w:rsid w:val="0CA1532E"/>
    <w:rsid w:val="0CDD39CE"/>
    <w:rsid w:val="0D207A95"/>
    <w:rsid w:val="0D2F40B0"/>
    <w:rsid w:val="0DDD0437"/>
    <w:rsid w:val="0E297E8F"/>
    <w:rsid w:val="0E3804ED"/>
    <w:rsid w:val="0E3F4C6B"/>
    <w:rsid w:val="0E551E27"/>
    <w:rsid w:val="0FD80EFC"/>
    <w:rsid w:val="0FDC6584"/>
    <w:rsid w:val="0FFE6D6C"/>
    <w:rsid w:val="10DF3CFD"/>
    <w:rsid w:val="11FC45F7"/>
    <w:rsid w:val="123E55EC"/>
    <w:rsid w:val="12733C75"/>
    <w:rsid w:val="128D2C94"/>
    <w:rsid w:val="12CB7C01"/>
    <w:rsid w:val="12EF4843"/>
    <w:rsid w:val="134C5AA1"/>
    <w:rsid w:val="139412EE"/>
    <w:rsid w:val="142F1E67"/>
    <w:rsid w:val="14433BB8"/>
    <w:rsid w:val="14592C9C"/>
    <w:rsid w:val="14BA13CD"/>
    <w:rsid w:val="15FD116F"/>
    <w:rsid w:val="16140F1A"/>
    <w:rsid w:val="1656346F"/>
    <w:rsid w:val="165D57B7"/>
    <w:rsid w:val="166F3C6D"/>
    <w:rsid w:val="1690383A"/>
    <w:rsid w:val="171659AA"/>
    <w:rsid w:val="17321B48"/>
    <w:rsid w:val="17A53929"/>
    <w:rsid w:val="17E349BF"/>
    <w:rsid w:val="187668BA"/>
    <w:rsid w:val="18792896"/>
    <w:rsid w:val="19245C73"/>
    <w:rsid w:val="19B26891"/>
    <w:rsid w:val="1A39170A"/>
    <w:rsid w:val="1AB3725D"/>
    <w:rsid w:val="1ACD6FF8"/>
    <w:rsid w:val="1B3B34D7"/>
    <w:rsid w:val="1B8D16BF"/>
    <w:rsid w:val="1B975657"/>
    <w:rsid w:val="1BF81C84"/>
    <w:rsid w:val="1C7F3A49"/>
    <w:rsid w:val="1C900B7E"/>
    <w:rsid w:val="1D452C86"/>
    <w:rsid w:val="1D754612"/>
    <w:rsid w:val="1D837B70"/>
    <w:rsid w:val="1DA8191A"/>
    <w:rsid w:val="1DDB3A1A"/>
    <w:rsid w:val="1E1823CB"/>
    <w:rsid w:val="1E1D2B90"/>
    <w:rsid w:val="1E8E32A8"/>
    <w:rsid w:val="1EE95C5B"/>
    <w:rsid w:val="1EF40EE1"/>
    <w:rsid w:val="1F392337"/>
    <w:rsid w:val="1F5B4A5A"/>
    <w:rsid w:val="1F6D2AE8"/>
    <w:rsid w:val="1FB56158"/>
    <w:rsid w:val="21605FCC"/>
    <w:rsid w:val="217F591B"/>
    <w:rsid w:val="21925097"/>
    <w:rsid w:val="2206057D"/>
    <w:rsid w:val="2244751A"/>
    <w:rsid w:val="227E7B76"/>
    <w:rsid w:val="229318FF"/>
    <w:rsid w:val="229A1643"/>
    <w:rsid w:val="23152068"/>
    <w:rsid w:val="231B6EE1"/>
    <w:rsid w:val="234E1072"/>
    <w:rsid w:val="23857889"/>
    <w:rsid w:val="23C67D23"/>
    <w:rsid w:val="23CB4526"/>
    <w:rsid w:val="243D4623"/>
    <w:rsid w:val="24423318"/>
    <w:rsid w:val="24951CBA"/>
    <w:rsid w:val="24F41741"/>
    <w:rsid w:val="250941B4"/>
    <w:rsid w:val="258D112B"/>
    <w:rsid w:val="25B62748"/>
    <w:rsid w:val="25C37E80"/>
    <w:rsid w:val="26CA0BBA"/>
    <w:rsid w:val="26D70594"/>
    <w:rsid w:val="26E919BE"/>
    <w:rsid w:val="26F14B0F"/>
    <w:rsid w:val="27A47DDD"/>
    <w:rsid w:val="27AC7CC9"/>
    <w:rsid w:val="27E05151"/>
    <w:rsid w:val="27E46B5E"/>
    <w:rsid w:val="2866397D"/>
    <w:rsid w:val="288464AA"/>
    <w:rsid w:val="28CF521A"/>
    <w:rsid w:val="29275089"/>
    <w:rsid w:val="29855866"/>
    <w:rsid w:val="2AAE7BE1"/>
    <w:rsid w:val="2AFE1B2F"/>
    <w:rsid w:val="2B650899"/>
    <w:rsid w:val="2CBE23F5"/>
    <w:rsid w:val="2CD70AD4"/>
    <w:rsid w:val="2D1F6C70"/>
    <w:rsid w:val="2D3D6567"/>
    <w:rsid w:val="2D7C1265"/>
    <w:rsid w:val="2E0964AA"/>
    <w:rsid w:val="2E5B38A0"/>
    <w:rsid w:val="2F060956"/>
    <w:rsid w:val="2F592C85"/>
    <w:rsid w:val="2F7471E7"/>
    <w:rsid w:val="2FB71F62"/>
    <w:rsid w:val="30AF3E6F"/>
    <w:rsid w:val="30EC7048"/>
    <w:rsid w:val="31086F67"/>
    <w:rsid w:val="312B28CB"/>
    <w:rsid w:val="31A101D1"/>
    <w:rsid w:val="31C430E6"/>
    <w:rsid w:val="32670ECF"/>
    <w:rsid w:val="32805A67"/>
    <w:rsid w:val="32946AC8"/>
    <w:rsid w:val="32CA62CD"/>
    <w:rsid w:val="32D84F99"/>
    <w:rsid w:val="32E67722"/>
    <w:rsid w:val="3342114C"/>
    <w:rsid w:val="336F0F37"/>
    <w:rsid w:val="33AB0573"/>
    <w:rsid w:val="33B93CB8"/>
    <w:rsid w:val="34422BCC"/>
    <w:rsid w:val="34AC4354"/>
    <w:rsid w:val="34C42820"/>
    <w:rsid w:val="34E55F43"/>
    <w:rsid w:val="34F27B45"/>
    <w:rsid w:val="35311E43"/>
    <w:rsid w:val="35875D6C"/>
    <w:rsid w:val="35FF5B2D"/>
    <w:rsid w:val="361F057B"/>
    <w:rsid w:val="362D43E7"/>
    <w:rsid w:val="364E7ED3"/>
    <w:rsid w:val="36616197"/>
    <w:rsid w:val="368003F0"/>
    <w:rsid w:val="370C533A"/>
    <w:rsid w:val="370E4DE9"/>
    <w:rsid w:val="37237398"/>
    <w:rsid w:val="374F5F3F"/>
    <w:rsid w:val="384C4EA0"/>
    <w:rsid w:val="385601F1"/>
    <w:rsid w:val="387F13DF"/>
    <w:rsid w:val="38F56B86"/>
    <w:rsid w:val="391962FC"/>
    <w:rsid w:val="39634629"/>
    <w:rsid w:val="39B95739"/>
    <w:rsid w:val="39BA3D56"/>
    <w:rsid w:val="39EE27C2"/>
    <w:rsid w:val="3A0D17F0"/>
    <w:rsid w:val="3A2D0CD6"/>
    <w:rsid w:val="3A797B0D"/>
    <w:rsid w:val="3A847683"/>
    <w:rsid w:val="3B2F2A32"/>
    <w:rsid w:val="3B33569C"/>
    <w:rsid w:val="3BE93DE9"/>
    <w:rsid w:val="3C74796F"/>
    <w:rsid w:val="3E8B7CBC"/>
    <w:rsid w:val="3E9739D8"/>
    <w:rsid w:val="3EBE5E18"/>
    <w:rsid w:val="3FC03E23"/>
    <w:rsid w:val="3FC267A5"/>
    <w:rsid w:val="3FD0027E"/>
    <w:rsid w:val="3FD22FC7"/>
    <w:rsid w:val="3FDE78A1"/>
    <w:rsid w:val="408D1B8F"/>
    <w:rsid w:val="40DF0E09"/>
    <w:rsid w:val="41543F25"/>
    <w:rsid w:val="4175696E"/>
    <w:rsid w:val="417B67B7"/>
    <w:rsid w:val="418E0FBF"/>
    <w:rsid w:val="41CF64A0"/>
    <w:rsid w:val="41D157C2"/>
    <w:rsid w:val="41F97124"/>
    <w:rsid w:val="425603E3"/>
    <w:rsid w:val="42A3687D"/>
    <w:rsid w:val="42DA0485"/>
    <w:rsid w:val="431B5A4B"/>
    <w:rsid w:val="43575E07"/>
    <w:rsid w:val="4387774F"/>
    <w:rsid w:val="43DC73BB"/>
    <w:rsid w:val="4458751E"/>
    <w:rsid w:val="452678D7"/>
    <w:rsid w:val="45E40C8C"/>
    <w:rsid w:val="462958C0"/>
    <w:rsid w:val="46BA6D19"/>
    <w:rsid w:val="46E82FB1"/>
    <w:rsid w:val="47031780"/>
    <w:rsid w:val="476651DD"/>
    <w:rsid w:val="47A967B5"/>
    <w:rsid w:val="47B038B8"/>
    <w:rsid w:val="47B22680"/>
    <w:rsid w:val="48214178"/>
    <w:rsid w:val="483B1E05"/>
    <w:rsid w:val="48566C44"/>
    <w:rsid w:val="4870538C"/>
    <w:rsid w:val="489133BD"/>
    <w:rsid w:val="48CD249D"/>
    <w:rsid w:val="48E437D6"/>
    <w:rsid w:val="492F1465"/>
    <w:rsid w:val="494F7FAB"/>
    <w:rsid w:val="49536CA4"/>
    <w:rsid w:val="498854B1"/>
    <w:rsid w:val="4ADA513C"/>
    <w:rsid w:val="4B8C7B2F"/>
    <w:rsid w:val="4BBE5613"/>
    <w:rsid w:val="4BE115E5"/>
    <w:rsid w:val="4BE561EA"/>
    <w:rsid w:val="4C460775"/>
    <w:rsid w:val="4CEA2D7E"/>
    <w:rsid w:val="4CF2597A"/>
    <w:rsid w:val="4D5B1197"/>
    <w:rsid w:val="4D8A180B"/>
    <w:rsid w:val="4DB432F6"/>
    <w:rsid w:val="4DB564F0"/>
    <w:rsid w:val="4DEB2F3D"/>
    <w:rsid w:val="4E6F1C9A"/>
    <w:rsid w:val="4E954280"/>
    <w:rsid w:val="4ED342F3"/>
    <w:rsid w:val="4EF349C3"/>
    <w:rsid w:val="4F500EF7"/>
    <w:rsid w:val="4FCD588C"/>
    <w:rsid w:val="4FEC3CA5"/>
    <w:rsid w:val="4FF3183B"/>
    <w:rsid w:val="4FF56E75"/>
    <w:rsid w:val="4FF7762A"/>
    <w:rsid w:val="503A0A23"/>
    <w:rsid w:val="509B122F"/>
    <w:rsid w:val="50C61561"/>
    <w:rsid w:val="515F5C27"/>
    <w:rsid w:val="51687056"/>
    <w:rsid w:val="51C33170"/>
    <w:rsid w:val="522E159E"/>
    <w:rsid w:val="52946AF6"/>
    <w:rsid w:val="52A12CBB"/>
    <w:rsid w:val="52FA642E"/>
    <w:rsid w:val="5329786E"/>
    <w:rsid w:val="542462F9"/>
    <w:rsid w:val="54525A49"/>
    <w:rsid w:val="54532CB9"/>
    <w:rsid w:val="54C120D0"/>
    <w:rsid w:val="54DC46EC"/>
    <w:rsid w:val="555A379D"/>
    <w:rsid w:val="55B503AA"/>
    <w:rsid w:val="55B84B0C"/>
    <w:rsid w:val="55EA2A2C"/>
    <w:rsid w:val="55EA6480"/>
    <w:rsid w:val="55EF2437"/>
    <w:rsid w:val="5605007D"/>
    <w:rsid w:val="5683566E"/>
    <w:rsid w:val="56E261BA"/>
    <w:rsid w:val="57BD390E"/>
    <w:rsid w:val="581060C1"/>
    <w:rsid w:val="588E0985"/>
    <w:rsid w:val="58E13A06"/>
    <w:rsid w:val="594E241C"/>
    <w:rsid w:val="59B74984"/>
    <w:rsid w:val="59FC6631"/>
    <w:rsid w:val="5A3B6887"/>
    <w:rsid w:val="5BB82C44"/>
    <w:rsid w:val="5BF208CF"/>
    <w:rsid w:val="5C5B7C15"/>
    <w:rsid w:val="5C6357D3"/>
    <w:rsid w:val="5C76110E"/>
    <w:rsid w:val="5C8B16B2"/>
    <w:rsid w:val="5D3C3B24"/>
    <w:rsid w:val="5D496449"/>
    <w:rsid w:val="5D6967E0"/>
    <w:rsid w:val="5DA0029F"/>
    <w:rsid w:val="5F1E40D5"/>
    <w:rsid w:val="5F5175FF"/>
    <w:rsid w:val="60784025"/>
    <w:rsid w:val="613D69C4"/>
    <w:rsid w:val="615B213F"/>
    <w:rsid w:val="61DE0AF0"/>
    <w:rsid w:val="61E47B98"/>
    <w:rsid w:val="620E3E48"/>
    <w:rsid w:val="62272621"/>
    <w:rsid w:val="622A0B4A"/>
    <w:rsid w:val="6248439C"/>
    <w:rsid w:val="638B4489"/>
    <w:rsid w:val="63B96969"/>
    <w:rsid w:val="646F2F1F"/>
    <w:rsid w:val="647E54E8"/>
    <w:rsid w:val="64862239"/>
    <w:rsid w:val="64A2308F"/>
    <w:rsid w:val="64B4044D"/>
    <w:rsid w:val="650C7C0D"/>
    <w:rsid w:val="65724C0E"/>
    <w:rsid w:val="660B7291"/>
    <w:rsid w:val="66312121"/>
    <w:rsid w:val="663514F4"/>
    <w:rsid w:val="669552E3"/>
    <w:rsid w:val="66D24BFE"/>
    <w:rsid w:val="675124C6"/>
    <w:rsid w:val="67961311"/>
    <w:rsid w:val="68982070"/>
    <w:rsid w:val="698D059D"/>
    <w:rsid w:val="69EC01DB"/>
    <w:rsid w:val="6A1D02D2"/>
    <w:rsid w:val="6A6909B1"/>
    <w:rsid w:val="6A724DC3"/>
    <w:rsid w:val="6B47148B"/>
    <w:rsid w:val="6BBF6D3B"/>
    <w:rsid w:val="6C02478C"/>
    <w:rsid w:val="6C603669"/>
    <w:rsid w:val="6C6F771A"/>
    <w:rsid w:val="6C9B4A5D"/>
    <w:rsid w:val="6CBB3C39"/>
    <w:rsid w:val="6CF6528C"/>
    <w:rsid w:val="6D550BB3"/>
    <w:rsid w:val="6E3C1CBF"/>
    <w:rsid w:val="6F0C4ACF"/>
    <w:rsid w:val="6F40683E"/>
    <w:rsid w:val="6F8A5D7A"/>
    <w:rsid w:val="704264CD"/>
    <w:rsid w:val="70764AD8"/>
    <w:rsid w:val="70824A78"/>
    <w:rsid w:val="71136F71"/>
    <w:rsid w:val="712D27DB"/>
    <w:rsid w:val="71A6516C"/>
    <w:rsid w:val="71AA15F1"/>
    <w:rsid w:val="7304063B"/>
    <w:rsid w:val="73441554"/>
    <w:rsid w:val="73692B1D"/>
    <w:rsid w:val="736A0139"/>
    <w:rsid w:val="736C4F03"/>
    <w:rsid w:val="73B971A5"/>
    <w:rsid w:val="74961386"/>
    <w:rsid w:val="749828DF"/>
    <w:rsid w:val="75396799"/>
    <w:rsid w:val="754A1737"/>
    <w:rsid w:val="7569266F"/>
    <w:rsid w:val="758C45C2"/>
    <w:rsid w:val="75F27075"/>
    <w:rsid w:val="760A4BBB"/>
    <w:rsid w:val="760D1A5C"/>
    <w:rsid w:val="76384823"/>
    <w:rsid w:val="76571D70"/>
    <w:rsid w:val="76D35717"/>
    <w:rsid w:val="76DD4C70"/>
    <w:rsid w:val="772A7A36"/>
    <w:rsid w:val="775D5293"/>
    <w:rsid w:val="77935322"/>
    <w:rsid w:val="780204DD"/>
    <w:rsid w:val="79161645"/>
    <w:rsid w:val="79ED024F"/>
    <w:rsid w:val="7AAF4FDA"/>
    <w:rsid w:val="7AE765B8"/>
    <w:rsid w:val="7B193B0B"/>
    <w:rsid w:val="7B3545DB"/>
    <w:rsid w:val="7B397DEA"/>
    <w:rsid w:val="7BD504EC"/>
    <w:rsid w:val="7C427128"/>
    <w:rsid w:val="7C527153"/>
    <w:rsid w:val="7C7C0F53"/>
    <w:rsid w:val="7CA722FF"/>
    <w:rsid w:val="7CC44170"/>
    <w:rsid w:val="7CE20030"/>
    <w:rsid w:val="7CFE11C6"/>
    <w:rsid w:val="7D1D1970"/>
    <w:rsid w:val="7DCA1740"/>
    <w:rsid w:val="7DE4268D"/>
    <w:rsid w:val="7DF6594F"/>
    <w:rsid w:val="7DFD4F4B"/>
    <w:rsid w:val="7E325224"/>
    <w:rsid w:val="7E804619"/>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character" w:customStyle="1" w:styleId="11">
    <w:name w:val="页脚 Char"/>
    <w:basedOn w:val="8"/>
    <w:link w:val="3"/>
    <w:semiHidden/>
    <w:qFormat/>
    <w:uiPriority w:val="99"/>
    <w:rPr>
      <w:kern w:val="2"/>
      <w:sz w:val="18"/>
      <w:szCs w:val="18"/>
    </w:rPr>
  </w:style>
  <w:style w:type="character" w:customStyle="1" w:styleId="12">
    <w:name w:val="页眉 Char"/>
    <w:basedOn w:val="8"/>
    <w:link w:val="4"/>
    <w:semiHidden/>
    <w:qFormat/>
    <w:uiPriority w:val="99"/>
    <w:rPr>
      <w:kern w:val="2"/>
      <w:sz w:val="18"/>
      <w:szCs w:val="18"/>
    </w:rPr>
  </w:style>
  <w:style w:type="paragraph" w:customStyle="1" w:styleId="1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p0"/>
    <w:basedOn w:val="1"/>
    <w:qFormat/>
    <w:uiPriority w:val="0"/>
    <w:pPr>
      <w:widowControl/>
    </w:pPr>
    <w:rPr>
      <w:rFonts w:ascii="宋体" w:hAnsi="宋体" w:cs="宋体"/>
      <w:kern w:val="0"/>
      <w:sz w:val="32"/>
      <w:szCs w:val="32"/>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3073</Words>
  <Characters>17519</Characters>
  <Lines>145</Lines>
  <Paragraphs>41</Paragraphs>
  <TotalTime>13</TotalTime>
  <ScaleCrop>false</ScaleCrop>
  <LinksUpToDate>false</LinksUpToDate>
  <CharactersWithSpaces>20551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2022-05-18T00:39:00Z</cp:lastPrinted>
  <dcterms:modified xsi:type="dcterms:W3CDTF">2024-03-19T07:38:34Z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2B5CA4D2591C4EBE8F67406669008956</vt:lpwstr>
  </property>
</Properties>
</file>