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w:t>
      </w:r>
      <w:r>
        <w:rPr>
          <w:rFonts w:hint="eastAsia" w:ascii="黑体" w:hAnsi="Calibri" w:eastAsia="黑体" w:cs="Times New Roman"/>
          <w:b/>
          <w:sz w:val="44"/>
          <w:szCs w:val="22"/>
          <w:lang w:eastAsia="zh-CN"/>
        </w:rPr>
        <w:t>单位</w:t>
      </w:r>
      <w:r>
        <w:rPr>
          <w:rFonts w:hint="eastAsia" w:ascii="黑体" w:hAnsi="Calibri" w:eastAsia="黑体" w:cs="Times New Roman"/>
          <w:b/>
          <w:sz w:val="44"/>
          <w:szCs w:val="22"/>
        </w:rPr>
        <w:t>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lang w:eastAsia="zh-CN"/>
        </w:rPr>
        <w:t>单位</w:t>
      </w:r>
      <w:r>
        <w:rPr>
          <w:rFonts w:hint="eastAsia" w:ascii="方正楷体_GBK" w:hAnsi="Calibri" w:eastAsia="方正楷体_GBK" w:cs="Times New Roman"/>
          <w:b/>
          <w:sz w:val="28"/>
          <w:szCs w:val="22"/>
        </w:rPr>
        <w:t>预算公开表</w:t>
      </w:r>
    </w:p>
    <w:p>
      <w:pPr>
        <w:pStyle w:val="9"/>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4</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7</w:t>
      </w:r>
      <w:r>
        <w:rPr>
          <w:rStyle w:val="13"/>
          <w:rFonts w:hint="eastAsia" w:ascii="方正仿宋简体" w:hAnsi="方正仿宋简体" w:eastAsia="方正仿宋简体" w:cs="方正仿宋简体"/>
          <w:color w:val="auto"/>
          <w:sz w:val="32"/>
          <w:szCs w:val="28"/>
          <w:u w:val="none"/>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9</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default"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14</w:t>
      </w:r>
    </w:p>
    <w:p>
      <w:pPr>
        <w:pStyle w:val="9"/>
        <w:tabs>
          <w:tab w:val="right" w:leader="dot" w:pos="14789"/>
        </w:tabs>
        <w:jc w:val="center"/>
        <w:rPr>
          <w:rFonts w:hint="default"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16</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9</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2</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0</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2</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w:t>
      </w:r>
    </w:p>
    <w:p>
      <w:pPr>
        <w:ind w:left="48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lang w:eastAsia="zh-CN"/>
        </w:rPr>
        <w:t>单位</w:t>
      </w:r>
      <w:r>
        <w:rPr>
          <w:rFonts w:hint="eastAsia" w:ascii="方正楷体_GBK" w:eastAsia="方正楷体_GBK"/>
          <w:b/>
          <w:sz w:val="32"/>
          <w:szCs w:val="28"/>
        </w:rPr>
        <w:t>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一、</w:t>
      </w:r>
      <w:r>
        <w:rPr>
          <w:rStyle w:val="13"/>
          <w:rFonts w:hint="eastAsia" w:ascii="方正仿宋简体" w:hAnsi="方正仿宋简体" w:eastAsia="方正仿宋简体" w:cs="方正仿宋简体"/>
          <w:color w:val="auto"/>
          <w:sz w:val="32"/>
          <w:szCs w:val="32"/>
          <w:u w:val="none"/>
          <w:lang w:eastAsia="zh-CN"/>
        </w:rPr>
        <w:t>单位</w:t>
      </w:r>
      <w:r>
        <w:rPr>
          <w:rStyle w:val="13"/>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二、</w:t>
      </w:r>
      <w:r>
        <w:rPr>
          <w:rStyle w:val="13"/>
          <w:rFonts w:hint="eastAsia" w:ascii="方正仿宋简体" w:hAnsi="方正仿宋简体" w:eastAsia="方正仿宋简体" w:cs="方正仿宋简体"/>
          <w:color w:val="auto"/>
          <w:sz w:val="32"/>
          <w:szCs w:val="32"/>
          <w:u w:val="none"/>
          <w:lang w:eastAsia="zh-CN"/>
        </w:rPr>
        <w:t>单位</w:t>
      </w:r>
      <w:r>
        <w:rPr>
          <w:rStyle w:val="13"/>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sz w:val="32"/>
          <w:szCs w:val="32"/>
          <w:u w:val="none"/>
        </w:rPr>
        <w:sectPr>
          <w:headerReference r:id="rId4" w:type="first"/>
          <w:footerReference r:id="rId7" w:type="first"/>
          <w:headerReference r:id="rId3" w:type="default"/>
          <w:footerReference r:id="rId5" w:type="default"/>
          <w:footerReference r:id="rId6" w:type="even"/>
          <w:pgSz w:w="16839" w:h="11907" w:orient="landscape"/>
          <w:pgMar w:top="680" w:right="454" w:bottom="567" w:left="567" w:header="851" w:footer="992" w:gutter="0"/>
          <w:pgNumType w:fmt="decimal" w:start="2"/>
          <w:cols w:space="720" w:num="1"/>
          <w:rtlGutter w:val="0"/>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36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28"/>
          <w:u w:val="none"/>
          <w:lang w:val="en-US" w:eastAsia="zh-CN"/>
        </w:rPr>
        <w:t>7</w:t>
      </w:r>
    </w:p>
    <w:p>
      <w:pPr>
        <w:keepNext w:val="0"/>
        <w:keepLines w:val="0"/>
        <w:pageBreakBefore w:val="0"/>
        <w:widowControl w:val="0"/>
        <w:kinsoku/>
        <w:wordWrap/>
        <w:overflowPunct/>
        <w:topLinePunct w:val="0"/>
        <w:autoSpaceDE/>
        <w:autoSpaceDN/>
        <w:bidi w:val="0"/>
        <w:adjustRightInd/>
        <w:snapToGrid/>
        <w:spacing w:line="570" w:lineRule="exact"/>
        <w:ind w:left="480" w:leftChars="200"/>
        <w:jc w:val="center"/>
        <w:textAlignment w:val="auto"/>
        <w:rPr>
          <w:rFonts w:ascii="Times New Roman" w:hAnsi="宋体"/>
          <w:sz w:val="22"/>
          <w:szCs w:val="28"/>
        </w:rPr>
      </w:pPr>
      <w:r>
        <w:rPr>
          <w:rFonts w:ascii="Times New Roman" w:eastAsia="方正仿宋_GBK"/>
          <w:sz w:val="32"/>
          <w:szCs w:val="28"/>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eastAsia="方正仿宋_GBK"/>
          <w:sz w:val="32"/>
          <w:szCs w:val="28"/>
        </w:rPr>
      </w:pPr>
    </w:p>
    <w:p>
      <w:pPr>
        <w:ind w:left="480" w:leftChars="200"/>
        <w:jc w:val="center"/>
        <w:rPr>
          <w:rFonts w:ascii="Times New Roman" w:hAnsi="宋体"/>
          <w:sz w:val="22"/>
          <w:szCs w:val="28"/>
        </w:rPr>
      </w:pPr>
    </w:p>
    <w:p>
      <w:pPr>
        <w:rPr>
          <w:sz w:val="22"/>
          <w:szCs w:val="28"/>
        </w:rPr>
      </w:pPr>
    </w:p>
    <w:p>
      <w:pPr>
        <w:jc w:val="center"/>
      </w:pPr>
    </w:p>
    <w:p>
      <w:pPr>
        <w:jc w:val="center"/>
      </w:pPr>
    </w:p>
    <w:p>
      <w:pPr>
        <w:jc w:val="center"/>
      </w:pPr>
    </w:p>
    <w:p>
      <w:pPr>
        <w:jc w:val="center"/>
      </w:pPr>
    </w:p>
    <w:p>
      <w:pPr>
        <w:jc w:val="center"/>
      </w:pPr>
    </w:p>
    <w:p>
      <w:pPr>
        <w:jc w:val="center"/>
        <w:outlineLvl w:val="0"/>
        <w:rPr>
          <w:rFonts w:ascii="方正小标宋_GBK" w:hAnsi="方正小标宋_GBK" w:eastAsia="方正小标宋_GBK" w:cs="方正小标宋_GBK"/>
          <w:color w:val="000000"/>
          <w:sz w:val="72"/>
        </w:rPr>
      </w:pPr>
    </w:p>
    <w:p>
      <w:pPr>
        <w:jc w:val="both"/>
        <w:outlineLvl w:val="0"/>
        <w:sectPr>
          <w:footerReference r:id="rId8" w:type="default"/>
          <w:footerReference r:id="rId9" w:type="even"/>
          <w:pgSz w:w="16840" w:h="11900" w:orient="landscape"/>
          <w:pgMar w:top="680" w:right="454" w:bottom="567" w:left="567" w:header="720" w:footer="720" w:gutter="0"/>
          <w:pgNumType w:fmt="decimal" w:start="1"/>
          <w:cols w:space="720" w:num="1"/>
          <w:rtlGutter w:val="0"/>
        </w:sectPr>
      </w:pPr>
    </w:p>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bookmarkStart w:id="0" w:name="_Toc_2_2_0000000001"/>
      <w:r>
        <w:rPr>
          <w:rStyle w:val="13"/>
          <w:rFonts w:hint="eastAsia" w:ascii="方正仿宋简体" w:hAnsi="方正仿宋简体" w:eastAsia="方正仿宋简体" w:cs="方正仿宋简体"/>
          <w:color w:val="auto"/>
          <w:kern w:val="2"/>
          <w:sz w:val="28"/>
          <w:szCs w:val="22"/>
          <w:u w:val="none"/>
          <w:lang w:val="en-US" w:eastAsia="zh-CN"/>
        </w:rPr>
        <w:t xml:space="preserve">附表1-1                                   </w:t>
      </w:r>
      <w:r>
        <w:rPr>
          <w:rStyle w:val="13"/>
          <w:rFonts w:hint="eastAsia" w:ascii="方正小标宋简体" w:hAnsi="方正小标宋简体" w:eastAsia="方正小标宋简体" w:cs="方正小标宋简体"/>
          <w:color w:val="auto"/>
          <w:kern w:val="2"/>
          <w:sz w:val="44"/>
          <w:szCs w:val="44"/>
          <w:u w:val="none"/>
          <w:lang w:val="en-US" w:eastAsia="zh-CN"/>
        </w:rPr>
        <w:t>单位预算收支总表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4476"/>
        <w:gridCol w:w="2544"/>
        <w:gridCol w:w="4447"/>
        <w:gridCol w:w="2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8" w:type="dxa"/>
            <w:gridSpan w:val="2"/>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2544"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7066" w:type="dxa"/>
            <w:gridSpan w:val="2"/>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7020"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收入</w:t>
            </w:r>
          </w:p>
        </w:tc>
        <w:tc>
          <w:tcPr>
            <w:tcW w:w="7066"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预算数</w:t>
            </w:r>
          </w:p>
        </w:tc>
        <w:tc>
          <w:tcPr>
            <w:tcW w:w="44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4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44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一、一般公共预算拨款收入</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一、一般公共服务支出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二、政府性基金预算拨款收入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二、外交支出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三、国有资本经营预算拨款收入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三、国防支出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四、财政专户管理资金收入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四、公共安全支出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五、事业收入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五、教育支出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六、事业单位经营收入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六、科学技术支出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七、上级补助收入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七、文化旅游体育与传媒支出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八、附属单位上缴收入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八、社会保障和就业支出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九、其他收入</w:t>
            </w: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九、社会保险基金支出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十、卫生健康支出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十一、节能环保支出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十二、城乡社区支出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十三、农林水支出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十四、交通运输支出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十五、资源勘探工业信息等支出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十六、商业服务业等支出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十七、金融支出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十八、援助其他地区支出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十九、自然资源海洋气象等支出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二十、住房保障支出</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二十一、粮油物资储备支出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二十二、国有资本经营预算支出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23</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二十三、灾害防治及应急管理支出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24</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二十四、预备费</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25</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二十五、其他支出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26</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二十六、转移性支出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二十七、债务还本支出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28</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二十八、债务付息支出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29</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二十九、债务发行费用支出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三十、抗疫特别国债安排的支出</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31</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5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三十一、人行科目</w:t>
            </w:r>
          </w:p>
        </w:tc>
        <w:tc>
          <w:tcPr>
            <w:tcW w:w="2619"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本年收入合计</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本年支出合计</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上年结转结余</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年终结转结余</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34</w:t>
            </w:r>
          </w:p>
        </w:tc>
        <w:tc>
          <w:tcPr>
            <w:tcW w:w="4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收入总计</w:t>
            </w:r>
          </w:p>
        </w:tc>
        <w:tc>
          <w:tcPr>
            <w:tcW w:w="25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44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支出总计</w:t>
            </w:r>
          </w:p>
        </w:tc>
        <w:tc>
          <w:tcPr>
            <w:tcW w:w="261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center" w:pos="7909"/>
        </w:tabs>
        <w:bidi w:val="0"/>
        <w:jc w:val="left"/>
        <w:rPr>
          <w:rFonts w:hint="eastAsia"/>
          <w:lang w:val="en-US" w:eastAsia="zh-CN"/>
        </w:rPr>
        <w:sectPr>
          <w:headerReference r:id="rId10" w:type="default"/>
          <w:footerReference r:id="rId11" w:type="default"/>
          <w:pgSz w:w="16840" w:h="11900" w:orient="landscape"/>
          <w:pgMar w:top="680" w:right="454" w:bottom="567" w:left="567" w:header="720" w:footer="720" w:gutter="0"/>
          <w:pgNumType w:fmt="decimal" w:start="1"/>
          <w:cols w:space="0" w:num="1"/>
          <w:rtlGutter w:val="0"/>
          <w:docGrid w:linePitch="0" w:charSpace="0"/>
        </w:sectPr>
      </w:pPr>
    </w:p>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bookmarkStart w:id="1" w:name="_Toc_2_2_0000000002"/>
      <w:r>
        <w:rPr>
          <w:rStyle w:val="13"/>
          <w:rFonts w:hint="eastAsia" w:ascii="方正仿宋简体" w:hAnsi="方正仿宋简体" w:eastAsia="方正仿宋简体" w:cs="方正仿宋简体"/>
          <w:color w:val="auto"/>
          <w:kern w:val="2"/>
          <w:sz w:val="28"/>
          <w:szCs w:val="22"/>
          <w:u w:val="none"/>
          <w:lang w:val="en-US" w:eastAsia="zh-CN"/>
        </w:rPr>
        <w:t xml:space="preserve">附表1-2 </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单位预算收入总表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4"/>
        <w:gridCol w:w="1381"/>
        <w:gridCol w:w="3067"/>
        <w:gridCol w:w="1283"/>
        <w:gridCol w:w="1317"/>
        <w:gridCol w:w="1233"/>
        <w:gridCol w:w="947"/>
        <w:gridCol w:w="840"/>
        <w:gridCol w:w="816"/>
        <w:gridCol w:w="864"/>
        <w:gridCol w:w="1176"/>
        <w:gridCol w:w="744"/>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7652" w:type="dxa"/>
            <w:gridSpan w:val="5"/>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3020"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560" w:type="dxa"/>
            <w:gridSpan w:val="5"/>
            <w:tcBorders>
              <w:top w:val="single" w:color="FFFFFF" w:sz="6" w:space="0"/>
              <w:left w:val="single" w:color="FFFFFF" w:sz="6" w:space="0"/>
              <w:right w:val="single" w:color="FFFFFF" w:sz="6" w:space="0"/>
            </w:tcBorders>
            <w:vAlign w:val="center"/>
          </w:tcPr>
          <w:p>
            <w:pPr>
              <w:widowControl w:val="0"/>
              <w:spacing w:line="560" w:lineRule="exact"/>
              <w:ind w:firstLine="1960" w:firstLineChars="700"/>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4448"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1283"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7937" w:type="dxa"/>
            <w:gridSpan w:val="8"/>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本年收入</w:t>
            </w:r>
          </w:p>
        </w:tc>
        <w:tc>
          <w:tcPr>
            <w:tcW w:w="96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tblHeader/>
          <w:jc w:val="center"/>
        </w:trPr>
        <w:tc>
          <w:tcPr>
            <w:tcW w:w="604"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38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    编码</w:t>
            </w:r>
          </w:p>
        </w:tc>
        <w:tc>
          <w:tcPr>
            <w:tcW w:w="306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1283"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小计</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财政拨款 收入</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财政专户 收入</w:t>
            </w: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事业收入</w:t>
            </w: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经营收入</w:t>
            </w: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上级补助收入</w:t>
            </w: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附属单位上缴收入</w:t>
            </w: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其他收入</w:t>
            </w:r>
          </w:p>
        </w:tc>
        <w:tc>
          <w:tcPr>
            <w:tcW w:w="96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5" w:hRule="atLeast"/>
          <w:tblHeader/>
          <w:jc w:val="center"/>
        </w:trPr>
        <w:tc>
          <w:tcPr>
            <w:tcW w:w="60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38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306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60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38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306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社会保障和就业支出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9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行政事业单位养老支出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9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2080505</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机关事业单位基本养老保险缴费支出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9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2080506</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机关事业单位职业年金缴费支出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94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卫生健康支出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3"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行政事业单位医疗</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2101102</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事业单位医疗</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农林水支出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910.77</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910.77</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林业和草原</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910.77</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910.77</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2130201</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行政运行</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2130205</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森林资源培育</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2130234</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林业草原防灾减灾</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83.00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83.00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住房保障支出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住房改革支出</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138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2210201</w:t>
            </w:r>
          </w:p>
        </w:tc>
        <w:tc>
          <w:tcPr>
            <w:tcW w:w="3067"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住房公积金</w:t>
            </w:r>
          </w:p>
        </w:tc>
        <w:tc>
          <w:tcPr>
            <w:tcW w:w="128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31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947"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6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7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9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bookmarkStart w:id="2" w:name="_Toc_2_2_0000000003"/>
      <w:r>
        <w:rPr>
          <w:rStyle w:val="13"/>
          <w:rFonts w:hint="eastAsia" w:ascii="方正仿宋简体" w:hAnsi="方正仿宋简体" w:eastAsia="方正仿宋简体" w:cs="方正仿宋简体"/>
          <w:color w:val="auto"/>
          <w:kern w:val="2"/>
          <w:sz w:val="28"/>
          <w:szCs w:val="22"/>
          <w:u w:val="none"/>
          <w:lang w:val="en-US" w:eastAsia="zh-CN"/>
        </w:rPr>
        <w:t xml:space="preserve">附表1-3                                        </w:t>
      </w:r>
      <w:r>
        <w:rPr>
          <w:rStyle w:val="13"/>
          <w:rFonts w:hint="eastAsia" w:ascii="方正小标宋简体" w:hAnsi="方正小标宋简体" w:eastAsia="方正小标宋简体" w:cs="方正小标宋简体"/>
          <w:color w:val="auto"/>
          <w:kern w:val="2"/>
          <w:sz w:val="44"/>
          <w:szCs w:val="44"/>
          <w:u w:val="none"/>
          <w:lang w:val="en-US" w:eastAsia="zh-CN"/>
        </w:rPr>
        <w:t>单位预算支出总表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488"/>
        <w:gridCol w:w="4770"/>
        <w:gridCol w:w="1344"/>
        <w:gridCol w:w="1260"/>
        <w:gridCol w:w="1250"/>
        <w:gridCol w:w="1095"/>
        <w:gridCol w:w="1095"/>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1"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2604" w:type="dxa"/>
            <w:gridSpan w:val="2"/>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732" w:type="dxa"/>
            <w:gridSpan w:val="4"/>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6258"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1344"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26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基本支出</w:t>
            </w:r>
          </w:p>
        </w:tc>
        <w:tc>
          <w:tcPr>
            <w:tcW w:w="125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项目支出</w:t>
            </w:r>
          </w:p>
        </w:tc>
        <w:tc>
          <w:tcPr>
            <w:tcW w:w="1095"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经营支出</w:t>
            </w:r>
          </w:p>
        </w:tc>
        <w:tc>
          <w:tcPr>
            <w:tcW w:w="1095"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上解上级     支出</w:t>
            </w:r>
          </w:p>
        </w:tc>
        <w:tc>
          <w:tcPr>
            <w:tcW w:w="129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4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    编码</w:t>
            </w:r>
          </w:p>
        </w:tc>
        <w:tc>
          <w:tcPr>
            <w:tcW w:w="477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1344"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6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5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4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77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09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09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2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4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77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1075.93</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c>
          <w:tcPr>
            <w:tcW w:w="109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社会保障和就业支出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行政事业单位养老支出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2080505</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机关事业单位基本养老保险缴费支出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2080506</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机关事业单位职业年金缴费支出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卫生健康支出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行政事业单位医疗</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2101102</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事业单位医疗</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农林水支出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林业和草原</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2130201</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行政运行</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2130205</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森林资源培育</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2130234</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林业草原防灾减灾</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住房保障支出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住房改革支出</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14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2210201</w:t>
            </w:r>
          </w:p>
        </w:tc>
        <w:tc>
          <w:tcPr>
            <w:tcW w:w="477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住房公积金</w:t>
            </w:r>
          </w:p>
        </w:tc>
        <w:tc>
          <w:tcPr>
            <w:tcW w:w="134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25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3" w:name="_Toc_2_2_0000000004"/>
      <w:r>
        <w:rPr>
          <w:rStyle w:val="13"/>
          <w:rFonts w:hint="eastAsia" w:ascii="方正仿宋简体" w:hAnsi="方正仿宋简体" w:eastAsia="方正仿宋简体" w:cs="方正仿宋简体"/>
          <w:color w:val="auto"/>
          <w:kern w:val="2"/>
          <w:sz w:val="28"/>
          <w:szCs w:val="22"/>
          <w:u w:val="none"/>
          <w:lang w:val="en-US" w:eastAsia="zh-CN"/>
        </w:rPr>
        <w:t>附表1-4</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 xml:space="preserve"> 单位预算财政拨款收支总表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4032"/>
        <w:gridCol w:w="1296"/>
        <w:gridCol w:w="4501"/>
        <w:gridCol w:w="1233"/>
        <w:gridCol w:w="1184"/>
        <w:gridCol w:w="816"/>
        <w:gridCol w:w="1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7"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4501"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327" w:type="dxa"/>
            <w:gridSpan w:val="4"/>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5328"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收入</w:t>
            </w:r>
          </w:p>
        </w:tc>
        <w:tc>
          <w:tcPr>
            <w:tcW w:w="8828" w:type="dxa"/>
            <w:gridSpan w:val="5"/>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0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12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金额</w:t>
            </w:r>
          </w:p>
        </w:tc>
        <w:tc>
          <w:tcPr>
            <w:tcW w:w="450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一般公共预算财政拨款</w:t>
            </w: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政府性基金预算财政    拨款</w:t>
            </w:r>
          </w:p>
        </w:tc>
        <w:tc>
          <w:tcPr>
            <w:tcW w:w="109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40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2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4501"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81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09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一、一般公共服务支出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二、政府性基金预算拨款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二、外交支出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三、国有资本经营预算拨款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三、国防支出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四、公共安全支出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五、教育支出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六、科学技术支出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七、文化旅游体育与传媒支出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八、社会保障和就业支出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九、社会保险基金支出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十、卫生健康支出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十一、节能环保支出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十二、城乡社区支出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十三、农林水支出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十四、交通运输支出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十五、资源勘探工业信息等支出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十六、商业服务业等支出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十七、金融支出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十八、援助其他地区支出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十九、自然资源海洋气象等支出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二十、住房保障支出</w:t>
            </w:r>
          </w:p>
        </w:tc>
        <w:tc>
          <w:tcPr>
            <w:tcW w:w="123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18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二十一、粮油物资储备支出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二十二、国有资本经营预算支出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23</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二十三、灾害防治及应急管理支出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24</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二十四、预备费</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25</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二十五、其他支出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26</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二十六、转移性支出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二十七、债务还本支出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28</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二十八、债务付息支出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29</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二十九、债务发行费用支出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三十、抗疫特别国债安排的支出</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31</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三十一、人行科目</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本年收入合计</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1208.93</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本年支出合计</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年初财政拨款结转和结余</w:t>
            </w:r>
          </w:p>
        </w:tc>
        <w:tc>
          <w:tcPr>
            <w:tcW w:w="12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年末财政拨款结转和结余</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34</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一、一般公共预算拨款</w:t>
            </w:r>
          </w:p>
        </w:tc>
        <w:tc>
          <w:tcPr>
            <w:tcW w:w="12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20.00</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35</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二、政府性基金预算拨款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36</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三、国有资本经营预算拨款</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37</w:t>
            </w:r>
          </w:p>
        </w:tc>
        <w:tc>
          <w:tcPr>
            <w:tcW w:w="403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收入总计</w:t>
            </w:r>
          </w:p>
        </w:tc>
        <w:tc>
          <w:tcPr>
            <w:tcW w:w="129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4501"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支出总计</w:t>
            </w:r>
          </w:p>
        </w:tc>
        <w:tc>
          <w:tcPr>
            <w:tcW w:w="1233"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118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81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1094"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4" w:name="_Toc_2_2_0000000005"/>
      <w:r>
        <w:rPr>
          <w:rStyle w:val="13"/>
          <w:rFonts w:hint="eastAsia" w:ascii="方正仿宋简体" w:hAnsi="方正仿宋简体" w:eastAsia="方正仿宋简体" w:cs="方正仿宋简体"/>
          <w:color w:val="auto"/>
          <w:kern w:val="2"/>
          <w:sz w:val="28"/>
          <w:szCs w:val="22"/>
          <w:u w:val="none"/>
          <w:lang w:val="en-US" w:eastAsia="zh-CN"/>
        </w:rPr>
        <w:t>附表1-5</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单位预算一般公共预算财政拨款支出表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1788"/>
        <w:gridCol w:w="5605"/>
        <w:gridCol w:w="2148"/>
        <w:gridCol w:w="2028"/>
        <w:gridCol w:w="24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58"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2148"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预算年：2023</w:t>
            </w:r>
          </w:p>
        </w:tc>
        <w:tc>
          <w:tcPr>
            <w:tcW w:w="4456"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7393"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214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02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基本支出</w:t>
            </w:r>
          </w:p>
        </w:tc>
        <w:tc>
          <w:tcPr>
            <w:tcW w:w="242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7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科目编码</w:t>
            </w:r>
          </w:p>
        </w:tc>
        <w:tc>
          <w:tcPr>
            <w:tcW w:w="560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214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02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42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7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560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78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560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1228.93</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1075.93</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社会保障和就业支出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行政事业单位养老支出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159.31</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2080505</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机关事业单位基本养老保险缴费支出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125.92</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2080506</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机关事业单位职业年金缴费支出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卫生健康支出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行政事业单位医疗</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2101102</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事业单位医疗</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86.55</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农林水支出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林业和草原</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930.77</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2130201</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行政运行</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777.77</w:t>
            </w:r>
          </w:p>
        </w:tc>
        <w:tc>
          <w:tcPr>
            <w:tcW w:w="242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2130205</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森林资源培育</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2130234</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林业草原防灾减灾</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住房保障支出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住房改革支出</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1788"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2210201</w:t>
            </w:r>
          </w:p>
        </w:tc>
        <w:tc>
          <w:tcPr>
            <w:tcW w:w="5605"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住房公积金</w:t>
            </w:r>
          </w:p>
        </w:tc>
        <w:tc>
          <w:tcPr>
            <w:tcW w:w="214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0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42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bookmarkStart w:id="5" w:name="_Toc_2_2_0000000006"/>
      <w:r>
        <w:rPr>
          <w:rStyle w:val="13"/>
          <w:rFonts w:hint="eastAsia" w:ascii="方正仿宋简体" w:hAnsi="方正仿宋简体" w:eastAsia="方正仿宋简体" w:cs="方正仿宋简体"/>
          <w:color w:val="auto"/>
          <w:kern w:val="2"/>
          <w:sz w:val="28"/>
          <w:szCs w:val="22"/>
          <w:u w:val="none"/>
          <w:lang w:val="en-US" w:eastAsia="zh-CN"/>
        </w:rPr>
        <w:t>附表1-6</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单位预算一般公共预算财政拨款基本支出表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1476"/>
        <w:gridCol w:w="4752"/>
        <w:gridCol w:w="2232"/>
        <w:gridCol w:w="1992"/>
        <w:gridCol w:w="2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6"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2232"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582"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6228"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支出单位经济分类科目</w:t>
            </w:r>
          </w:p>
        </w:tc>
        <w:tc>
          <w:tcPr>
            <w:tcW w:w="6814" w:type="dxa"/>
            <w:gridSpan w:val="3"/>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科目编码</w:t>
            </w:r>
          </w:p>
        </w:tc>
        <w:tc>
          <w:tcPr>
            <w:tcW w:w="47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人员经费</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7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147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75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1075.93</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1018.75</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工资福利支出</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921.08</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921.08</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基本工资</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495.78</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495.78</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30102</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津贴补贴</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62.13</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62.13</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30103</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奖金</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58.69</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58.69</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30108</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机关事业单位基本养老保险缴费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131.00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131.00</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30109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职业年金缴费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33.39</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30110</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职工基本医疗保险缴费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87.79</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87.79</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30113</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住房公积金</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52.30</w:t>
            </w: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10</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商品和服务支出</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57.18</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30201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办公费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12</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30206</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电费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13</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30207</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邮电费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0.90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30208</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取暖费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17.00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30211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差旅费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16</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30215</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会议费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0.45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30216</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培训费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0.45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30217</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公务接待费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30228</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工会经费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5.50</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20</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30229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福利费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7.15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21</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30231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公务用车运行维护费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22</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30239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其他交通费用</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1.98</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23</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30299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其他商品和服务支出</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9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24</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对个人和家庭的补助</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97.67</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97.67</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25</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30301</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离休费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1.77</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1.77</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26</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30302</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退休费</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94.03</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94.03</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27</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30304</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抚恤金</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1.85</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1.85</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28</w:t>
            </w:r>
          </w:p>
        </w:tc>
        <w:tc>
          <w:tcPr>
            <w:tcW w:w="147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30309</w:t>
            </w:r>
          </w:p>
        </w:tc>
        <w:tc>
          <w:tcPr>
            <w:tcW w:w="4752"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奖励金</w:t>
            </w:r>
          </w:p>
        </w:tc>
        <w:tc>
          <w:tcPr>
            <w:tcW w:w="223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0.02</w:t>
            </w:r>
          </w:p>
        </w:tc>
        <w:tc>
          <w:tcPr>
            <w:tcW w:w="199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0.02</w:t>
            </w:r>
          </w:p>
        </w:tc>
        <w:tc>
          <w:tcPr>
            <w:tcW w:w="259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6" w:name="_Toc_2_2_0000000007"/>
      <w:r>
        <w:rPr>
          <w:rStyle w:val="13"/>
          <w:rFonts w:hint="eastAsia" w:ascii="方正仿宋简体" w:hAnsi="方正仿宋简体" w:eastAsia="方正仿宋简体" w:cs="方正仿宋简体"/>
          <w:color w:val="auto"/>
          <w:kern w:val="2"/>
          <w:sz w:val="28"/>
          <w:szCs w:val="22"/>
          <w:u w:val="none"/>
          <w:lang w:val="en-US" w:eastAsia="zh-CN"/>
        </w:rPr>
        <w:t>附表1-7</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 xml:space="preserve"> 单位预算政府基金预算财政拨款支出表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1500"/>
        <w:gridCol w:w="4620"/>
        <w:gridCol w:w="2556"/>
        <w:gridCol w:w="2196"/>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2"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2556"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171"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6120"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2556"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196"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基本支出</w:t>
            </w:r>
          </w:p>
        </w:tc>
        <w:tc>
          <w:tcPr>
            <w:tcW w:w="1975"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5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科目编码</w:t>
            </w:r>
          </w:p>
        </w:tc>
        <w:tc>
          <w:tcPr>
            <w:tcW w:w="462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2556"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96"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75"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5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462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55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21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197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5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462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55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9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75"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r>
        <w:rPr>
          <w:rStyle w:val="13"/>
          <w:rFonts w:hint="eastAsia" w:ascii="方正仿宋简体" w:hAnsi="方正仿宋简体" w:eastAsia="方正仿宋简体" w:cs="方正仿宋简体"/>
          <w:color w:val="auto"/>
          <w:kern w:val="2"/>
          <w:sz w:val="28"/>
          <w:szCs w:val="22"/>
          <w:u w:val="none"/>
          <w:lang w:val="en-US" w:eastAsia="zh-CN"/>
        </w:rPr>
        <w:t>注：无政府基金预算财政拨款预算，空表列示。</w:t>
      </w: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7" w:name="_Toc_2_2_0000000008"/>
      <w:r>
        <w:rPr>
          <w:rStyle w:val="13"/>
          <w:rFonts w:hint="eastAsia" w:ascii="方正仿宋简体" w:hAnsi="方正仿宋简体" w:eastAsia="方正仿宋简体" w:cs="方正仿宋简体"/>
          <w:color w:val="auto"/>
          <w:kern w:val="2"/>
          <w:sz w:val="28"/>
          <w:szCs w:val="22"/>
          <w:u w:val="none"/>
          <w:lang w:val="en-US" w:eastAsia="zh-CN"/>
        </w:rPr>
        <w:t>附表1-8</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 xml:space="preserve"> 单位预算国有资本经营预算财政拨款支出表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3"/>
        <w:gridCol w:w="1908"/>
        <w:gridCol w:w="3672"/>
        <w:gridCol w:w="2868"/>
        <w:gridCol w:w="2208"/>
        <w:gridCol w:w="2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3"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2868"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预算年度：2023</w:t>
            </w:r>
          </w:p>
        </w:tc>
        <w:tc>
          <w:tcPr>
            <w:tcW w:w="4376"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3"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5580" w:type="dxa"/>
            <w:gridSpan w:val="2"/>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功能分类科目</w:t>
            </w:r>
          </w:p>
        </w:tc>
        <w:tc>
          <w:tcPr>
            <w:tcW w:w="286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20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基本支出</w:t>
            </w:r>
          </w:p>
        </w:tc>
        <w:tc>
          <w:tcPr>
            <w:tcW w:w="2168"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3"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科目编码</w:t>
            </w:r>
          </w:p>
        </w:tc>
        <w:tc>
          <w:tcPr>
            <w:tcW w:w="367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科目名称</w:t>
            </w:r>
          </w:p>
        </w:tc>
        <w:tc>
          <w:tcPr>
            <w:tcW w:w="286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20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68"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19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367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86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22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216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3"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3672"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86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20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68"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sectPr>
          <w:pgSz w:w="16840" w:h="11900" w:orient="landscape"/>
          <w:pgMar w:top="680" w:right="454" w:bottom="567" w:left="567" w:header="720" w:footer="720" w:gutter="0"/>
          <w:pgNumType w:fmt="decimal"/>
          <w:cols w:space="720" w:num="1"/>
          <w:rtlGutter w:val="0"/>
        </w:sectPr>
      </w:pPr>
      <w:r>
        <w:rPr>
          <w:rStyle w:val="13"/>
          <w:rFonts w:hint="eastAsia" w:ascii="方正仿宋简体" w:hAnsi="方正仿宋简体" w:eastAsia="方正仿宋简体" w:cs="方正仿宋简体"/>
          <w:color w:val="auto"/>
          <w:kern w:val="2"/>
          <w:sz w:val="28"/>
          <w:szCs w:val="22"/>
          <w:u w:val="none"/>
          <w:lang w:val="en-US" w:eastAsia="zh-CN"/>
        </w:rPr>
        <w:t>注：无国有资本经营预算财政拨款预算，空表列示。</w:t>
      </w:r>
    </w:p>
    <w:p>
      <w:pPr>
        <w:widowControl w:val="0"/>
        <w:spacing w:line="560" w:lineRule="exact"/>
        <w:jc w:val="both"/>
        <w:rPr>
          <w:rStyle w:val="13"/>
          <w:rFonts w:hint="eastAsia" w:ascii="方正小标宋简体" w:hAnsi="方正小标宋简体" w:eastAsia="方正小标宋简体" w:cs="方正小标宋简体"/>
          <w:color w:val="auto"/>
          <w:kern w:val="2"/>
          <w:sz w:val="44"/>
          <w:szCs w:val="44"/>
          <w:u w:val="none"/>
          <w:lang w:val="en-US" w:eastAsia="zh-CN"/>
        </w:rPr>
      </w:pPr>
      <w:bookmarkStart w:id="8" w:name="_Toc_2_2_0000000009"/>
      <w:r>
        <w:rPr>
          <w:rStyle w:val="13"/>
          <w:rFonts w:hint="eastAsia" w:ascii="方正仿宋简体" w:hAnsi="方正仿宋简体" w:eastAsia="方正仿宋简体" w:cs="方正仿宋简体"/>
          <w:color w:val="auto"/>
          <w:kern w:val="2"/>
          <w:sz w:val="28"/>
          <w:szCs w:val="22"/>
          <w:u w:val="none"/>
          <w:lang w:val="en-US" w:eastAsia="zh-CN"/>
        </w:rPr>
        <w:t>附表1-9</w:t>
      </w:r>
      <w:r>
        <w:rPr>
          <w:rStyle w:val="13"/>
          <w:rFonts w:hint="eastAsia" w:ascii="方正仿宋简体" w:hAnsi="方正仿宋简体" w:eastAsia="方正仿宋简体" w:cs="方正仿宋简体"/>
          <w:color w:val="auto"/>
          <w:kern w:val="2"/>
          <w:sz w:val="28"/>
          <w:szCs w:val="22"/>
          <w:u w:val="none"/>
          <w:lang w:val="en-US" w:eastAsia="zh-CN"/>
        </w:rPr>
        <w:tab/>
      </w:r>
      <w:r>
        <w:rPr>
          <w:rStyle w:val="13"/>
          <w:rFonts w:hint="eastAsia" w:ascii="方正仿宋简体" w:hAnsi="方正仿宋简体" w:eastAsia="方正仿宋简体" w:cs="方正仿宋简体"/>
          <w:color w:val="auto"/>
          <w:kern w:val="2"/>
          <w:sz w:val="28"/>
          <w:szCs w:val="22"/>
          <w:u w:val="none"/>
          <w:lang w:val="en-US" w:eastAsia="zh-CN"/>
        </w:rPr>
        <w:t xml:space="preserve">                      </w:t>
      </w:r>
      <w:r>
        <w:rPr>
          <w:rStyle w:val="13"/>
          <w:rFonts w:hint="eastAsia" w:ascii="方正小标宋简体" w:hAnsi="方正小标宋简体" w:eastAsia="方正小标宋简体" w:cs="方正小标宋简体"/>
          <w:color w:val="auto"/>
          <w:kern w:val="2"/>
          <w:sz w:val="44"/>
          <w:szCs w:val="44"/>
          <w:u w:val="none"/>
          <w:lang w:val="en-US" w:eastAsia="zh-CN"/>
        </w:rPr>
        <w:t xml:space="preserve">  单位预算财政拨款“三公”经费支出表</w:t>
      </w:r>
      <w:bookmarkEnd w:id="8"/>
    </w:p>
    <w:tbl>
      <w:tblPr>
        <w:tblStyle w:val="10"/>
        <w:tblW w:w="14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5130"/>
        <w:gridCol w:w="2424"/>
        <w:gridCol w:w="2100"/>
        <w:gridCol w:w="1926"/>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4" w:type="dxa"/>
            <w:gridSpan w:val="3"/>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327遵化市林业局单位</w:t>
            </w:r>
          </w:p>
        </w:tc>
        <w:tc>
          <w:tcPr>
            <w:tcW w:w="2100" w:type="dxa"/>
            <w:tcBorders>
              <w:top w:val="single" w:color="FFFFFF" w:sz="6" w:space="0"/>
              <w:left w:val="single" w:color="FFFFFF" w:sz="6" w:space="0"/>
              <w:right w:val="single" w:color="FFFFFF" w:sz="6" w:space="0"/>
            </w:tcBorders>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预算年：2023</w:t>
            </w:r>
          </w:p>
        </w:tc>
        <w:tc>
          <w:tcPr>
            <w:tcW w:w="4066" w:type="dxa"/>
            <w:gridSpan w:val="2"/>
            <w:tcBorders>
              <w:top w:val="single" w:color="FFFFFF" w:sz="6" w:space="0"/>
              <w:left w:val="single" w:color="FFFFFF" w:sz="6" w:space="0"/>
              <w:right w:val="single" w:color="FFFFFF" w:sz="6" w:space="0"/>
            </w:tcBorders>
            <w:vAlign w:val="center"/>
          </w:tcPr>
          <w:p>
            <w:pPr>
              <w:widowControl w:val="0"/>
              <w:spacing w:line="560" w:lineRule="exact"/>
              <w:jc w:val="right"/>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序号</w:t>
            </w:r>
          </w:p>
        </w:tc>
        <w:tc>
          <w:tcPr>
            <w:tcW w:w="5130" w:type="dxa"/>
            <w:vMerge w:val="restart"/>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项  目</w:t>
            </w:r>
          </w:p>
        </w:tc>
        <w:tc>
          <w:tcPr>
            <w:tcW w:w="8590" w:type="dxa"/>
            <w:gridSpan w:val="4"/>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2" w:hRule="atLeast"/>
          <w:tblHeader/>
          <w:jc w:val="center"/>
        </w:trPr>
        <w:tc>
          <w:tcPr>
            <w:tcW w:w="106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5130" w:type="dxa"/>
            <w:vMerge w:val="continue"/>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一般公共预算              财政拨款</w:t>
            </w:r>
          </w:p>
        </w:tc>
        <w:tc>
          <w:tcPr>
            <w:tcW w:w="192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政府性基金                  预算拨款</w:t>
            </w:r>
          </w:p>
        </w:tc>
        <w:tc>
          <w:tcPr>
            <w:tcW w:w="21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栏次</w:t>
            </w:r>
          </w:p>
        </w:tc>
        <w:tc>
          <w:tcPr>
            <w:tcW w:w="513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192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21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w:t>
            </w:r>
          </w:p>
        </w:tc>
        <w:tc>
          <w:tcPr>
            <w:tcW w:w="513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合计</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15.50</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15.50</w:t>
            </w:r>
          </w:p>
        </w:tc>
        <w:tc>
          <w:tcPr>
            <w:tcW w:w="1926"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2</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“三公”经费小计</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15.50</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15.50</w:t>
            </w: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3</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一、因公出国（境）费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4</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 xml:space="preserve">    其中：教学科研人员因公出国（境）费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5</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 xml:space="preserve">          其他因公出国（境）费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6</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二、公务用车购置及运维费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7</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 xml:space="preserve">    其中：公务用车购置费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8</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 xml:space="preserve">          公务用车运行维护费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14.35</w:t>
            </w: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06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9</w:t>
            </w:r>
          </w:p>
        </w:tc>
        <w:tc>
          <w:tcPr>
            <w:tcW w:w="513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三、公务接待费</w:t>
            </w:r>
          </w:p>
        </w:tc>
        <w:tc>
          <w:tcPr>
            <w:tcW w:w="2424"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1.15</w:t>
            </w:r>
          </w:p>
        </w:tc>
        <w:tc>
          <w:tcPr>
            <w:tcW w:w="2100" w:type="dxa"/>
            <w:vAlign w:val="center"/>
          </w:tcPr>
          <w:p>
            <w:pPr>
              <w:widowControl w:val="0"/>
              <w:spacing w:line="560" w:lineRule="exact"/>
              <w:jc w:val="center"/>
              <w:rPr>
                <w:rStyle w:val="13"/>
                <w:rFonts w:hint="eastAsia" w:ascii="方正仿宋简体" w:hAnsi="方正仿宋简体" w:eastAsia="方正仿宋简体" w:cs="方正仿宋简体"/>
                <w:color w:val="auto"/>
                <w:kern w:val="2"/>
                <w:sz w:val="28"/>
                <w:szCs w:val="22"/>
                <w:u w:val="none"/>
                <w:lang w:val="en-US" w:eastAsia="zh-CN"/>
              </w:rPr>
            </w:pPr>
            <w:r>
              <w:rPr>
                <w:rStyle w:val="13"/>
                <w:rFonts w:hint="eastAsia" w:ascii="方正仿宋简体" w:hAnsi="方正仿宋简体" w:eastAsia="方正仿宋简体" w:cs="方正仿宋简体"/>
                <w:color w:val="auto"/>
                <w:kern w:val="2"/>
                <w:sz w:val="28"/>
                <w:szCs w:val="22"/>
                <w:u w:val="none"/>
                <w:lang w:val="en-US" w:eastAsia="zh-CN"/>
              </w:rPr>
              <w:t>1.15</w:t>
            </w:r>
          </w:p>
        </w:tc>
        <w:tc>
          <w:tcPr>
            <w:tcW w:w="1926"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c>
          <w:tcPr>
            <w:tcW w:w="2140" w:type="dxa"/>
            <w:vAlign w:val="center"/>
          </w:tcPr>
          <w:p>
            <w:pPr>
              <w:widowControl w:val="0"/>
              <w:spacing w:line="560" w:lineRule="exact"/>
              <w:jc w:val="both"/>
              <w:rPr>
                <w:rStyle w:val="13"/>
                <w:rFonts w:hint="eastAsia" w:ascii="方正仿宋简体" w:hAnsi="方正仿宋简体" w:eastAsia="方正仿宋简体" w:cs="方正仿宋简体"/>
                <w:color w:val="auto"/>
                <w:kern w:val="2"/>
                <w:sz w:val="28"/>
                <w:szCs w:val="22"/>
                <w:u w:val="none"/>
                <w:lang w:val="en-US" w:eastAsia="zh-CN"/>
              </w:rPr>
            </w:pPr>
          </w:p>
        </w:tc>
      </w:tr>
    </w:tbl>
    <w:p>
      <w:pPr>
        <w:widowControl w:val="0"/>
        <w:spacing w:line="560" w:lineRule="exact"/>
        <w:jc w:val="both"/>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遵化市林业局单位</w:t>
      </w: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2023年单位预算信息公开情况说明</w:t>
      </w:r>
    </w:p>
    <w:p>
      <w:pPr>
        <w:pStyle w:val="2"/>
        <w:keepNext w:val="0"/>
        <w:keepLines w:val="0"/>
        <w:pageBreakBefore w:val="0"/>
        <w:kinsoku/>
        <w:wordWrap/>
        <w:overflowPunct/>
        <w:topLinePunct w:val="0"/>
        <w:autoSpaceDE/>
        <w:autoSpaceDN/>
        <w:bidi w:val="0"/>
        <w:adjustRightInd/>
        <w:spacing w:line="570" w:lineRule="exact"/>
        <w:textAlignment w:val="auto"/>
        <w:rPr>
          <w:rFonts w:hint="eastAsia"/>
          <w:lang w:eastAsia="zh-CN"/>
        </w:rPr>
      </w:pP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w:t>
      </w:r>
      <w:r>
        <w:rPr>
          <w:rFonts w:hint="eastAsia" w:ascii="方正仿宋简体" w:hAnsi="方正仿宋简体" w:eastAsia="方正仿宋简体" w:cs="方正仿宋简体"/>
          <w:kern w:val="2"/>
          <w:sz w:val="32"/>
          <w:szCs w:val="32"/>
          <w:lang w:val="en-US" w:eastAsia="zh-CN"/>
        </w:rPr>
        <w:t>中华人民共和国</w:t>
      </w:r>
      <w:bookmarkStart w:id="16" w:name="_GoBack"/>
      <w:bookmarkEnd w:id="16"/>
      <w:r>
        <w:rPr>
          <w:rFonts w:ascii="方正仿宋简体" w:hAnsi="方正仿宋简体" w:eastAsia="方正仿宋简体" w:cs="方正仿宋简体"/>
          <w:kern w:val="2"/>
          <w:sz w:val="32"/>
          <w:szCs w:val="32"/>
          <w:lang w:eastAsia="zh-CN"/>
        </w:rPr>
        <w:t>预算法》、《地方预决算公开操作规程》和《关于进一步推进预算公开工作的实施意见》规定，现将遵化市林业局</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2023年</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预算公开如下：</w:t>
      </w:r>
    </w:p>
    <w:p>
      <w:pPr>
        <w:keepNext w:val="0"/>
        <w:keepLines w:val="0"/>
        <w:pageBreakBefore w:val="0"/>
        <w:kinsoku/>
        <w:wordWrap/>
        <w:overflowPunct/>
        <w:topLinePunct w:val="0"/>
        <w:autoSpaceDE/>
        <w:autoSpaceDN/>
        <w:bidi w:val="0"/>
        <w:adjustRightInd/>
        <w:spacing w:before="10" w:after="10" w:line="570" w:lineRule="exact"/>
        <w:ind w:firstLine="640"/>
        <w:textAlignment w:val="auto"/>
        <w:outlineLvl w:val="2"/>
        <w:rPr>
          <w:rFonts w:ascii="方正黑体简体" w:hAnsi="方正黑体简体" w:eastAsia="方正黑体简体" w:cs="方正黑体简体"/>
          <w:kern w:val="2"/>
          <w:sz w:val="32"/>
          <w:szCs w:val="32"/>
          <w:lang w:eastAsia="zh-CN"/>
        </w:rPr>
      </w:pPr>
      <w:bookmarkStart w:id="9" w:name="_Toc_3_3_0000000010"/>
      <w:r>
        <w:rPr>
          <w:rFonts w:ascii="方正黑体简体" w:hAnsi="方正黑体简体" w:eastAsia="方正黑体简体" w:cs="方正黑体简体"/>
          <w:kern w:val="2"/>
          <w:sz w:val="32"/>
          <w:szCs w:val="32"/>
          <w:lang w:eastAsia="zh-CN"/>
        </w:rPr>
        <w:t>一、</w:t>
      </w:r>
      <w:r>
        <w:rPr>
          <w:rFonts w:hint="eastAsia" w:ascii="方正黑体简体" w:hAnsi="方正黑体简体" w:eastAsia="方正黑体简体" w:cs="方正黑体简体"/>
          <w:kern w:val="2"/>
          <w:sz w:val="32"/>
          <w:szCs w:val="32"/>
          <w:lang w:eastAsia="zh-CN"/>
        </w:rPr>
        <w:t>单位</w:t>
      </w:r>
      <w:r>
        <w:rPr>
          <w:rFonts w:ascii="方正黑体简体" w:hAnsi="方正黑体简体" w:eastAsia="方正黑体简体" w:cs="方正黑体简体"/>
          <w:kern w:val="2"/>
          <w:sz w:val="32"/>
          <w:szCs w:val="32"/>
          <w:lang w:eastAsia="zh-CN"/>
        </w:rPr>
        <w:t>职责及机构设置情况</w:t>
      </w:r>
      <w:bookmarkEnd w:id="9"/>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楷体_GBK" w:cs="Times New Roman"/>
          <w:kern w:val="2"/>
          <w:sz w:val="32"/>
          <w:szCs w:val="32"/>
          <w:lang w:eastAsia="zh-CN"/>
        </w:rPr>
      </w:pPr>
      <w:r>
        <w:rPr>
          <w:rFonts w:hint="eastAsia" w:eastAsia="方正楷体_GBK" w:cs="Times New Roman"/>
          <w:kern w:val="2"/>
          <w:sz w:val="32"/>
          <w:szCs w:val="32"/>
          <w:lang w:eastAsia="zh-CN"/>
        </w:rPr>
        <w:t>(一）单位职责</w:t>
      </w:r>
    </w:p>
    <w:p>
      <w:pPr>
        <w:pStyle w:val="24"/>
        <w:keepNext w:val="0"/>
        <w:keepLines w:val="0"/>
        <w:pageBreakBefore w:val="0"/>
        <w:kinsoku/>
        <w:wordWrap/>
        <w:overflowPunct/>
        <w:topLinePunct w:val="0"/>
        <w:autoSpaceDE/>
        <w:autoSpaceDN/>
        <w:bidi w:val="0"/>
        <w:adjustRightInd/>
        <w:spacing w:line="570" w:lineRule="exact"/>
        <w:ind w:firstLine="1280" w:firstLineChars="400"/>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根据《遵化市林业局</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职能配置、内设机构和人员编制规定》， 遵化市林业局</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的主要职责是：</w:t>
      </w:r>
    </w:p>
    <w:p>
      <w:pPr>
        <w:pStyle w:val="24"/>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1、组织全县造林绿化、退耕还林、防沙治沙、防治水土流失、应对气候变化等工作，组织沙尘暴灾害预测预报和应急处置。加强森林资源保护管理；</w:t>
      </w:r>
    </w:p>
    <w:p>
      <w:pPr>
        <w:pStyle w:val="24"/>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2、组织全县林业及其生态建设的科技创新和技术示范推广，为林业生态发展和林产品生产提供公共支撑。</w:t>
      </w:r>
    </w:p>
    <w:p>
      <w:pPr>
        <w:pStyle w:val="24"/>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3、组织、协调全县森林火灾的预防与扑救工作，承担全县森林防火指挥部的具体工作。组织开展林业有害生物的防治、检疫工作。依法依规履行机关日常管理工作。</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楷体_GBK" w:cs="Times New Roman"/>
          <w:kern w:val="2"/>
          <w:sz w:val="32"/>
          <w:szCs w:val="32"/>
          <w:lang w:eastAsia="zh-CN"/>
        </w:rPr>
      </w:pPr>
      <w:r>
        <w:rPr>
          <w:rFonts w:hint="eastAsia" w:eastAsia="方正楷体_GBK" w:cs="Times New Roman"/>
          <w:kern w:val="2"/>
          <w:sz w:val="32"/>
          <w:szCs w:val="32"/>
          <w:lang w:eastAsia="zh-CN"/>
        </w:rPr>
        <w:t>（二）机构设置</w:t>
      </w:r>
    </w:p>
    <w:p>
      <w:pPr>
        <w:pStyle w:val="30"/>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办公室负责林场文件材料起草、审核、印发；上报下达和信息工作；档案管理；职称评定、福利、保险、调资及工资管理；干部职工业务培训考核；劳动保护；老干部服务管理。</w:t>
      </w:r>
    </w:p>
    <w:p>
      <w:pPr>
        <w:pStyle w:val="25"/>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生产技术科负责林场基本建设、产业发展、专项贷款等项目的立项申报、咨询、论证等工作；负责林场国有资产的监督；负责制定林业管理有关规章制度的制定；对林区树木进行病虫害的防治工作；承担上级相关单位的专业技术课题研究工作。</w:t>
      </w:r>
    </w:p>
    <w:p>
      <w:pPr>
        <w:pStyle w:val="25"/>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财务科负责林场财务预决算、财务信息、统计分析；年度财务预决算的编制、报表；工资福利的发放。</w:t>
      </w:r>
    </w:p>
    <w:p>
      <w:pPr>
        <w:pStyle w:val="25"/>
        <w:keepNext w:val="0"/>
        <w:keepLines w:val="0"/>
        <w:pageBreakBefore w:val="0"/>
        <w:kinsoku/>
        <w:wordWrap/>
        <w:overflowPunct/>
        <w:topLinePunct w:val="0"/>
        <w:autoSpaceDE/>
        <w:autoSpaceDN/>
        <w:bidi w:val="0"/>
        <w:adjustRightIn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森林消防队负责林区、陵区范围内的防火检查及一般火险的灭火工作；负责上级交办的其他森林消防有关工作。</w:t>
      </w:r>
    </w:p>
    <w:p>
      <w:pPr>
        <w:pStyle w:val="25"/>
        <w:keepNext w:val="0"/>
        <w:keepLines w:val="0"/>
        <w:pageBreakBefore w:val="0"/>
        <w:kinsoku/>
        <w:wordWrap/>
        <w:overflowPunct/>
        <w:topLinePunct w:val="0"/>
        <w:autoSpaceDE/>
        <w:autoSpaceDN/>
        <w:bidi w:val="0"/>
        <w:adjustRightInd/>
        <w:spacing w:line="570" w:lineRule="exact"/>
        <w:textAlignment w:val="auto"/>
      </w:pPr>
      <w:r>
        <w:rPr>
          <w:rFonts w:hint="eastAsia" w:ascii="方正仿宋简体" w:hAnsi="方正仿宋简体" w:eastAsia="方正仿宋简体" w:cs="方正仿宋简体"/>
          <w:kern w:val="2"/>
          <w:sz w:val="32"/>
          <w:szCs w:val="32"/>
          <w:lang w:eastAsia="zh-CN"/>
        </w:rPr>
        <w:t>国营东陵林场事业编制80名。其中场长1名，副场长2名，内设机构领导职数10名。</w:t>
      </w:r>
    </w:p>
    <w:p>
      <w:pPr>
        <w:jc w:val="center"/>
        <w:rPr>
          <w:rFonts w:ascii="方正小标宋_GBK" w:hAnsi="方正小标宋_GBK" w:eastAsia="方正小标宋_GBK" w:cs="方正小标宋_GBK"/>
          <w:color w:val="000000"/>
          <w:sz w:val="32"/>
        </w:rPr>
      </w:pP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0"/>
        <w:gridCol w:w="2464"/>
        <w:gridCol w:w="2464"/>
        <w:gridCol w:w="3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40" w:type="dxa"/>
            <w:vAlign w:val="center"/>
          </w:tcPr>
          <w:p>
            <w:pPr>
              <w:pStyle w:val="17"/>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单位名称</w:t>
            </w:r>
          </w:p>
        </w:tc>
        <w:tc>
          <w:tcPr>
            <w:tcW w:w="2464" w:type="dxa"/>
            <w:vAlign w:val="center"/>
          </w:tcPr>
          <w:p>
            <w:pPr>
              <w:pStyle w:val="17"/>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单位性质</w:t>
            </w:r>
          </w:p>
        </w:tc>
        <w:tc>
          <w:tcPr>
            <w:tcW w:w="2464" w:type="dxa"/>
            <w:vAlign w:val="center"/>
          </w:tcPr>
          <w:p>
            <w:pPr>
              <w:pStyle w:val="17"/>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单位规格</w:t>
            </w:r>
          </w:p>
        </w:tc>
        <w:tc>
          <w:tcPr>
            <w:tcW w:w="3930" w:type="dxa"/>
            <w:vAlign w:val="center"/>
          </w:tcPr>
          <w:p>
            <w:pPr>
              <w:pStyle w:val="17"/>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40" w:type="dxa"/>
            <w:vAlign w:val="center"/>
          </w:tcPr>
          <w:p>
            <w:pPr>
              <w:pStyle w:val="19"/>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遵化市国营东陵林场</w:t>
            </w:r>
          </w:p>
        </w:tc>
        <w:tc>
          <w:tcPr>
            <w:tcW w:w="2464" w:type="dxa"/>
            <w:vAlign w:val="center"/>
          </w:tcPr>
          <w:p>
            <w:pPr>
              <w:pStyle w:val="20"/>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事业</w:t>
            </w:r>
          </w:p>
        </w:tc>
        <w:tc>
          <w:tcPr>
            <w:tcW w:w="2464" w:type="dxa"/>
            <w:vAlign w:val="center"/>
          </w:tcPr>
          <w:p>
            <w:pPr>
              <w:pStyle w:val="20"/>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正科级</w:t>
            </w:r>
          </w:p>
        </w:tc>
        <w:tc>
          <w:tcPr>
            <w:tcW w:w="3930" w:type="dxa"/>
            <w:vAlign w:val="center"/>
          </w:tcPr>
          <w:p>
            <w:pPr>
              <w:pStyle w:val="20"/>
              <w:rPr>
                <w:rStyle w:val="13"/>
                <w:rFonts w:hint="eastAsia" w:ascii="方正仿宋简体" w:hAnsi="方正仿宋简体" w:eastAsia="方正仿宋简体" w:cs="方正仿宋简体"/>
                <w:b w:val="0"/>
                <w:color w:val="auto"/>
                <w:kern w:val="2"/>
                <w:sz w:val="28"/>
                <w:szCs w:val="22"/>
                <w:u w:val="none"/>
                <w:lang w:val="en-US" w:eastAsia="zh-CN" w:bidi="ar-SA"/>
              </w:rPr>
            </w:pPr>
            <w:r>
              <w:rPr>
                <w:rStyle w:val="13"/>
                <w:rFonts w:hint="eastAsia" w:ascii="方正仿宋简体" w:hAnsi="方正仿宋简体" w:eastAsia="方正仿宋简体" w:cs="方正仿宋简体"/>
                <w:b w:val="0"/>
                <w:color w:val="auto"/>
                <w:kern w:val="2"/>
                <w:sz w:val="28"/>
                <w:szCs w:val="22"/>
                <w:u w:val="none"/>
                <w:lang w:val="en-US" w:eastAsia="zh-CN" w:bidi="ar-SA"/>
              </w:rPr>
              <w:t>财政性资金定额或定项补助</w:t>
            </w:r>
          </w:p>
        </w:tc>
      </w:tr>
    </w:tbl>
    <w:p>
      <w:pPr>
        <w:keepNext w:val="0"/>
        <w:keepLines w:val="0"/>
        <w:pageBreakBefore w:val="0"/>
        <w:kinsoku/>
        <w:wordWrap/>
        <w:overflowPunct/>
        <w:topLinePunct w:val="0"/>
        <w:autoSpaceDE/>
        <w:autoSpaceDN/>
        <w:bidi w:val="0"/>
        <w:adjustRightInd/>
        <w:snapToGrid/>
        <w:spacing w:before="10" w:after="10" w:line="570" w:lineRule="exact"/>
        <w:ind w:firstLine="640" w:firstLineChars="200"/>
        <w:textAlignment w:val="auto"/>
        <w:outlineLvl w:val="2"/>
        <w:rPr>
          <w:rFonts w:ascii="方正黑体简体" w:hAnsi="方正黑体简体" w:eastAsia="方正黑体简体" w:cs="方正黑体简体"/>
          <w:kern w:val="2"/>
          <w:sz w:val="32"/>
          <w:szCs w:val="32"/>
          <w:lang w:eastAsia="zh-CN"/>
        </w:rPr>
      </w:pPr>
      <w:bookmarkStart w:id="10" w:name="_Toc_3_3_0000000011"/>
      <w:r>
        <w:rPr>
          <w:rFonts w:ascii="方正黑体简体" w:hAnsi="方正黑体简体" w:eastAsia="方正黑体简体" w:cs="方正黑体简体"/>
          <w:kern w:val="2"/>
          <w:sz w:val="32"/>
          <w:szCs w:val="32"/>
          <w:lang w:eastAsia="zh-CN"/>
        </w:rPr>
        <w:t>二、</w:t>
      </w:r>
      <w:r>
        <w:rPr>
          <w:rFonts w:hint="eastAsia" w:ascii="方正黑体简体" w:hAnsi="方正黑体简体" w:eastAsia="方正黑体简体" w:cs="方正黑体简体"/>
          <w:kern w:val="2"/>
          <w:sz w:val="32"/>
          <w:szCs w:val="32"/>
          <w:lang w:eastAsia="zh-CN"/>
        </w:rPr>
        <w:t>单位</w:t>
      </w:r>
      <w:r>
        <w:rPr>
          <w:rFonts w:ascii="方正黑体简体" w:hAnsi="方正黑体简体" w:eastAsia="方正黑体简体" w:cs="方正黑体简体"/>
          <w:kern w:val="2"/>
          <w:sz w:val="32"/>
          <w:szCs w:val="32"/>
          <w:lang w:eastAsia="zh-CN"/>
        </w:rPr>
        <w:t>预算安排的总体情况</w:t>
      </w:r>
      <w:bookmarkEnd w:id="10"/>
    </w:p>
    <w:p>
      <w:pPr>
        <w:keepNext w:val="0"/>
        <w:keepLines w:val="0"/>
        <w:pageBreakBefore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按照预算管理有关规定，目前我</w:t>
      </w:r>
      <w:r>
        <w:rPr>
          <w:rFonts w:hint="eastAsia" w:ascii="方正仿宋简体" w:hAnsi="方正仿宋简体" w:eastAsia="方正仿宋简体" w:cs="方正仿宋简体"/>
          <w:kern w:val="2"/>
          <w:sz w:val="32"/>
          <w:szCs w:val="32"/>
          <w:lang w:eastAsia="zh-CN"/>
        </w:rPr>
        <w:t>市单位</w:t>
      </w:r>
      <w:r>
        <w:rPr>
          <w:rFonts w:ascii="方正仿宋简体" w:hAnsi="方正仿宋简体" w:eastAsia="方正仿宋简体" w:cs="方正仿宋简体"/>
          <w:kern w:val="2"/>
          <w:sz w:val="32"/>
          <w:szCs w:val="32"/>
          <w:lang w:eastAsia="zh-CN"/>
        </w:rPr>
        <w:t>预算的编制实行综合预算管理，即全部收入和支出都反映在预算中。遵化市林业局</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机关及所属事业单位的收支包含在</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预算中。</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1、收入说明</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反映</w:t>
      </w:r>
      <w:r>
        <w:rPr>
          <w:rFonts w:hint="eastAsia" w:ascii="方正仿宋简体" w:hAnsi="方正仿宋简体" w:eastAsia="方正仿宋简体" w:cs="方正仿宋简体"/>
          <w:kern w:val="2"/>
          <w:sz w:val="32"/>
          <w:szCs w:val="32"/>
          <w:lang w:eastAsia="zh-CN"/>
        </w:rPr>
        <w:t>本单位</w:t>
      </w:r>
      <w:r>
        <w:rPr>
          <w:rFonts w:ascii="方正仿宋简体" w:hAnsi="方正仿宋简体" w:eastAsia="方正仿宋简体" w:cs="方正仿宋简体"/>
          <w:kern w:val="2"/>
          <w:sz w:val="32"/>
          <w:szCs w:val="32"/>
          <w:lang w:eastAsia="zh-CN"/>
        </w:rPr>
        <w:t>当年全部收入。2023年预算收入1228.93万元，其中：一般公共预算收入1228.93万元，基金预算收入0万元，财政专户核拨收入0万元，其他来源收入0万元。</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2、支出说明</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收支预算总表支出栏、基本支出表、项目支出表按经济分类和支出功能分类科目编制，反映遵化市</w:t>
      </w:r>
      <w:r>
        <w:rPr>
          <w:rFonts w:hint="eastAsia" w:ascii="方正仿宋简体" w:hAnsi="方正仿宋简体" w:eastAsia="方正仿宋简体" w:cs="方正仿宋简体"/>
          <w:kern w:val="2"/>
          <w:sz w:val="32"/>
          <w:szCs w:val="32"/>
          <w:lang w:eastAsia="zh-CN"/>
        </w:rPr>
        <w:t>林业局单位</w:t>
      </w:r>
      <w:r>
        <w:rPr>
          <w:rFonts w:ascii="方正仿宋简体" w:hAnsi="方正仿宋简体" w:eastAsia="方正仿宋简体" w:cs="方正仿宋简体"/>
          <w:kern w:val="2"/>
          <w:sz w:val="32"/>
          <w:szCs w:val="32"/>
          <w:lang w:eastAsia="zh-CN"/>
        </w:rPr>
        <w:t>2023年度</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预算中支出预算的总体情况。2023年支出预算1228.93万元，其中基本支出1075.93万元，包括人员经费1018.75万元和日常公用经费57.18万元；项目支出153万元，上级专款70万元，本级专款83万元,主要为森林防火、病虫害防治、防火监控系统租赁费。</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3、与上年比上年增减情况</w:t>
      </w:r>
    </w:p>
    <w:p>
      <w:pPr>
        <w:pStyle w:val="25"/>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2023年预算收支安排1228.93万元，较2022年预算增加187.64万元，其中：基本支出增加217.64万元，人员经费增加218.06万元，日常公用经费减少0.42万元；项目支出减少30万元，本级专款无增减、上级专款减少30万元。</w:t>
      </w:r>
    </w:p>
    <w:p>
      <w:pPr>
        <w:keepNext w:val="0"/>
        <w:keepLines w:val="0"/>
        <w:pageBreakBefore w:val="0"/>
        <w:kinsoku/>
        <w:wordWrap/>
        <w:overflowPunct/>
        <w:topLinePunct w:val="0"/>
        <w:autoSpaceDE/>
        <w:autoSpaceDN/>
        <w:bidi w:val="0"/>
        <w:adjustRightInd/>
        <w:snapToGrid/>
        <w:spacing w:before="10" w:after="10" w:line="570" w:lineRule="exact"/>
        <w:ind w:firstLine="640"/>
        <w:textAlignment w:val="auto"/>
        <w:outlineLvl w:val="2"/>
        <w:rPr>
          <w:rFonts w:ascii="方正黑体简体" w:hAnsi="方正黑体简体" w:eastAsia="方正黑体简体" w:cs="方正黑体简体"/>
          <w:kern w:val="2"/>
          <w:sz w:val="32"/>
          <w:szCs w:val="32"/>
          <w:lang w:eastAsia="zh-CN"/>
        </w:rPr>
      </w:pPr>
      <w:bookmarkStart w:id="11" w:name="_Toc_3_3_0000000012"/>
      <w:r>
        <w:rPr>
          <w:rFonts w:ascii="方正黑体简体" w:hAnsi="方正黑体简体" w:eastAsia="方正黑体简体" w:cs="方正黑体简体"/>
          <w:kern w:val="2"/>
          <w:sz w:val="32"/>
          <w:szCs w:val="32"/>
          <w:lang w:eastAsia="zh-CN"/>
        </w:rPr>
        <w:t>三、机关运行经费安排情况</w:t>
      </w:r>
      <w:bookmarkEnd w:id="11"/>
    </w:p>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w:t>
      </w:r>
      <w:r>
        <w:rPr>
          <w:rFonts w:hint="eastAsia" w:ascii="方正仿宋简体" w:hAnsi="方正仿宋简体" w:eastAsia="方正仿宋简体" w:cs="方正仿宋简体"/>
          <w:kern w:val="2"/>
          <w:sz w:val="32"/>
          <w:szCs w:val="32"/>
          <w:lang w:eastAsia="zh-CN"/>
        </w:rPr>
        <w:t>我单位</w:t>
      </w:r>
      <w:r>
        <w:rPr>
          <w:rFonts w:ascii="方正仿宋简体" w:hAnsi="方正仿宋简体" w:eastAsia="方正仿宋简体" w:cs="方正仿宋简体"/>
          <w:kern w:val="2"/>
          <w:sz w:val="32"/>
          <w:szCs w:val="32"/>
          <w:lang w:eastAsia="zh-CN"/>
        </w:rPr>
        <w:t>机关运行经费共计安排57.18万元，主要用于办公区的日常费用、办公用房水电费、办公邮电费、办公用房取暖费、差旅费、会议费、培训费、公务接待费、工会经费及福利费、公务用车运行维护费、其他商品和服务支出等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p>
    <w:p>
      <w:pPr>
        <w:pStyle w:val="27"/>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2023年，</w:t>
      </w:r>
      <w:r>
        <w:rPr>
          <w:rFonts w:hint="eastAsia" w:ascii="方正仿宋简体" w:hAnsi="方正仿宋简体" w:eastAsia="方正仿宋简体" w:cs="方正仿宋简体"/>
          <w:kern w:val="2"/>
          <w:sz w:val="32"/>
          <w:szCs w:val="32"/>
          <w:lang w:eastAsia="zh-CN"/>
        </w:rPr>
        <w:t>我单位</w:t>
      </w:r>
      <w:r>
        <w:rPr>
          <w:rFonts w:ascii="方正仿宋简体" w:hAnsi="方正仿宋简体" w:eastAsia="方正仿宋简体" w:cs="方正仿宋简体"/>
          <w:kern w:val="2"/>
          <w:sz w:val="32"/>
          <w:szCs w:val="32"/>
          <w:lang w:eastAsia="zh-CN"/>
        </w:rPr>
        <w:t>“三公”经费预算安排</w:t>
      </w:r>
      <w:r>
        <w:rPr>
          <w:rFonts w:hint="eastAsia" w:ascii="方正仿宋简体" w:hAnsi="方正仿宋简体" w:eastAsia="方正仿宋简体" w:cs="方正仿宋简体"/>
          <w:kern w:val="2"/>
          <w:sz w:val="32"/>
          <w:szCs w:val="32"/>
          <w:lang w:val="en-US" w:eastAsia="zh-CN"/>
        </w:rPr>
        <w:t>15.5</w:t>
      </w:r>
      <w:r>
        <w:rPr>
          <w:rFonts w:ascii="方正仿宋简体" w:hAnsi="方正仿宋简体" w:eastAsia="方正仿宋简体" w:cs="方正仿宋简体"/>
          <w:kern w:val="2"/>
          <w:sz w:val="32"/>
          <w:szCs w:val="32"/>
          <w:lang w:eastAsia="zh-CN"/>
        </w:rPr>
        <w:t>万元，比2022年无增减变化。</w:t>
      </w:r>
    </w:p>
    <w:p>
      <w:pPr>
        <w:pStyle w:val="27"/>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 xml:space="preserve">具体安排情况为： </w:t>
      </w:r>
    </w:p>
    <w:p>
      <w:pPr>
        <w:pStyle w:val="27"/>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（一）公务用车购置及运行费14.35万元，①公务用车购置安排0万元。较上年预算增加0万元，与2022年持平。②公车运行维护经费安排14.35万元，较上年预算无变化。</w:t>
      </w:r>
      <w:r>
        <w:rPr>
          <w:rFonts w:hint="eastAsia" w:ascii="方正仿宋简体" w:hAnsi="方正仿宋简体" w:eastAsia="方正仿宋简体" w:cs="方正仿宋简体"/>
          <w:kern w:val="2"/>
          <w:sz w:val="32"/>
          <w:szCs w:val="32"/>
          <w:lang w:val="en-US" w:eastAsia="zh-CN"/>
        </w:rPr>
        <w:t>原因是</w:t>
      </w:r>
      <w:r>
        <w:rPr>
          <w:rFonts w:hint="eastAsia" w:ascii="方正仿宋简体" w:hAnsi="方正仿宋简体" w:eastAsia="方正仿宋简体" w:cs="方正仿宋简体"/>
          <w:kern w:val="2"/>
          <w:sz w:val="32"/>
          <w:szCs w:val="32"/>
          <w:lang w:eastAsia="zh-CN"/>
        </w:rPr>
        <w:t>车辆运行维护费严格按照统一定额标准，公车数量未发生增减，</w:t>
      </w:r>
      <w:r>
        <w:rPr>
          <w:rFonts w:hint="eastAsia" w:ascii="方正仿宋简体" w:hAnsi="方正仿宋简体" w:eastAsia="方正仿宋简体" w:cs="方正仿宋简体"/>
          <w:kern w:val="2"/>
          <w:sz w:val="32"/>
          <w:szCs w:val="32"/>
          <w:lang w:val="en-US" w:eastAsia="zh-CN"/>
        </w:rPr>
        <w:t>故</w:t>
      </w:r>
      <w:r>
        <w:rPr>
          <w:rFonts w:hint="eastAsia" w:ascii="方正仿宋简体" w:hAnsi="方正仿宋简体" w:eastAsia="方正仿宋简体" w:cs="方正仿宋简体"/>
          <w:kern w:val="2"/>
          <w:sz w:val="32"/>
          <w:szCs w:val="32"/>
          <w:lang w:eastAsia="zh-CN"/>
        </w:rPr>
        <w:t>车辆运行维护费无变化。</w:t>
      </w:r>
    </w:p>
    <w:p>
      <w:pPr>
        <w:pStyle w:val="27"/>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highlight w:val="none"/>
          <w:lang w:eastAsia="zh-CN"/>
        </w:rPr>
      </w:pPr>
      <w:r>
        <w:rPr>
          <w:rFonts w:ascii="方正仿宋简体" w:hAnsi="方正仿宋简体" w:eastAsia="方正仿宋简体" w:cs="方正仿宋简体"/>
          <w:kern w:val="2"/>
          <w:sz w:val="32"/>
          <w:szCs w:val="32"/>
          <w:lang w:eastAsia="zh-CN"/>
        </w:rPr>
        <w:t>（二）公务接待费。安排1.15万元。</w:t>
      </w:r>
      <w:r>
        <w:rPr>
          <w:rFonts w:ascii="方正仿宋简体" w:hAnsi="方正仿宋简体" w:eastAsia="方正仿宋简体" w:cs="方正仿宋简体"/>
          <w:kern w:val="2"/>
          <w:sz w:val="32"/>
          <w:szCs w:val="32"/>
          <w:highlight w:val="none"/>
          <w:lang w:eastAsia="zh-CN"/>
        </w:rPr>
        <w:t>与2022年持平，</w:t>
      </w:r>
      <w:r>
        <w:rPr>
          <w:rFonts w:hint="eastAsia" w:ascii="方正仿宋简体" w:hAnsi="方正仿宋简体" w:eastAsia="方正仿宋简体" w:cs="方正仿宋简体"/>
          <w:kern w:val="2"/>
          <w:sz w:val="32"/>
          <w:szCs w:val="32"/>
          <w:highlight w:val="none"/>
          <w:lang w:val="en-US" w:eastAsia="zh-CN"/>
        </w:rPr>
        <w:t>原因是</w:t>
      </w:r>
      <w:r>
        <w:rPr>
          <w:rFonts w:hint="eastAsia" w:ascii="方正仿宋简体" w:hAnsi="方正仿宋简体" w:eastAsia="方正仿宋简体" w:cs="方正仿宋简体"/>
          <w:kern w:val="2"/>
          <w:sz w:val="32"/>
          <w:szCs w:val="32"/>
          <w:highlight w:val="none"/>
          <w:lang w:eastAsia="zh-CN"/>
        </w:rPr>
        <w:t>按照统一定额标准计算，</w:t>
      </w:r>
      <w:r>
        <w:rPr>
          <w:rFonts w:ascii="方正仿宋简体" w:hAnsi="方正仿宋简体" w:eastAsia="方正仿宋简体" w:cs="方正仿宋简体"/>
          <w:kern w:val="2"/>
          <w:sz w:val="32"/>
          <w:szCs w:val="32"/>
          <w:highlight w:val="none"/>
          <w:lang w:eastAsia="zh-CN"/>
        </w:rPr>
        <w:t>无增减变化。</w:t>
      </w:r>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ascii="方正仿宋简体" w:hAnsi="方正仿宋简体" w:eastAsia="方正仿宋简体" w:cs="方正仿宋简体"/>
          <w:kern w:val="2"/>
          <w:sz w:val="32"/>
          <w:szCs w:val="32"/>
          <w:lang w:eastAsia="zh-CN"/>
        </w:rPr>
        <w:t>（三）因公出国（境）费安排0万元，</w:t>
      </w:r>
      <w:r>
        <w:rPr>
          <w:rFonts w:ascii="方正仿宋简体" w:hAnsi="方正仿宋简体" w:eastAsia="方正仿宋简体" w:cs="方正仿宋简体"/>
          <w:kern w:val="2"/>
          <w:sz w:val="32"/>
          <w:szCs w:val="32"/>
          <w:highlight w:val="none"/>
          <w:lang w:eastAsia="zh-CN"/>
        </w:rPr>
        <w:t>与2022年持平，无增减变化。</w:t>
      </w:r>
      <w:r>
        <w:rPr>
          <w:rFonts w:hint="eastAsia" w:ascii="方正仿宋简体" w:hAnsi="方正仿宋简体" w:eastAsia="方正仿宋简体" w:cs="方正仿宋简体"/>
          <w:kern w:val="2"/>
          <w:sz w:val="32"/>
          <w:szCs w:val="32"/>
          <w:highlight w:val="none"/>
          <w:lang w:eastAsia="zh-CN"/>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五、绩效预算信息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单位整体绩效目标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pStyle w:val="28"/>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有效保护和发展清东陵森林资源，确保全市森林覆盖率、森林蓄积量和森林保有量、林地保有量稳步增长，推动林业又好又快的发展。实现森林资源稳步增长，改善生态环境。建立高效完备的森林资源保护体系，全面提升森林资源保护管理水平，实现森林资源稳步增长。保护好东陵国有林区森林资源，打防火隔离带、清理枯死树木、清理树下可燃物、加大防火宣传力度，最大限度减少森林资源损失，有效控制重大森林火灾发生，实现预防森林火灾的目的。变主动扑火为主动预防，确保东陵国有林区森林资源和生态安全。</w:t>
      </w:r>
    </w:p>
    <w:p>
      <w:pPr>
        <w:pStyle w:val="28"/>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根据病虫害调查结果，按照防治方案的要求，在病虫害危害前和病虫害已经开始危害时（未形成大面积危害时）进行不同方式的防治工作。达到有虫无灾的良好局面，改善林木生长环境，促进林木健康生长，充分发挥生态效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val="en-US" w:eastAsia="zh-CN"/>
        </w:rPr>
        <w:t>1、</w:t>
      </w:r>
      <w:r>
        <w:rPr>
          <w:rFonts w:ascii="方正仿宋简体" w:hAnsi="方正仿宋简体" w:eastAsia="方正仿宋简体" w:cs="方正仿宋简体"/>
          <w:kern w:val="2"/>
          <w:sz w:val="32"/>
          <w:szCs w:val="32"/>
          <w:lang w:eastAsia="zh-CN"/>
        </w:rPr>
        <w:t>森林防火，保护好东陵国有林区森林资源安全，预防森林火灾的发生。</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绩效目标：预防森林火灾的发生，降低森林火险。实现预防森林火灾的目的。实现林区无火险、火灾。最大限度减少森林资源损失，确保东陵国有林区森林资源和生态安全。</w:t>
      </w:r>
      <w:r>
        <w:rPr>
          <w:rFonts w:ascii="方正仿宋简体" w:hAnsi="方正仿宋简体" w:eastAsia="方正仿宋简体" w:cs="方正仿宋简体"/>
          <w:kern w:val="2"/>
          <w:sz w:val="32"/>
          <w:szCs w:val="32"/>
          <w:lang w:eastAsia="zh-CN"/>
        </w:rPr>
        <w:tab/>
      </w:r>
      <w:r>
        <w:rPr>
          <w:rFonts w:ascii="方正仿宋简体" w:hAnsi="方正仿宋简体" w:eastAsia="方正仿宋简体" w:cs="方正仿宋简体"/>
          <w:kern w:val="2"/>
          <w:sz w:val="32"/>
          <w:szCs w:val="32"/>
          <w:lang w:eastAsia="zh-CN"/>
        </w:rPr>
        <w:tab/>
      </w:r>
      <w:r>
        <w:rPr>
          <w:rFonts w:ascii="方正仿宋简体" w:hAnsi="方正仿宋简体" w:eastAsia="方正仿宋简体" w:cs="方正仿宋简体"/>
          <w:kern w:val="2"/>
          <w:sz w:val="32"/>
          <w:szCs w:val="32"/>
          <w:lang w:eastAsia="zh-CN"/>
        </w:rPr>
        <w:tab/>
      </w:r>
      <w:r>
        <w:rPr>
          <w:rFonts w:ascii="方正仿宋简体" w:hAnsi="方正仿宋简体" w:eastAsia="方正仿宋简体" w:cs="方正仿宋简体"/>
          <w:kern w:val="2"/>
          <w:sz w:val="32"/>
          <w:szCs w:val="32"/>
          <w:lang w:eastAsia="zh-CN"/>
        </w:rPr>
        <w:tab/>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绩效指标：在林区重点部位和重点地段（林边、道边、坟边、山脊等）开设防火隔离带，宽10-20米，面积31.25万平方米。清理可燃物，降低森林火险，实现预防森林火灾的目的。</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val="en-US" w:eastAsia="zh-CN"/>
        </w:rPr>
        <w:t>2、</w:t>
      </w:r>
      <w:r>
        <w:rPr>
          <w:rFonts w:ascii="方正仿宋简体" w:hAnsi="方正仿宋简体" w:eastAsia="方正仿宋简体" w:cs="方正仿宋简体"/>
          <w:kern w:val="2"/>
          <w:sz w:val="32"/>
          <w:szCs w:val="32"/>
          <w:lang w:eastAsia="zh-CN"/>
        </w:rPr>
        <w:t>病虫害防治，根据病虫害调查结果，在病虫害危害前和病虫害已经开始危害时（未形成大面积危害时）进行了不同方式的防治工作。</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绩效目标：达到有虫无灾的良好局面，保障林木健康生长。达到有虫无灾的良好局面，保障林木健康生长。</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绩效指标：  3月中下旬为防治的最佳时间,人工喷毒环（柴油+农药）进行防治，毒环高度：树干1.3米左右，毒环宽度不小于10厘米，毒环须封闭，不留缝。防治面积4687.5亩。据病虫害调查结果，按照防治方案的要求，在病虫害危害前和病虫害已经开始危害时（未形 成大面积危害时）进行不同方式的防治工作。达到有虫无灾的良好局面，保障林木健康生长。</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3、监控系统租赁服务费，实现全林区防火视频监控技防和人防对接，保护好东陵国有林区森林资源。</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绩效目标：实现全林区防火视频监控技防和人防对接，保护好东陵国有林区森林资源，</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绩效指标： 运营维护地点处，监控系统管理指挥中心一处；省市监控平台并网； 防火监控全覆盖增加监控点位。实现全林区防火视频监控技防和人防对接，保护好东陵国有林区森林资源，有效控制重大森林火灾发生，最大限度减少森林资源损失，确保东陵国有林区森林资源和生态安全。降低了森林火险，实现了预防森林火灾的目的。</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uk-UA" w:bidi="ar-SA"/>
        </w:rPr>
        <w:t>冀财资环【2021】106号2022年中央财政林业改革发展资金</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val="en-US" w:eastAsia="zh-CN" w:bidi="ar-SA"/>
        </w:rPr>
      </w:pPr>
      <w:r>
        <w:rPr>
          <w:rFonts w:ascii="方正仿宋简体" w:hAnsi="方正仿宋简体" w:eastAsia="方正仿宋简体" w:cs="方正仿宋简体"/>
          <w:kern w:val="2"/>
          <w:sz w:val="32"/>
          <w:szCs w:val="32"/>
          <w:lang w:val="en-US" w:eastAsia="zh-CN" w:bidi="ar-SA"/>
        </w:rPr>
        <w:t>绩效目标：达到有虫无灾的良好局面，保障林木健康生长。</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val="en-US" w:eastAsia="zh-CN" w:bidi="ar-SA"/>
        </w:rPr>
      </w:pPr>
      <w:r>
        <w:rPr>
          <w:rFonts w:ascii="方正仿宋简体" w:hAnsi="方正仿宋简体" w:eastAsia="方正仿宋简体" w:cs="方正仿宋简体"/>
          <w:kern w:val="2"/>
          <w:sz w:val="32"/>
          <w:szCs w:val="32"/>
          <w:lang w:val="en-US" w:eastAsia="zh-CN" w:bidi="ar-SA"/>
        </w:rPr>
        <w:t>绩效指标：在病虫害危害前和病虫害已经开始危害时（未形 成大面积危害时）进行不同方式的防治工作。达到有虫无灾的良好局面，保障林木健康生长。</w:t>
      </w:r>
    </w:p>
    <w:p>
      <w:pPr>
        <w:keepNext w:val="0"/>
        <w:keepLines w:val="0"/>
        <w:pageBreakBefore w:val="0"/>
        <w:numPr>
          <w:ilvl w:val="0"/>
          <w:numId w:val="0"/>
        </w:numPr>
        <w:kinsoku/>
        <w:wordWrap/>
        <w:overflowPunct/>
        <w:topLinePunct w:val="0"/>
        <w:autoSpaceDE/>
        <w:autoSpaceDN/>
        <w:bidi w:val="0"/>
        <w:adjustRightInd/>
        <w:snapToGrid/>
        <w:spacing w:line="570" w:lineRule="exact"/>
        <w:ind w:left="560" w:leftChars="0"/>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5、</w:t>
      </w:r>
      <w:r>
        <w:rPr>
          <w:rFonts w:hint="eastAsia" w:ascii="方正仿宋简体" w:hAnsi="方正仿宋简体" w:eastAsia="方正仿宋简体" w:cs="方正仿宋简体"/>
          <w:kern w:val="2"/>
          <w:sz w:val="32"/>
          <w:szCs w:val="32"/>
          <w:lang w:val="en-US" w:eastAsia="uk-UA" w:bidi="ar-SA"/>
        </w:rPr>
        <w:t>冀财资环【2022】104号提前下达2023年省级林业改革发展补助资金</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val="en-US" w:eastAsia="zh-CN" w:bidi="ar-SA"/>
        </w:rPr>
      </w:pPr>
      <w:r>
        <w:rPr>
          <w:rFonts w:ascii="方正仿宋简体" w:hAnsi="方正仿宋简体" w:eastAsia="方正仿宋简体" w:cs="方正仿宋简体"/>
          <w:kern w:val="2"/>
          <w:sz w:val="32"/>
          <w:szCs w:val="32"/>
          <w:lang w:val="en-US" w:eastAsia="zh-CN" w:bidi="ar-SA"/>
        </w:rPr>
        <w:t>绩效目标：达到有虫无灾的良好局面，保障林木健康生长。预防森林火灾的发生，降低森林火险。</w:t>
      </w:r>
    </w:p>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val="en-US" w:eastAsia="zh-CN" w:bidi="ar-SA"/>
        </w:rPr>
      </w:pPr>
      <w:r>
        <w:rPr>
          <w:rFonts w:ascii="方正仿宋简体" w:hAnsi="方正仿宋简体" w:eastAsia="方正仿宋简体" w:cs="方正仿宋简体"/>
          <w:kern w:val="2"/>
          <w:sz w:val="32"/>
          <w:szCs w:val="32"/>
          <w:lang w:val="en-US" w:eastAsia="zh-CN" w:bidi="ar-SA"/>
        </w:rPr>
        <w:t>绩效指标：在林区重点部位和重点地段（林边、道边、坟边、山脊等）开设防火隔离带，宽10-20米。清理可燃物，降低森林火险，实现预防森林火灾的目的</w:t>
      </w:r>
      <w:r>
        <w:rPr>
          <w:rFonts w:hint="eastAsia" w:ascii="方正仿宋简体" w:hAnsi="方正仿宋简体" w:eastAsia="方正仿宋简体" w:cs="方正仿宋简体"/>
          <w:kern w:val="2"/>
          <w:sz w:val="32"/>
          <w:szCs w:val="32"/>
          <w:lang w:val="en-US" w:eastAsia="zh-CN" w:bidi="ar-SA"/>
        </w:rPr>
        <w:t>。加大防火宣传力度，预防森林火灾发生。</w:t>
      </w:r>
      <w:r>
        <w:rPr>
          <w:rFonts w:ascii="方正仿宋简体" w:hAnsi="方正仿宋简体" w:eastAsia="方正仿宋简体" w:cs="方正仿宋简体"/>
          <w:kern w:val="2"/>
          <w:sz w:val="32"/>
          <w:szCs w:val="32"/>
          <w:lang w:val="en-US" w:eastAsia="zh-CN" w:bidi="ar-SA"/>
        </w:rPr>
        <w:t>在病虫害危害前和病虫害已经开始危害时（未形 成大面积危害时）进行不同方式的防治工作。达到有虫无灾的良好局面，保障林木健康生长。</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加强领导，提高认识，要明确责任定位，建立目标责任制，场委会为第一责任人，各林区区长为主要责任人，做好协调服务工作，确保目标责任制的认真执行。对任期内完成目标责任指标,保护森林资源增长的进行表彰和奖励;对任期内造成森林资源下降的,要通报批评,严重的要追究责任。</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靠实责任，加强宣传，场部森林巡逻队进行有目的，有部署，有声势的森林防火和严厉打击非法侵害森林资源的违法行为。充分利用标语、条幅、会议等各种宣传方式，广泛深入的开展保护和发展森林资源宣传活动，大力宣传保护和发展森林资源的重大意义、目标任务、政策措施和进展成效。通过加大舆论宣传，不断提高广大干部群众的保护和发展森林资源意识。</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3、高标准打造防火道。每年我场都打造高标准林区防火道60多万平方米，直接制止一般火情的发生与蔓延，有效控制较大火情、火险的发生。</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加强林业有害生物防控，打造健康森林。以保护和发展森林资源为核心，坚持“预防为主，科学防控，依法治林，促进健康”的方针，切实加强防治体系建设，每年做好虫害的调查工作，做好虫情统计，于第二年三月份对重点虫情区域进行喷毒环，秋季用机车喷雾方式进行有效治理，做好早发现早治理的方针，做好森林保护工作。</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5、我场建有遵化市第一支森林专业扑火队伍，大力开展扑火培训和实战演练。人员素质高，扑火技术过硬，拥有十分丰富的扑火经验，多次受到领导表彰。</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6、我场建有标准数字监控室，完善的管理制度，防火期内24小时监护，整个林区都被动态全天候监测中，为清东陵森林资源保驾护航。</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林区上山道口设置道杆，由专人负责在防火期内摆放在各个林区交通要道，上山路口设有上山人员登记表，火源收集箱，杜绝一切火源隐患上山。我场备有整个林区人民群众中聋、哑、痴、呆、精神失常等病人登记表，包括确切的监护人，林区内所有坟头数量、户主、数量登记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充分发挥管护人员的“腿勤、眼勤、嘴勤”的方式，随时掌控管护区域的民情、林情、山情的动态，对危害森林资源的行为及突发事件做到及时发现、及时制止、及时上报，将不宜于森林资源的安全隐患，消灭在萌芽状态。</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9、我场购置一台森林消防车，在扑救山火中起到了很大的作用。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宋体" w:hAnsi="宋体" w:eastAsia="方正仿宋简体" w:cs="Times New Roman"/>
          <w:b w:val="0"/>
          <w:bCs w:val="0"/>
          <w:color w:val="000000"/>
          <w:kern w:val="0"/>
          <w:sz w:val="32"/>
          <w:szCs w:val="32"/>
          <w:lang w:eastAsia="uk-UA"/>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单位</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1、病虫害防治经费绩效目标表</w:t>
      </w:r>
    </w:p>
    <w:p>
      <w:pPr>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327遵化市林业局单位</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3336"/>
        <w:gridCol w:w="3024"/>
        <w:gridCol w:w="1869"/>
        <w:gridCol w:w="804"/>
        <w:gridCol w:w="523"/>
        <w:gridCol w:w="1327"/>
        <w:gridCol w:w="23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3336" w:type="dxa"/>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13028123P000105100021</w:t>
            </w:r>
          </w:p>
        </w:tc>
        <w:tc>
          <w:tcPr>
            <w:tcW w:w="3024"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项目名称</w:t>
            </w:r>
          </w:p>
        </w:tc>
        <w:tc>
          <w:tcPr>
            <w:tcW w:w="6885" w:type="dxa"/>
            <w:gridSpan w:val="5"/>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病虫害防治经费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333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预算数</w:t>
            </w:r>
          </w:p>
        </w:tc>
        <w:tc>
          <w:tcPr>
            <w:tcW w:w="3024" w:type="dxa"/>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15.00</w:t>
            </w:r>
          </w:p>
        </w:tc>
        <w:tc>
          <w:tcPr>
            <w:tcW w:w="1869"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其中：财政    资金</w:t>
            </w:r>
          </w:p>
        </w:tc>
        <w:tc>
          <w:tcPr>
            <w:tcW w:w="1327" w:type="dxa"/>
            <w:gridSpan w:val="2"/>
            <w:vAlign w:val="center"/>
          </w:tcPr>
          <w:p>
            <w:pPr>
              <w:pStyle w:val="19"/>
            </w:pPr>
            <w:r>
              <w:t>15.00</w:t>
            </w:r>
          </w:p>
        </w:tc>
        <w:tc>
          <w:tcPr>
            <w:tcW w:w="1327"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其他资金</w:t>
            </w:r>
          </w:p>
        </w:tc>
        <w:tc>
          <w:tcPr>
            <w:tcW w:w="236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13245" w:type="dxa"/>
            <w:gridSpan w:val="7"/>
            <w:vAlign w:val="center"/>
          </w:tcPr>
          <w:p>
            <w:pPr>
              <w:pStyle w:val="19"/>
            </w:pPr>
            <w:r>
              <w:t>年</w:t>
            </w:r>
            <w:r>
              <w:rPr>
                <w:rFonts w:hint="eastAsia" w:ascii="方正仿宋简体" w:hAnsi="方正仿宋简体" w:eastAsia="方正仿宋简体" w:cs="方正仿宋简体"/>
                <w:color w:val="000000"/>
                <w:kern w:val="0"/>
                <w:sz w:val="24"/>
                <w:szCs w:val="24"/>
                <w:lang w:val="en-US" w:eastAsia="uk-UA" w:bidi="ar-SA"/>
              </w:rPr>
              <w:t>初预算15万元，用途：机车喷洒农药，农药采用机车高压树冠喷雾，125元/亩，1200亩。（机车50元/亩，人工50元/亩，农药25元/亩）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333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3月底</w:t>
            </w:r>
          </w:p>
        </w:tc>
        <w:tc>
          <w:tcPr>
            <w:tcW w:w="3024"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6月底</w:t>
            </w:r>
          </w:p>
        </w:tc>
        <w:tc>
          <w:tcPr>
            <w:tcW w:w="2673"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10月底</w:t>
            </w:r>
          </w:p>
        </w:tc>
        <w:tc>
          <w:tcPr>
            <w:tcW w:w="4212" w:type="dxa"/>
            <w:gridSpan w:val="3"/>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3336" w:type="dxa"/>
            <w:vAlign w:val="center"/>
          </w:tcPr>
          <w:p>
            <w:pPr>
              <w:pStyle w:val="20"/>
            </w:pPr>
            <w:r>
              <w:t>30%</w:t>
            </w:r>
          </w:p>
        </w:tc>
        <w:tc>
          <w:tcPr>
            <w:tcW w:w="3024" w:type="dxa"/>
            <w:vAlign w:val="center"/>
          </w:tcPr>
          <w:p>
            <w:pPr>
              <w:pStyle w:val="20"/>
            </w:pPr>
            <w:r>
              <w:t>60%</w:t>
            </w:r>
          </w:p>
        </w:tc>
        <w:tc>
          <w:tcPr>
            <w:tcW w:w="2673" w:type="dxa"/>
            <w:gridSpan w:val="2"/>
            <w:vAlign w:val="center"/>
          </w:tcPr>
          <w:p>
            <w:pPr>
              <w:pStyle w:val="20"/>
            </w:pPr>
            <w:r>
              <w:t>90%</w:t>
            </w:r>
          </w:p>
        </w:tc>
        <w:tc>
          <w:tcPr>
            <w:tcW w:w="4212" w:type="dxa"/>
            <w:gridSpan w:val="3"/>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5"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3245" w:type="dxa"/>
            <w:gridSpan w:val="7"/>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1.达到有虫无灾的良好局面，保障林木健康生长。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2472"/>
        <w:gridCol w:w="2088"/>
        <w:gridCol w:w="3780"/>
        <w:gridCol w:w="2280"/>
        <w:gridCol w:w="2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2472"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208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378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228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264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restart"/>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产出指标</w:t>
            </w: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林业有害生物防治面积</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当年完成的林业有害生物防治面积</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1200亩</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质量指标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检疫工作完成率</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检疫工作完成面积占计划的比例</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时效指标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2023年12月底前</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成本指标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≥95%</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restart"/>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效益指标</w:t>
            </w: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经济效益指标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改善生态环境</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保持生态平衡，保护生物多样性</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提供公益性、社会性产品</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社会效益指标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 对水源的涵养</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依靠自身的储水能力来达到涵养水源的作用</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绿色水库</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生态效益指标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林业有害生物成灾率</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全省森林火灾中受害森林面积与森林总面积的比率　</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≤0.1千分之</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Merge w:val="continue"/>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可持续影响指标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减少自然灾害</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防风固沙</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保护和改善人类的生存条件</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满意度指标</w:t>
            </w:r>
          </w:p>
        </w:tc>
        <w:tc>
          <w:tcPr>
            <w:tcW w:w="2472"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服务对象满意度指标</w:t>
            </w:r>
          </w:p>
        </w:tc>
        <w:tc>
          <w:tcPr>
            <w:tcW w:w="208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群众满意度</w:t>
            </w:r>
          </w:p>
        </w:tc>
        <w:tc>
          <w:tcPr>
            <w:tcW w:w="37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林区群众对森林生态效益满意度</w:t>
            </w:r>
          </w:p>
        </w:tc>
        <w:tc>
          <w:tcPr>
            <w:tcW w:w="2280"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64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根据年初工作计划安排</w:t>
            </w:r>
          </w:p>
        </w:tc>
      </w:tr>
    </w:tbl>
    <w:p>
      <w:pPr>
        <w:numPr>
          <w:ilvl w:val="0"/>
          <w:numId w:val="0"/>
        </w:numPr>
        <w:rPr>
          <w:rFonts w:hint="eastAsia" w:ascii="方正仿宋简体" w:hAnsi="方正仿宋简体" w:eastAsia="方正仿宋简体" w:cs="方正仿宋简体"/>
          <w:color w:val="000000"/>
          <w:kern w:val="0"/>
          <w:sz w:val="24"/>
          <w:szCs w:val="24"/>
          <w:lang w:val="en-US" w:eastAsia="zh-CN" w:bidi="ar-SA"/>
        </w:rPr>
      </w:pPr>
    </w:p>
    <w:p>
      <w:pPr>
        <w:numPr>
          <w:ilvl w:val="0"/>
          <w:numId w:val="0"/>
        </w:numPr>
        <w:rPr>
          <w:rFonts w:hint="eastAsia" w:ascii="方正仿宋简体" w:hAnsi="方正仿宋简体" w:eastAsia="方正仿宋简体" w:cs="方正仿宋简体"/>
          <w:color w:val="000000"/>
          <w:kern w:val="0"/>
          <w:sz w:val="24"/>
          <w:szCs w:val="24"/>
          <w:lang w:val="en-US" w:eastAsia="zh-CN" w:bidi="ar-SA"/>
        </w:rPr>
      </w:pPr>
    </w:p>
    <w:p>
      <w:pPr>
        <w:numPr>
          <w:ilvl w:val="0"/>
          <w:numId w:val="0"/>
        </w:numPr>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2、</w:t>
      </w:r>
      <w:r>
        <w:rPr>
          <w:rFonts w:hint="eastAsia" w:ascii="方正仿宋简体" w:hAnsi="方正仿宋简体" w:eastAsia="方正仿宋简体" w:cs="方正仿宋简体"/>
          <w:color w:val="000000"/>
          <w:kern w:val="0"/>
          <w:sz w:val="24"/>
          <w:szCs w:val="24"/>
          <w:lang w:val="en-US" w:eastAsia="uk-UA" w:bidi="ar-SA"/>
        </w:rPr>
        <w:t>冀财资环【2021】106号2022年中央财政林业改革发展资金绩效目标表</w:t>
      </w:r>
    </w:p>
    <w:p>
      <w:pPr>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327遵化市林业局单位</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2362"/>
        <w:gridCol w:w="960"/>
        <w:gridCol w:w="3840"/>
        <w:gridCol w:w="3056"/>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3322" w:type="dxa"/>
            <w:gridSpan w:val="2"/>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13028122P003366100017</w:t>
            </w:r>
          </w:p>
        </w:tc>
        <w:tc>
          <w:tcPr>
            <w:tcW w:w="384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项目名称</w:t>
            </w:r>
          </w:p>
        </w:tc>
        <w:tc>
          <w:tcPr>
            <w:tcW w:w="5710" w:type="dxa"/>
            <w:gridSpan w:val="3"/>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财资环【2021】106号2022年中央财政林业改革发展资金冀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2362"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预算数</w:t>
            </w:r>
          </w:p>
        </w:tc>
        <w:tc>
          <w:tcPr>
            <w:tcW w:w="960" w:type="dxa"/>
            <w:vAlign w:val="center"/>
          </w:tcPr>
          <w:p>
            <w:pPr>
              <w:pStyle w:val="19"/>
            </w:pPr>
            <w:r>
              <w:t>20.00</w:t>
            </w:r>
          </w:p>
        </w:tc>
        <w:tc>
          <w:tcPr>
            <w:tcW w:w="384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其中：财政    资金</w:t>
            </w:r>
          </w:p>
        </w:tc>
        <w:tc>
          <w:tcPr>
            <w:tcW w:w="3056" w:type="dxa"/>
            <w:vAlign w:val="center"/>
          </w:tcPr>
          <w:p>
            <w:pPr>
              <w:pStyle w:val="19"/>
            </w:pPr>
            <w:r>
              <w:t>20.00</w:t>
            </w:r>
          </w:p>
        </w:tc>
        <w:tc>
          <w:tcPr>
            <w:tcW w:w="1327"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其他资金</w:t>
            </w:r>
          </w:p>
        </w:tc>
        <w:tc>
          <w:tcPr>
            <w:tcW w:w="132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12872" w:type="dxa"/>
            <w:gridSpan w:val="6"/>
            <w:vAlign w:val="center"/>
          </w:tcPr>
          <w:p>
            <w:pPr>
              <w:pStyle w:val="19"/>
            </w:pPr>
            <w:r>
              <w:t xml:space="preserve">　 </w:t>
            </w:r>
            <w:r>
              <w:rPr>
                <w:rFonts w:hint="eastAsia" w:ascii="方正仿宋简体" w:hAnsi="方正仿宋简体" w:eastAsia="方正仿宋简体" w:cs="方正仿宋简体"/>
                <w:color w:val="000000"/>
                <w:kern w:val="0"/>
                <w:sz w:val="24"/>
                <w:szCs w:val="24"/>
                <w:lang w:val="en-US" w:eastAsia="uk-UA" w:bidi="ar-SA"/>
              </w:rPr>
              <w:t>预算数20万元。其中财政资金20万元，其他资金0万元。用途（简述）购买无人机1架用于病虫害防治、林地调查影像资料。</w:t>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r>
              <w:rPr>
                <w:rFonts w:hint="eastAsia" w:ascii="方正仿宋简体" w:hAnsi="方正仿宋简体" w:eastAsia="方正仿宋简体" w:cs="方正仿宋简体"/>
                <w:color w:val="000000"/>
                <w:kern w:val="0"/>
                <w:sz w:val="24"/>
                <w:szCs w:val="24"/>
                <w:lang w:val="en-US" w:eastAsia="uk-UA"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3322"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3月底</w:t>
            </w:r>
          </w:p>
        </w:tc>
        <w:tc>
          <w:tcPr>
            <w:tcW w:w="384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6月底</w:t>
            </w:r>
          </w:p>
        </w:tc>
        <w:tc>
          <w:tcPr>
            <w:tcW w:w="305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10月底</w:t>
            </w:r>
          </w:p>
        </w:tc>
        <w:tc>
          <w:tcPr>
            <w:tcW w:w="2654"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3322" w:type="dxa"/>
            <w:gridSpan w:val="2"/>
            <w:vAlign w:val="center"/>
          </w:tcPr>
          <w:p>
            <w:pPr>
              <w:pStyle w:val="20"/>
            </w:pPr>
            <w:r>
              <w:t>25%</w:t>
            </w:r>
          </w:p>
        </w:tc>
        <w:tc>
          <w:tcPr>
            <w:tcW w:w="3840" w:type="dxa"/>
            <w:vAlign w:val="center"/>
          </w:tcPr>
          <w:p>
            <w:pPr>
              <w:pStyle w:val="20"/>
            </w:pPr>
            <w:r>
              <w:t>50%</w:t>
            </w:r>
          </w:p>
        </w:tc>
        <w:tc>
          <w:tcPr>
            <w:tcW w:w="3056" w:type="dxa"/>
            <w:vAlign w:val="center"/>
          </w:tcPr>
          <w:p>
            <w:pPr>
              <w:pStyle w:val="20"/>
            </w:pPr>
            <w:r>
              <w:t>75%</w:t>
            </w:r>
          </w:p>
        </w:tc>
        <w:tc>
          <w:tcPr>
            <w:tcW w:w="265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2872" w:type="dxa"/>
            <w:gridSpan w:val="6"/>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1.达到有虫无灾的良好局面，保障林木健康生长。达到有虫无灾的良好局面，保障林木健康生长。</w:t>
            </w:r>
            <w:r>
              <w:rPr>
                <w:rFonts w:hint="eastAsia" w:ascii="方正仿宋简体" w:hAnsi="方正仿宋简体" w:eastAsia="方正仿宋简体" w:cs="方正仿宋简体"/>
                <w:color w:val="000000"/>
                <w:kern w:val="0"/>
                <w:sz w:val="24"/>
                <w:szCs w:val="24"/>
                <w:lang w:val="en-US" w:eastAsia="uk-UA" w:bidi="ar-SA"/>
              </w:rP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2256"/>
        <w:gridCol w:w="1896"/>
        <w:gridCol w:w="3659"/>
        <w:gridCol w:w="2161"/>
        <w:gridCol w:w="2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8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225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189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365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2161"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289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产出指标</w:t>
            </w: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购买数量</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当年完成的购买数量</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1架</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质量指标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检疫工作完成率</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检疫工作完成面积占计划的比例</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时效指标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2023年12月底前</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成本指标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≥95%</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效益指标</w:t>
            </w: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经济效益指标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改善生态环境</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保持生态平衡，保护生物多样性</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提供公益性、社会性产品</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社会效益指标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 对水源的涵养</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依靠自身的储水能力来达到涵养水源的作用</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绿色水库</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生态效益指标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林业有害生物成灾率</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全省林业有害生物灾害发生面积与森林面积的比率　 </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≤0.1千分之</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可持续影响指标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减少自然灾害</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防风固沙</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保护和改善人类的生存条件</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9"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满意度指标</w:t>
            </w:r>
          </w:p>
        </w:tc>
        <w:tc>
          <w:tcPr>
            <w:tcW w:w="225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服务对象满意度指标</w:t>
            </w:r>
          </w:p>
        </w:tc>
        <w:tc>
          <w:tcPr>
            <w:tcW w:w="1896"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群众满意度</w:t>
            </w:r>
          </w:p>
        </w:tc>
        <w:tc>
          <w:tcPr>
            <w:tcW w:w="365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林区群众对森林生态效益满意度</w:t>
            </w:r>
          </w:p>
        </w:tc>
        <w:tc>
          <w:tcPr>
            <w:tcW w:w="2161"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899"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冀财资环【2021】106号</w:t>
            </w:r>
          </w:p>
        </w:tc>
      </w:tr>
    </w:tbl>
    <w:p>
      <w:pPr>
        <w:numPr>
          <w:ilvl w:val="0"/>
          <w:numId w:val="0"/>
        </w:numPr>
        <w:rPr>
          <w:rFonts w:hint="eastAsia" w:ascii="方正仿宋简体" w:hAnsi="方正仿宋简体" w:eastAsia="方正仿宋简体" w:cs="方正仿宋简体"/>
          <w:color w:val="000000"/>
          <w:kern w:val="0"/>
          <w:sz w:val="24"/>
          <w:szCs w:val="24"/>
          <w:lang w:val="en-US" w:eastAsia="zh-CN" w:bidi="ar-SA"/>
        </w:rPr>
      </w:pPr>
    </w:p>
    <w:p>
      <w:pPr>
        <w:numPr>
          <w:ilvl w:val="0"/>
          <w:numId w:val="0"/>
        </w:numPr>
        <w:rPr>
          <w:rFonts w:hint="eastAsia" w:ascii="方正仿宋简体" w:hAnsi="方正仿宋简体" w:eastAsia="方正仿宋简体" w:cs="方正仿宋简体"/>
          <w:color w:val="000000"/>
          <w:kern w:val="0"/>
          <w:sz w:val="24"/>
          <w:szCs w:val="24"/>
          <w:lang w:val="en-US" w:eastAsia="zh-CN" w:bidi="ar-SA"/>
        </w:rPr>
      </w:pPr>
    </w:p>
    <w:p>
      <w:pPr>
        <w:numPr>
          <w:ilvl w:val="0"/>
          <w:numId w:val="0"/>
        </w:numPr>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3、</w:t>
      </w:r>
      <w:r>
        <w:rPr>
          <w:rFonts w:hint="eastAsia" w:ascii="方正仿宋简体" w:hAnsi="方正仿宋简体" w:eastAsia="方正仿宋简体" w:cs="方正仿宋简体"/>
          <w:color w:val="000000"/>
          <w:kern w:val="0"/>
          <w:sz w:val="24"/>
          <w:szCs w:val="24"/>
          <w:lang w:val="en-US" w:eastAsia="uk-UA" w:bidi="ar-SA"/>
        </w:rPr>
        <w:t>冀财资环【2022】104号提前下达2023年省级林业改革发展补助资金绩效目标表</w:t>
      </w:r>
    </w:p>
    <w:p>
      <w:pPr>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327遵化市林业局单位</w:t>
      </w:r>
    </w:p>
    <w:tbl>
      <w:tblPr>
        <w:tblStyle w:val="10"/>
        <w:tblW w:w="1530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3"/>
        <w:gridCol w:w="3033"/>
        <w:gridCol w:w="1787"/>
        <w:gridCol w:w="2237"/>
        <w:gridCol w:w="3079"/>
        <w:gridCol w:w="1382"/>
        <w:gridCol w:w="21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153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4628" w:type="dxa"/>
            <w:gridSpan w:val="2"/>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13028123P000050100021</w:t>
            </w:r>
          </w:p>
        </w:tc>
        <w:tc>
          <w:tcPr>
            <w:tcW w:w="214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项目名称</w:t>
            </w:r>
          </w:p>
        </w:tc>
        <w:tc>
          <w:tcPr>
            <w:tcW w:w="6382" w:type="dxa"/>
            <w:gridSpan w:val="3"/>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冀财资环【2022】104号提前下达2023年省级林业改革发展补助资金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539"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2912"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预算数</w:t>
            </w:r>
          </w:p>
        </w:tc>
        <w:tc>
          <w:tcPr>
            <w:tcW w:w="171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50.00</w:t>
            </w:r>
          </w:p>
        </w:tc>
        <w:tc>
          <w:tcPr>
            <w:tcW w:w="214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其中：财政资金</w:t>
            </w:r>
          </w:p>
        </w:tc>
        <w:tc>
          <w:tcPr>
            <w:tcW w:w="2956" w:type="dxa"/>
            <w:vAlign w:val="center"/>
          </w:tcPr>
          <w:p>
            <w:pPr>
              <w:pStyle w:val="19"/>
            </w:pPr>
            <w:r>
              <w:rPr>
                <w:rFonts w:hint="eastAsia" w:ascii="方正仿宋简体" w:hAnsi="方正仿宋简体" w:eastAsia="方正仿宋简体" w:cs="方正仿宋简体"/>
                <w:b w:val="0"/>
                <w:color w:val="000000"/>
                <w:kern w:val="0"/>
                <w:sz w:val="24"/>
                <w:szCs w:val="24"/>
                <w:lang w:val="en-US" w:eastAsia="uk-UA" w:bidi="ar-SA"/>
              </w:rPr>
              <w:t>50.00</w:t>
            </w:r>
          </w:p>
        </w:tc>
        <w:tc>
          <w:tcPr>
            <w:tcW w:w="1327"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其他资金</w:t>
            </w:r>
          </w:p>
        </w:tc>
        <w:tc>
          <w:tcPr>
            <w:tcW w:w="2099"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39"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13158" w:type="dxa"/>
            <w:gridSpan w:val="6"/>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预算数50万元，主要用于森林防火隐患消除、消防物资储备和病虫害防治等工作。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4628"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3月底</w:t>
            </w:r>
          </w:p>
        </w:tc>
        <w:tc>
          <w:tcPr>
            <w:tcW w:w="214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6月底</w:t>
            </w:r>
          </w:p>
        </w:tc>
        <w:tc>
          <w:tcPr>
            <w:tcW w:w="295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10月底</w:t>
            </w:r>
          </w:p>
        </w:tc>
        <w:tc>
          <w:tcPr>
            <w:tcW w:w="3426"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4628" w:type="dxa"/>
            <w:gridSpan w:val="2"/>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30%</w:t>
            </w:r>
          </w:p>
        </w:tc>
        <w:tc>
          <w:tcPr>
            <w:tcW w:w="2148"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60%</w:t>
            </w:r>
          </w:p>
        </w:tc>
        <w:tc>
          <w:tcPr>
            <w:tcW w:w="2956"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3426" w:type="dxa"/>
            <w:gridSpan w:val="2"/>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153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3158" w:type="dxa"/>
            <w:gridSpan w:val="6"/>
            <w:vAlign w:val="center"/>
          </w:tcPr>
          <w:p>
            <w:pPr>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目标内容确保全市森林覆盖率、森林蓄积量和森林保有量、林地保有量稳步增长，推动林业又好又快的发展。建立高效完备的森林资源保护体系，全面提升森林资源保护管理水平，实现森林资源稳步增长，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53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9"/>
        <w:gridCol w:w="1767"/>
        <w:gridCol w:w="1933"/>
        <w:gridCol w:w="4783"/>
        <w:gridCol w:w="2967"/>
        <w:gridCol w:w="2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02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17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1933"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4783"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29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282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产出指标</w:t>
            </w: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消防通道</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长800米，宽3米，厚0.2米，</w:t>
            </w:r>
            <w:r>
              <w:rPr>
                <w:rFonts w:hint="eastAsia" w:ascii="方正仿宋简体" w:hAnsi="方正仿宋简体" w:eastAsia="方正仿宋简体" w:cs="方正仿宋简体"/>
                <w:color w:val="000000"/>
                <w:kern w:val="0"/>
                <w:sz w:val="24"/>
                <w:szCs w:val="24"/>
                <w:lang w:val="en-US" w:eastAsia="zh-CN" w:bidi="ar-SA"/>
              </w:rPr>
              <w:t>混凝土</w:t>
            </w:r>
            <w:r>
              <w:rPr>
                <w:rFonts w:hint="eastAsia" w:ascii="方正仿宋简体" w:hAnsi="方正仿宋简体" w:eastAsia="方正仿宋简体" w:cs="方正仿宋简体"/>
                <w:color w:val="000000"/>
                <w:kern w:val="0"/>
                <w:sz w:val="24"/>
                <w:szCs w:val="24"/>
                <w:lang w:val="en-US" w:eastAsia="uk-UA" w:bidi="ar-SA"/>
              </w:rPr>
              <w:t>标号C30,含路基开拓整理</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2400平方米</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质量指标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项目完成率</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项目完成率</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时效指标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项目完成时限</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2023年12月底前</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成本指标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预算资金执行率</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≥95%</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效益指标</w:t>
            </w: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经济效益指标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改善生态环境</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保持生态平衡，保护生物多样性</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提供公益性、社会性产品</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社会效益指标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 对水源的涵养</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依靠自身的储水能力来达到涵养水源的作用</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绿色水库</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生态效益指标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林业有害生物成灾率</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全省林业有害生物灾害发生面积与森林面积的比率　 </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uk-UA" w:bidi="ar-SA"/>
              </w:rPr>
              <w:t>≤0.1</w:t>
            </w:r>
            <w:r>
              <w:rPr>
                <w:rFonts w:hint="eastAsia" w:ascii="方正仿宋简体" w:hAnsi="方正仿宋简体" w:eastAsia="方正仿宋简体" w:cs="方正仿宋简体"/>
                <w:color w:val="000000"/>
                <w:kern w:val="0"/>
                <w:sz w:val="24"/>
                <w:szCs w:val="24"/>
                <w:lang w:val="en-US" w:eastAsia="zh-CN" w:bidi="ar-SA"/>
              </w:rPr>
              <w:t>‰</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Merge w:val="continue"/>
            <w:vAlign w:val="center"/>
          </w:tcPr>
          <w:p>
            <w:pPr>
              <w:rPr>
                <w:rFonts w:hint="eastAsia" w:ascii="方正仿宋简体" w:hAnsi="方正仿宋简体" w:eastAsia="方正仿宋简体" w:cs="方正仿宋简体"/>
                <w:color w:val="000000"/>
                <w:kern w:val="0"/>
                <w:sz w:val="24"/>
                <w:szCs w:val="24"/>
                <w:lang w:val="en-US" w:eastAsia="uk-UA" w:bidi="ar-SA"/>
              </w:rPr>
            </w:pP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可持续影响指标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减少自然灾害</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防风固沙</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保护人类的生存条件</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满意度指标</w:t>
            </w:r>
          </w:p>
        </w:tc>
        <w:tc>
          <w:tcPr>
            <w:tcW w:w="17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服务对象满意度指标</w:t>
            </w:r>
          </w:p>
        </w:tc>
        <w:tc>
          <w:tcPr>
            <w:tcW w:w="193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群众满意度</w:t>
            </w:r>
          </w:p>
        </w:tc>
        <w:tc>
          <w:tcPr>
            <w:tcW w:w="4783"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林区群众对森林生态效益满意度</w:t>
            </w:r>
          </w:p>
        </w:tc>
        <w:tc>
          <w:tcPr>
            <w:tcW w:w="2967"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≥90%</w:t>
            </w:r>
          </w:p>
        </w:tc>
        <w:tc>
          <w:tcPr>
            <w:tcW w:w="2828" w:type="dxa"/>
            <w:vAlign w:val="center"/>
          </w:tcPr>
          <w:p>
            <w:pPr>
              <w:pStyle w:val="19"/>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冀财资环【2022】104号</w:t>
            </w:r>
          </w:p>
        </w:tc>
      </w:tr>
    </w:tbl>
    <w:p>
      <w:pPr>
        <w:rPr>
          <w:rFonts w:hint="eastAsia" w:ascii="方正仿宋简体" w:hAnsi="方正仿宋简体" w:eastAsia="方正仿宋简体" w:cs="方正仿宋简体"/>
          <w:color w:val="000000"/>
          <w:kern w:val="0"/>
          <w:sz w:val="24"/>
          <w:szCs w:val="24"/>
          <w:lang w:val="en-US" w:eastAsia="uk-UA" w:bidi="ar-SA"/>
        </w:rPr>
        <w:sectPr>
          <w:pgSz w:w="16840" w:h="11900" w:orient="landscape"/>
          <w:pgMar w:top="454" w:right="567" w:bottom="567" w:left="567" w:header="720" w:footer="720" w:gutter="0"/>
          <w:pgNumType w:fmt="decimal"/>
          <w:cols w:space="720" w:num="1"/>
        </w:sectPr>
      </w:pPr>
    </w:p>
    <w:p>
      <w:pPr>
        <w:pStyle w:val="2"/>
        <w:rPr>
          <w:rFonts w:hint="eastAsia"/>
          <w:lang w:val="en-US" w:eastAsia="uk-UA"/>
        </w:rPr>
      </w:pPr>
    </w:p>
    <w:p>
      <w:pPr>
        <w:numPr>
          <w:ilvl w:val="0"/>
          <w:numId w:val="0"/>
        </w:numPr>
        <w:ind w:left="560" w:leftChars="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4、</w:t>
      </w:r>
      <w:r>
        <w:rPr>
          <w:rFonts w:hint="eastAsia" w:ascii="方正仿宋简体" w:hAnsi="方正仿宋简体" w:eastAsia="方正仿宋简体" w:cs="方正仿宋简体"/>
          <w:color w:val="000000"/>
          <w:kern w:val="0"/>
          <w:sz w:val="24"/>
          <w:szCs w:val="24"/>
          <w:lang w:val="en-US" w:eastAsia="uk-UA" w:bidi="ar-SA"/>
        </w:rPr>
        <w:t>监控系统租赁服务费绩效目标表</w:t>
      </w:r>
    </w:p>
    <w:p>
      <w:pPr>
        <w:ind w:firstLine="560"/>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327遵化市林业局单位</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2"/>
        <w:gridCol w:w="3069"/>
        <w:gridCol w:w="1248"/>
        <w:gridCol w:w="1525"/>
        <w:gridCol w:w="1607"/>
        <w:gridCol w:w="3115"/>
        <w:gridCol w:w="1327"/>
        <w:gridCol w:w="12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3069"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13028123P00007810006B</w:t>
            </w:r>
          </w:p>
        </w:tc>
        <w:tc>
          <w:tcPr>
            <w:tcW w:w="2773" w:type="dxa"/>
            <w:gridSpan w:val="2"/>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项目名称</w:t>
            </w:r>
          </w:p>
        </w:tc>
        <w:tc>
          <w:tcPr>
            <w:tcW w:w="7284" w:type="dxa"/>
            <w:gridSpan w:val="4"/>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监控系统租赁服务费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Merge w:val="restart"/>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3069"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预算数</w:t>
            </w:r>
          </w:p>
        </w:tc>
        <w:tc>
          <w:tcPr>
            <w:tcW w:w="1248"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43.00</w:t>
            </w:r>
          </w:p>
        </w:tc>
        <w:tc>
          <w:tcPr>
            <w:tcW w:w="3132" w:type="dxa"/>
            <w:gridSpan w:val="2"/>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其中：财政    资金</w:t>
            </w:r>
          </w:p>
        </w:tc>
        <w:tc>
          <w:tcPr>
            <w:tcW w:w="3115"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43.00</w:t>
            </w:r>
          </w:p>
        </w:tc>
        <w:tc>
          <w:tcPr>
            <w:tcW w:w="1327"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其他资金</w:t>
            </w:r>
          </w:p>
        </w:tc>
        <w:tc>
          <w:tcPr>
            <w:tcW w:w="1235"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Merge w:val="continue"/>
          </w:tcPr>
          <w:p>
            <w:pPr>
              <w:rPr>
                <w:rFonts w:hint="eastAsia" w:ascii="方正仿宋简体" w:hAnsi="方正仿宋简体" w:eastAsia="方正仿宋简体" w:cs="方正仿宋简体"/>
                <w:b w:val="0"/>
                <w:color w:val="000000"/>
                <w:kern w:val="0"/>
                <w:sz w:val="24"/>
                <w:szCs w:val="24"/>
                <w:lang w:val="en-US" w:eastAsia="uk-UA" w:bidi="ar-SA"/>
              </w:rPr>
            </w:pPr>
          </w:p>
        </w:tc>
        <w:tc>
          <w:tcPr>
            <w:tcW w:w="13126" w:type="dxa"/>
            <w:gridSpan w:val="7"/>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年初预算43万元。主要用途：防火监控全覆盖增加监控旋转点位服务费。防火监控全覆盖增加监控固定点位服务费。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Merge w:val="restart"/>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3069"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3月底</w:t>
            </w:r>
          </w:p>
        </w:tc>
        <w:tc>
          <w:tcPr>
            <w:tcW w:w="2773" w:type="dxa"/>
            <w:gridSpan w:val="2"/>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6月底</w:t>
            </w:r>
          </w:p>
        </w:tc>
        <w:tc>
          <w:tcPr>
            <w:tcW w:w="1607"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10月底</w:t>
            </w:r>
          </w:p>
        </w:tc>
        <w:tc>
          <w:tcPr>
            <w:tcW w:w="5677" w:type="dxa"/>
            <w:gridSpan w:val="3"/>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Merge w:val="continue"/>
          </w:tcPr>
          <w:p>
            <w:pPr>
              <w:rPr>
                <w:rFonts w:hint="eastAsia" w:ascii="方正仿宋简体" w:hAnsi="方正仿宋简体" w:eastAsia="方正仿宋简体" w:cs="方正仿宋简体"/>
                <w:b w:val="0"/>
                <w:color w:val="000000"/>
                <w:kern w:val="0"/>
                <w:sz w:val="24"/>
                <w:szCs w:val="24"/>
                <w:lang w:val="en-US" w:eastAsia="uk-UA" w:bidi="ar-SA"/>
              </w:rPr>
            </w:pPr>
          </w:p>
        </w:tc>
        <w:tc>
          <w:tcPr>
            <w:tcW w:w="3069" w:type="dxa"/>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30%</w:t>
            </w:r>
          </w:p>
        </w:tc>
        <w:tc>
          <w:tcPr>
            <w:tcW w:w="2773" w:type="dxa"/>
            <w:gridSpan w:val="2"/>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60%</w:t>
            </w:r>
          </w:p>
        </w:tc>
        <w:tc>
          <w:tcPr>
            <w:tcW w:w="1607" w:type="dxa"/>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5677" w:type="dxa"/>
            <w:gridSpan w:val="3"/>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2"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3126" w:type="dxa"/>
            <w:gridSpan w:val="7"/>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1.实现全林区防火视频监控技防和人防对接，保护好东陵国有林区森林资源，有效控制重大森林火灾发生。</w:t>
            </w:r>
          </w:p>
        </w:tc>
      </w:tr>
    </w:tbl>
    <w:p>
      <w:pPr>
        <w:spacing w:before="0" w:after="0" w:line="2" w:lineRule="exact"/>
        <w:ind w:firstLine="0"/>
        <w:jc w:val="center"/>
        <w:outlineLvl w:val="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7"/>
        <w:gridCol w:w="1600"/>
        <w:gridCol w:w="3650"/>
        <w:gridCol w:w="3850"/>
        <w:gridCol w:w="1983"/>
        <w:gridCol w:w="2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77"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160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365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385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1983"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265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restart"/>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产出指标</w:t>
            </w: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数量指标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实现全林区防火视频监控技防和人防对接</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林火监测系统建设运营维护点位</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51点位</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质量指标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可以获得全面的、清晰的、可录制并回放的多画面现场实时图像</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火灾发生点能精确定位的比率</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时效指标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项目完成时限</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项目完成时限</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2023年12月底</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成本指标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预算资金执行率</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预算资金执行率</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≥95%</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restart"/>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效益指标</w:t>
            </w: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经济效益指标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改善生态环境</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保持生态平衡，保护生物多样性</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提供公益性、社会性产品</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社会效益指标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对水源的涵养</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依靠自身的储水能力来达到涵养水源的作用</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绿色水库</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生态效益指标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森林火灾受害控制率（%）</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全省森林火灾中受害森林面积与森林总面积的比率　</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≤0.1‰</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Merge w:val="continue"/>
            <w:vAlign w:val="center"/>
          </w:tcPr>
          <w:p>
            <w:pPr>
              <w:rPr>
                <w:rFonts w:hint="eastAsia" w:ascii="方正仿宋简体" w:hAnsi="方正仿宋简体" w:eastAsia="方正仿宋简体" w:cs="方正仿宋简体"/>
                <w:b w:val="0"/>
                <w:color w:val="000000"/>
                <w:kern w:val="0"/>
                <w:sz w:val="24"/>
                <w:szCs w:val="24"/>
                <w:lang w:val="en-US" w:eastAsia="uk-UA" w:bidi="ar-SA"/>
              </w:rPr>
            </w:pPr>
          </w:p>
        </w:tc>
        <w:tc>
          <w:tcPr>
            <w:tcW w:w="1600"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可持续影响指标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减少自然灾害</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防风固沙</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保护和改善人类的生存环境</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20"/>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满意度指标</w:t>
            </w:r>
          </w:p>
        </w:tc>
        <w:tc>
          <w:tcPr>
            <w:tcW w:w="160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服务对象满意度指标</w:t>
            </w:r>
          </w:p>
        </w:tc>
        <w:tc>
          <w:tcPr>
            <w:tcW w:w="36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群众满意度　</w:t>
            </w:r>
          </w:p>
        </w:tc>
        <w:tc>
          <w:tcPr>
            <w:tcW w:w="385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林区群众对森林生态效益满意度　</w:t>
            </w:r>
          </w:p>
        </w:tc>
        <w:tc>
          <w:tcPr>
            <w:tcW w:w="198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2657"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bl>
    <w:p>
      <w:pPr>
        <w:rPr>
          <w:rFonts w:hint="eastAsia" w:ascii="方正仿宋简体" w:hAnsi="方正仿宋简体" w:eastAsia="方正仿宋简体" w:cs="方正仿宋简体"/>
          <w:color w:val="000000"/>
          <w:kern w:val="0"/>
          <w:sz w:val="24"/>
          <w:szCs w:val="24"/>
          <w:lang w:val="en-US" w:eastAsia="uk-UA" w:bidi="ar-SA"/>
        </w:rPr>
        <w:sectPr>
          <w:pgSz w:w="16840" w:h="11900" w:orient="landscape"/>
          <w:pgMar w:top="680" w:right="454" w:bottom="567" w:left="567" w:header="720" w:footer="720" w:gutter="0"/>
          <w:pgNumType w:fmt="decimal"/>
          <w:cols w:space="720" w:num="1"/>
          <w:rtlGutter w:val="0"/>
        </w:sectPr>
      </w:pPr>
    </w:p>
    <w:p>
      <w:pPr>
        <w:numPr>
          <w:ilvl w:val="0"/>
          <w:numId w:val="0"/>
        </w:numPr>
        <w:ind w:firstLine="480" w:firstLineChars="20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5、</w:t>
      </w:r>
      <w:r>
        <w:rPr>
          <w:rFonts w:hint="eastAsia" w:ascii="方正仿宋简体" w:hAnsi="方正仿宋简体" w:eastAsia="方正仿宋简体" w:cs="方正仿宋简体"/>
          <w:color w:val="000000"/>
          <w:kern w:val="0"/>
          <w:sz w:val="24"/>
          <w:szCs w:val="24"/>
          <w:lang w:val="en-US" w:eastAsia="uk-UA" w:bidi="ar-SA"/>
        </w:rPr>
        <w:t>森林防火经费绩效目标表</w:t>
      </w:r>
    </w:p>
    <w:p>
      <w:pPr>
        <w:ind w:firstLine="560"/>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zh-CN" w:bidi="ar-SA"/>
        </w:rPr>
        <w:t>327遵化市林业局单位</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8"/>
        <w:gridCol w:w="2998"/>
        <w:gridCol w:w="1378"/>
        <w:gridCol w:w="1903"/>
        <w:gridCol w:w="3719"/>
        <w:gridCol w:w="146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项目编码</w:t>
            </w:r>
          </w:p>
        </w:tc>
        <w:tc>
          <w:tcPr>
            <w:tcW w:w="2998" w:type="dxa"/>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13028123P000099100021</w:t>
            </w:r>
          </w:p>
        </w:tc>
        <w:tc>
          <w:tcPr>
            <w:tcW w:w="3281" w:type="dxa"/>
            <w:gridSpan w:val="2"/>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项目名称</w:t>
            </w:r>
          </w:p>
        </w:tc>
        <w:tc>
          <w:tcPr>
            <w:tcW w:w="6513" w:type="dxa"/>
            <w:gridSpan w:val="3"/>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预算规模及资金用途</w:t>
            </w:r>
          </w:p>
        </w:tc>
        <w:tc>
          <w:tcPr>
            <w:tcW w:w="2998" w:type="dxa"/>
            <w:vAlign w:val="center"/>
          </w:tcPr>
          <w:p>
            <w:pPr>
              <w:pStyle w:val="17"/>
            </w:pPr>
            <w:r>
              <w:rPr>
                <w:rFonts w:hint="eastAsia" w:ascii="方正仿宋简体" w:hAnsi="方正仿宋简体" w:eastAsia="方正仿宋简体" w:cs="方正仿宋简体"/>
                <w:color w:val="000000"/>
                <w:kern w:val="0"/>
                <w:sz w:val="24"/>
                <w:szCs w:val="24"/>
                <w:lang w:val="en-US" w:eastAsia="uk-UA" w:bidi="ar-SA"/>
              </w:rPr>
              <w:t>预算数</w:t>
            </w:r>
          </w:p>
        </w:tc>
        <w:tc>
          <w:tcPr>
            <w:tcW w:w="1378" w:type="dxa"/>
            <w:vAlign w:val="center"/>
          </w:tcPr>
          <w:p>
            <w:pPr>
              <w:pStyle w:val="19"/>
            </w:pPr>
            <w:r>
              <w:rPr>
                <w:rFonts w:hint="eastAsia" w:ascii="方正仿宋简体" w:hAnsi="方正仿宋简体" w:eastAsia="方正仿宋简体" w:cs="方正仿宋简体"/>
                <w:color w:val="000000"/>
                <w:kern w:val="0"/>
                <w:sz w:val="24"/>
                <w:szCs w:val="24"/>
                <w:lang w:val="en-US" w:eastAsia="uk-UA" w:bidi="ar-SA"/>
              </w:rPr>
              <w:t>25.00</w:t>
            </w:r>
          </w:p>
        </w:tc>
        <w:tc>
          <w:tcPr>
            <w:tcW w:w="1903" w:type="dxa"/>
            <w:vAlign w:val="center"/>
          </w:tcPr>
          <w:p>
            <w:pPr>
              <w:pStyle w:val="17"/>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其中：财政    资金</w:t>
            </w:r>
          </w:p>
        </w:tc>
        <w:tc>
          <w:tcPr>
            <w:tcW w:w="3719"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25.00</w:t>
            </w:r>
          </w:p>
        </w:tc>
        <w:tc>
          <w:tcPr>
            <w:tcW w:w="146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其他资金</w:t>
            </w:r>
          </w:p>
        </w:tc>
        <w:tc>
          <w:tcPr>
            <w:tcW w:w="1327"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12792" w:type="dxa"/>
            <w:gridSpan w:val="6"/>
            <w:vAlign w:val="center"/>
          </w:tcPr>
          <w:p>
            <w:pPr>
              <w:pStyle w:val="19"/>
            </w:pPr>
            <w:r>
              <w:t>年</w:t>
            </w:r>
            <w:r>
              <w:rPr>
                <w:rFonts w:hint="eastAsia" w:ascii="方正仿宋简体" w:hAnsi="方正仿宋简体" w:eastAsia="方正仿宋简体" w:cs="方正仿宋简体"/>
                <w:color w:val="000000"/>
                <w:kern w:val="0"/>
                <w:sz w:val="24"/>
                <w:szCs w:val="24"/>
                <w:lang w:val="en-US" w:eastAsia="uk-UA" w:bidi="ar-SA"/>
              </w:rPr>
              <w:t>初预算25万元。用途：打防火隔离带宽度10米-30米，每平米0.8元，31.25万平方米。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Merge w:val="restart"/>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资金支出计划（%）</w:t>
            </w:r>
          </w:p>
        </w:tc>
        <w:tc>
          <w:tcPr>
            <w:tcW w:w="299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3月底</w:t>
            </w:r>
          </w:p>
        </w:tc>
        <w:tc>
          <w:tcPr>
            <w:tcW w:w="3281"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6月底</w:t>
            </w:r>
          </w:p>
        </w:tc>
        <w:tc>
          <w:tcPr>
            <w:tcW w:w="3719"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10月底</w:t>
            </w:r>
          </w:p>
        </w:tc>
        <w:tc>
          <w:tcPr>
            <w:tcW w:w="2794" w:type="dxa"/>
            <w:gridSpan w:val="2"/>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Merge w:val="continue"/>
          </w:tcPr>
          <w:p>
            <w:pPr>
              <w:pStyle w:val="17"/>
              <w:rPr>
                <w:rFonts w:hint="eastAsia" w:ascii="方正仿宋简体" w:hAnsi="方正仿宋简体" w:eastAsia="方正仿宋简体" w:cs="方正仿宋简体"/>
                <w:color w:val="000000"/>
                <w:kern w:val="0"/>
                <w:sz w:val="24"/>
                <w:szCs w:val="24"/>
                <w:lang w:val="en-US" w:eastAsia="uk-UA" w:bidi="ar-SA"/>
              </w:rPr>
            </w:pPr>
          </w:p>
        </w:tc>
        <w:tc>
          <w:tcPr>
            <w:tcW w:w="2998" w:type="dxa"/>
            <w:vAlign w:val="center"/>
          </w:tcPr>
          <w:p>
            <w:pPr>
              <w:pStyle w:val="20"/>
            </w:pPr>
            <w:r>
              <w:t>30%</w:t>
            </w:r>
          </w:p>
        </w:tc>
        <w:tc>
          <w:tcPr>
            <w:tcW w:w="3281" w:type="dxa"/>
            <w:gridSpan w:val="2"/>
            <w:vAlign w:val="center"/>
          </w:tcPr>
          <w:p>
            <w:pPr>
              <w:pStyle w:val="20"/>
            </w:pPr>
            <w:r>
              <w:t>60%</w:t>
            </w:r>
          </w:p>
        </w:tc>
        <w:tc>
          <w:tcPr>
            <w:tcW w:w="3719" w:type="dxa"/>
            <w:vAlign w:val="center"/>
          </w:tcPr>
          <w:p>
            <w:pPr>
              <w:pStyle w:val="20"/>
            </w:pPr>
            <w:r>
              <w:t>90%</w:t>
            </w:r>
          </w:p>
        </w:tc>
        <w:tc>
          <w:tcPr>
            <w:tcW w:w="279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绩效目标</w:t>
            </w:r>
          </w:p>
        </w:tc>
        <w:tc>
          <w:tcPr>
            <w:tcW w:w="12792" w:type="dxa"/>
            <w:gridSpan w:val="6"/>
            <w:vAlign w:val="center"/>
          </w:tcPr>
          <w:p>
            <w:pPr>
              <w:pStyle w:val="19"/>
            </w:pPr>
            <w:r>
              <w:t>1</w:t>
            </w:r>
            <w:r>
              <w:rPr>
                <w:rFonts w:hint="eastAsia" w:ascii="方正仿宋简体" w:hAnsi="方正仿宋简体" w:eastAsia="方正仿宋简体" w:cs="方正仿宋简体"/>
                <w:color w:val="000000"/>
                <w:kern w:val="0"/>
                <w:sz w:val="24"/>
                <w:szCs w:val="24"/>
                <w:lang w:val="en-US" w:eastAsia="uk-UA" w:bidi="ar-SA"/>
              </w:rPr>
              <w:t>.预防森林火灾的发生，降低森林火险。实现预防森林火灾的目的。实现林区无火险、火灾。</w:t>
            </w:r>
            <w:r>
              <w:rPr>
                <w:rFonts w:hint="eastAsia" w:ascii="方正仿宋简体" w:hAnsi="方正仿宋简体" w:eastAsia="方正仿宋简体" w:cs="方正仿宋简体"/>
                <w:color w:val="000000"/>
                <w:kern w:val="0"/>
                <w:sz w:val="24"/>
                <w:szCs w:val="24"/>
                <w:lang w:val="en-US" w:eastAsia="uk-UA" w:bidi="ar-SA"/>
              </w:rP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6"/>
        <w:gridCol w:w="1740"/>
        <w:gridCol w:w="1752"/>
        <w:gridCol w:w="3144"/>
        <w:gridCol w:w="2796"/>
        <w:gridCol w:w="3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一级指标</w:t>
            </w:r>
          </w:p>
        </w:tc>
        <w:tc>
          <w:tcPr>
            <w:tcW w:w="1740"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二级指标</w:t>
            </w:r>
          </w:p>
        </w:tc>
        <w:tc>
          <w:tcPr>
            <w:tcW w:w="1752"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三级指标</w:t>
            </w:r>
          </w:p>
        </w:tc>
        <w:tc>
          <w:tcPr>
            <w:tcW w:w="3144"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绩效指标描述</w:t>
            </w:r>
          </w:p>
        </w:tc>
        <w:tc>
          <w:tcPr>
            <w:tcW w:w="2796"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w:t>
            </w:r>
          </w:p>
        </w:tc>
        <w:tc>
          <w:tcPr>
            <w:tcW w:w="3343" w:type="dxa"/>
            <w:vAlign w:val="center"/>
          </w:tcPr>
          <w:p>
            <w:pPr>
              <w:pStyle w:val="17"/>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restart"/>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产出指标</w:t>
            </w: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数量指标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打防火隔离带面积</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当年各林区打防火隔离带总面积</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312500平方米</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质量指标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项目完成率</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项目完成率</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时效指标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项目完成时限</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项目完成时限</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2023年12月底前</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成本指标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预算资金执行率</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预算资金执行率</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≥95%</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restart"/>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效益指标</w:t>
            </w: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经济效益指标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改善生态环境</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保持生态平衡，保护生物多样性</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提供公益性、社会性产品</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社会效益指标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对水源的涵养</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依靠自身的储水能力来达到涵养水源的作用</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绿色水库</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生态效益指标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 xml:space="preserve">森林火灾受害控制率（%） </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 xml:space="preserve">全省森林火灾中受害森林面积与森林总面积的比率　 </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≤0.1‰</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Merge w:val="continue"/>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可持续影响指标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减少自然灾害</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防风固沙</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保护和改善人类的生存环境</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满意度指标</w:t>
            </w:r>
          </w:p>
        </w:tc>
        <w:tc>
          <w:tcPr>
            <w:tcW w:w="1740"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服务对象满意度指标</w:t>
            </w:r>
          </w:p>
        </w:tc>
        <w:tc>
          <w:tcPr>
            <w:tcW w:w="1752"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群众满意度</w:t>
            </w:r>
          </w:p>
        </w:tc>
        <w:tc>
          <w:tcPr>
            <w:tcW w:w="3144"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林区群众对森林生态效益满意度</w:t>
            </w:r>
          </w:p>
        </w:tc>
        <w:tc>
          <w:tcPr>
            <w:tcW w:w="2796"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≥90%</w:t>
            </w:r>
          </w:p>
        </w:tc>
        <w:tc>
          <w:tcPr>
            <w:tcW w:w="3343" w:type="dxa"/>
            <w:vAlign w:val="center"/>
          </w:tcPr>
          <w:p>
            <w:pPr>
              <w:pStyle w:val="19"/>
              <w:rPr>
                <w:rFonts w:hint="eastAsia" w:ascii="方正仿宋简体" w:hAnsi="方正仿宋简体" w:eastAsia="方正仿宋简体" w:cs="方正仿宋简体"/>
                <w:b w:val="0"/>
                <w:color w:val="000000"/>
                <w:kern w:val="0"/>
                <w:sz w:val="24"/>
                <w:szCs w:val="24"/>
                <w:lang w:val="en-US" w:eastAsia="uk-UA" w:bidi="ar-SA"/>
              </w:rPr>
            </w:pPr>
            <w:r>
              <w:rPr>
                <w:rFonts w:hint="eastAsia" w:ascii="方正仿宋简体" w:hAnsi="方正仿宋简体" w:eastAsia="方正仿宋简体" w:cs="方正仿宋简体"/>
                <w:b w:val="0"/>
                <w:color w:val="000000"/>
                <w:kern w:val="0"/>
                <w:sz w:val="24"/>
                <w:szCs w:val="24"/>
                <w:lang w:val="en-US" w:eastAsia="uk-UA" w:bidi="ar-SA"/>
              </w:rPr>
              <w:t>根据年初工作计划安排</w:t>
            </w:r>
          </w:p>
        </w:tc>
      </w:tr>
    </w:tbl>
    <w:p>
      <w:pPr>
        <w:sectPr>
          <w:pgSz w:w="16840" w:h="11900" w:orient="landscape"/>
          <w:pgMar w:top="680" w:right="454" w:bottom="567" w:left="567" w:header="720" w:footer="720" w:gutter="0"/>
          <w:pgNumType w:fmt="decimal"/>
          <w:cols w:space="720" w:num="1"/>
          <w:rtlGutter w:val="0"/>
        </w:sectPr>
      </w:pPr>
    </w:p>
    <w:p>
      <w:pPr>
        <w:spacing w:before="10" w:after="10"/>
        <w:ind w:firstLine="640" w:firstLineChars="200"/>
        <w:outlineLvl w:val="2"/>
        <w:rPr>
          <w:sz w:val="32"/>
          <w:szCs w:val="32"/>
        </w:rPr>
      </w:pPr>
      <w:bookmarkStart w:id="12" w:name="_Toc_3_3_0000000015"/>
      <w:r>
        <w:rPr>
          <w:rFonts w:ascii="黑体" w:hAnsi="黑体" w:eastAsia="黑体" w:cs="黑体"/>
          <w:color w:val="000000"/>
          <w:sz w:val="32"/>
          <w:szCs w:val="32"/>
        </w:rPr>
        <w:t>六、政府采购预算情况</w:t>
      </w:r>
      <w:bookmarkEnd w:id="12"/>
    </w:p>
    <w:p>
      <w:pPr>
        <w:spacing w:line="500" w:lineRule="exact"/>
        <w:ind w:firstLine="560"/>
        <w:rPr>
          <w:rFonts w:ascii="方正仿宋简体" w:hAnsi="方正仿宋简体" w:eastAsia="方正仿宋简体" w:cs="方正仿宋简体"/>
          <w:kern w:val="2"/>
          <w:sz w:val="32"/>
          <w:szCs w:val="32"/>
          <w:lang w:eastAsia="zh-CN"/>
        </w:rPr>
      </w:pPr>
      <w:r>
        <w:rPr>
          <w:rFonts w:eastAsia="方正仿宋_GBK" w:cs="Times New Roman"/>
          <w:color w:val="000000"/>
          <w:sz w:val="32"/>
          <w:szCs w:val="32"/>
        </w:rPr>
        <w:t>2</w:t>
      </w:r>
      <w:r>
        <w:rPr>
          <w:rFonts w:ascii="方正仿宋简体" w:hAnsi="方正仿宋简体" w:eastAsia="方正仿宋简体" w:cs="方正仿宋简体"/>
          <w:kern w:val="2"/>
          <w:sz w:val="32"/>
          <w:szCs w:val="32"/>
          <w:lang w:eastAsia="zh-CN"/>
        </w:rPr>
        <w:t>023年，遵化市林业局</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887"/>
        <w:gridCol w:w="1041"/>
        <w:gridCol w:w="1041"/>
        <w:gridCol w:w="659"/>
        <w:gridCol w:w="786"/>
        <w:gridCol w:w="786"/>
        <w:gridCol w:w="888"/>
        <w:gridCol w:w="888"/>
        <w:gridCol w:w="888"/>
        <w:gridCol w:w="888"/>
        <w:gridCol w:w="888"/>
        <w:gridCol w:w="888"/>
        <w:gridCol w:w="888"/>
        <w:gridCol w:w="888"/>
        <w:gridCol w:w="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0"/>
              <w:jc w:val="both"/>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uk-UA" w:bidi="ar-SA"/>
              </w:rPr>
              <w:t>327遵化市林业局</w:t>
            </w:r>
            <w:r>
              <w:rPr>
                <w:rFonts w:hint="eastAsia" w:ascii="方正仿宋简体" w:hAnsi="方正仿宋简体" w:eastAsia="方正仿宋简体" w:cs="方正仿宋简体"/>
                <w:color w:val="000000"/>
                <w:kern w:val="0"/>
                <w:sz w:val="24"/>
                <w:szCs w:val="24"/>
                <w:lang w:val="en-US" w:eastAsia="zh-CN" w:bidi="ar-SA"/>
              </w:rPr>
              <w:t>单位</w:t>
            </w:r>
          </w:p>
        </w:tc>
        <w:tc>
          <w:tcPr>
            <w:tcW w:w="8674" w:type="dxa"/>
            <w:gridSpan w:val="9"/>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zh-CN" w:bidi="ar-SA"/>
              </w:rPr>
              <w:t xml:space="preserve">                     </w:t>
            </w:r>
            <w:r>
              <w:rPr>
                <w:rFonts w:hint="eastAsia" w:ascii="方正仿宋简体" w:hAnsi="方正仿宋简体" w:eastAsia="方正仿宋简体" w:cs="方正仿宋简体"/>
                <w:color w:val="000000"/>
                <w:kern w:val="0"/>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tblHeader/>
          <w:jc w:val="center"/>
        </w:trPr>
        <w:tc>
          <w:tcPr>
            <w:tcW w:w="2665" w:type="dxa"/>
            <w:gridSpan w:val="2"/>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政府采购项目来源</w:t>
            </w:r>
          </w:p>
        </w:tc>
        <w:tc>
          <w:tcPr>
            <w:tcW w:w="1134"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采购物品名称</w:t>
            </w:r>
          </w:p>
        </w:tc>
        <w:tc>
          <w:tcPr>
            <w:tcW w:w="1134"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政府采购目录序号</w:t>
            </w:r>
          </w:p>
        </w:tc>
        <w:tc>
          <w:tcPr>
            <w:tcW w:w="709"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计量  单位</w:t>
            </w:r>
          </w:p>
        </w:tc>
        <w:tc>
          <w:tcPr>
            <w:tcW w:w="850"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w:t>
            </w:r>
          </w:p>
        </w:tc>
        <w:tc>
          <w:tcPr>
            <w:tcW w:w="850"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单价</w:t>
            </w:r>
          </w:p>
        </w:tc>
        <w:tc>
          <w:tcPr>
            <w:tcW w:w="7710" w:type="dxa"/>
            <w:gridSpan w:val="8"/>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政府采购金额（当年</w:t>
            </w:r>
            <w:r>
              <w:rPr>
                <w:rFonts w:hint="eastAsia" w:ascii="方正仿宋简体" w:hAnsi="方正仿宋简体" w:eastAsia="方正仿宋简体" w:cs="方正仿宋简体"/>
                <w:color w:val="000000"/>
                <w:kern w:val="0"/>
                <w:sz w:val="24"/>
                <w:szCs w:val="24"/>
                <w:lang w:val="en-US" w:eastAsia="zh-CN" w:bidi="ar-SA"/>
              </w:rPr>
              <w:t>单位</w:t>
            </w:r>
            <w:r>
              <w:rPr>
                <w:rFonts w:hint="eastAsia" w:ascii="方正仿宋简体" w:hAnsi="方正仿宋简体" w:eastAsia="方正仿宋简体" w:cs="方正仿宋简体"/>
                <w:color w:val="000000"/>
                <w:kern w:val="0"/>
                <w:sz w:val="24"/>
                <w:szCs w:val="24"/>
                <w:lang w:val="en-US" w:eastAsia="uk-UA" w:bidi="ar-SA"/>
              </w:rPr>
              <w:t>预算安排资金）</w:t>
            </w:r>
          </w:p>
        </w:tc>
        <w:tc>
          <w:tcPr>
            <w:tcW w:w="964" w:type="dxa"/>
            <w:vMerge w:val="restart"/>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项目名称</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预算    资金</w:t>
            </w:r>
          </w:p>
        </w:tc>
        <w:tc>
          <w:tcPr>
            <w:tcW w:w="1134"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1134"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709"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850"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850"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合计</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一般公共预算拨款</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基金预算拨款</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国有资本经营预算拨款</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财政专户核拨</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单位    资金</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财政拨    款结转</w:t>
            </w: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非财政    拨款结    转结余</w:t>
            </w:r>
          </w:p>
        </w:tc>
        <w:tc>
          <w:tcPr>
            <w:tcW w:w="964" w:type="dxa"/>
            <w:vMerge w:val="continue"/>
          </w:tcPr>
          <w:p>
            <w:pPr>
              <w:pStyle w:val="20"/>
              <w:rPr>
                <w:rFonts w:hint="eastAsia" w:ascii="方正仿宋简体" w:hAnsi="方正仿宋简体" w:eastAsia="方正仿宋简体" w:cs="方正仿宋简体"/>
                <w:color w:val="000000"/>
                <w:kern w:val="0"/>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8" w:hRule="atLeast"/>
          <w:jc w:val="center"/>
        </w:trPr>
        <w:tc>
          <w:tcPr>
            <w:tcW w:w="1701"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113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113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709"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850"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850"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c>
          <w:tcPr>
            <w:tcW w:w="964"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p>
        </w:tc>
      </w:tr>
    </w:tbl>
    <w:p>
      <w:pPr>
        <w:pStyle w:val="20"/>
        <w:ind w:firstLine="480" w:firstLineChars="200"/>
        <w:jc w:val="both"/>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注：同一采购目录序号的物品，其单价会因配置规格不同而变动，均符合资产配置标准。涉密采购事项按照相关规定执行。</w:t>
      </w:r>
    </w:p>
    <w:p>
      <w:pPr>
        <w:pStyle w:val="20"/>
        <w:ind w:firstLine="480" w:firstLineChars="200"/>
        <w:jc w:val="both"/>
      </w:pPr>
      <w:r>
        <w:rPr>
          <w:rFonts w:hint="eastAsia" w:ascii="方正仿宋简体" w:hAnsi="方正仿宋简体" w:eastAsia="方正仿宋简体" w:cs="方正仿宋简体"/>
          <w:color w:val="000000"/>
          <w:kern w:val="0"/>
          <w:sz w:val="24"/>
          <w:szCs w:val="24"/>
          <w:lang w:val="en-US" w:eastAsia="uk-UA" w:bidi="ar-SA"/>
        </w:rPr>
        <w:t>注：无政府采购预算，空表列示。</w:t>
      </w:r>
    </w:p>
    <w:p>
      <w:pPr>
        <w:ind w:firstLine="640"/>
      </w:pPr>
    </w:p>
    <w:p>
      <w:pPr>
        <w:pStyle w:val="3"/>
        <w:ind w:left="0" w:leftChars="0" w:firstLine="0" w:firstLineChars="0"/>
        <w:rPr>
          <w:rFonts w:hint="eastAsia" w:eastAsia="宋体"/>
          <w:lang w:eastAsia="zh-CN"/>
        </w:rPr>
      </w:pPr>
    </w:p>
    <w:p>
      <w:pPr>
        <w:pStyle w:val="3"/>
        <w:ind w:left="0" w:leftChars="0" w:firstLine="0" w:firstLineChars="0"/>
        <w:rPr>
          <w:rFonts w:hint="eastAsia" w:eastAsia="宋体"/>
          <w:lang w:eastAsia="zh-CN"/>
        </w:rPr>
      </w:pPr>
    </w:p>
    <w:p>
      <w:pPr>
        <w:spacing w:before="10" w:after="10" w:line="570" w:lineRule="exact"/>
        <w:ind w:firstLine="640"/>
        <w:outlineLvl w:val="2"/>
        <w:rPr>
          <w:sz w:val="32"/>
          <w:szCs w:val="32"/>
        </w:rPr>
      </w:pPr>
      <w:bookmarkStart w:id="13" w:name="_Toc_3_3_0000000016"/>
      <w:r>
        <w:rPr>
          <w:rFonts w:ascii="黑体" w:hAnsi="黑体" w:eastAsia="黑体" w:cs="黑体"/>
          <w:color w:val="000000"/>
          <w:sz w:val="32"/>
          <w:szCs w:val="32"/>
        </w:rPr>
        <w:t>七</w:t>
      </w:r>
      <w:r>
        <w:rPr>
          <w:rFonts w:hint="eastAsia" w:ascii="方正黑体简体" w:hAnsi="方正黑体简体" w:eastAsia="方正黑体简体" w:cs="方正黑体简体"/>
          <w:color w:val="000000"/>
          <w:sz w:val="32"/>
          <w:szCs w:val="32"/>
        </w:rPr>
        <w:t>、国有资产信息</w:t>
      </w:r>
      <w:bookmarkEnd w:id="13"/>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遵化市林业局</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（含所属单位）上年末固定资产金额为911.38万元（详见下表）。本年度拟购置固定资产总额为0.00万元，已按要求列入政府采购预算，详见政府采购预算表。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0"/>
        <w:gridCol w:w="3205"/>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color w:val="000000"/>
                <w:kern w:val="0"/>
                <w:sz w:val="24"/>
                <w:szCs w:val="24"/>
                <w:lang w:val="en-US" w:eastAsia="zh-CN" w:bidi="ar-SA"/>
              </w:rPr>
            </w:pPr>
            <w:r>
              <w:rPr>
                <w:rFonts w:hint="eastAsia" w:ascii="方正仿宋简体" w:hAnsi="方正仿宋简体" w:eastAsia="方正仿宋简体" w:cs="方正仿宋简体"/>
                <w:color w:val="000000"/>
                <w:kern w:val="0"/>
                <w:sz w:val="24"/>
                <w:szCs w:val="24"/>
                <w:lang w:val="en-US" w:eastAsia="uk-UA" w:bidi="ar-SA"/>
              </w:rPr>
              <w:t>327遵化市林业局</w:t>
            </w:r>
            <w:r>
              <w:rPr>
                <w:rFonts w:hint="eastAsia" w:ascii="方正仿宋简体" w:hAnsi="方正仿宋简体" w:eastAsia="方正仿宋简体" w:cs="方正仿宋简体"/>
                <w:color w:val="000000"/>
                <w:kern w:val="0"/>
                <w:sz w:val="24"/>
                <w:szCs w:val="24"/>
                <w:lang w:val="en-US" w:eastAsia="zh-CN" w:bidi="ar-SA"/>
              </w:rPr>
              <w:t>单位</w:t>
            </w:r>
          </w:p>
        </w:tc>
        <w:tc>
          <w:tcPr>
            <w:tcW w:w="5669" w:type="dxa"/>
            <w:gridSpan w:val="2"/>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项   目</w:t>
            </w:r>
          </w:p>
        </w:tc>
        <w:tc>
          <w:tcPr>
            <w:tcW w:w="2835"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数量</w:t>
            </w:r>
          </w:p>
        </w:tc>
        <w:tc>
          <w:tcPr>
            <w:tcW w:w="2835" w:type="dxa"/>
            <w:vAlign w:val="center"/>
          </w:tcPr>
          <w:p>
            <w:pPr>
              <w:pStyle w:val="20"/>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资产总额</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911.38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1、房屋（平方米）</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3608</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284.97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　　其中：办公用房（平方米）</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3608</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284.97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2、车辆（台、辆）</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7</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105.03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3、单价在20万元以上的设备</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4、其他固定资产</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171</w:t>
            </w:r>
          </w:p>
        </w:tc>
        <w:tc>
          <w:tcPr>
            <w:tcW w:w="2835" w:type="dxa"/>
            <w:vAlign w:val="center"/>
          </w:tcPr>
          <w:p>
            <w:pPr>
              <w:pStyle w:val="20"/>
              <w:jc w:val="left"/>
              <w:rPr>
                <w:rFonts w:hint="eastAsia" w:ascii="方正仿宋简体" w:hAnsi="方正仿宋简体" w:eastAsia="方正仿宋简体" w:cs="方正仿宋简体"/>
                <w:color w:val="000000"/>
                <w:kern w:val="0"/>
                <w:sz w:val="24"/>
                <w:szCs w:val="24"/>
                <w:lang w:val="en-US" w:eastAsia="uk-UA" w:bidi="ar-SA"/>
              </w:rPr>
            </w:pPr>
            <w:r>
              <w:rPr>
                <w:rFonts w:hint="eastAsia" w:ascii="方正仿宋简体" w:hAnsi="方正仿宋简体" w:eastAsia="方正仿宋简体" w:cs="方正仿宋简体"/>
                <w:color w:val="000000"/>
                <w:kern w:val="0"/>
                <w:sz w:val="24"/>
                <w:szCs w:val="24"/>
                <w:lang w:val="en-US" w:eastAsia="uk-UA" w:bidi="ar-SA"/>
              </w:rPr>
              <w:t>521.38</w:t>
            </w:r>
          </w:p>
        </w:tc>
      </w:tr>
    </w:tbl>
    <w:p>
      <w:pPr>
        <w:ind w:firstLine="640"/>
        <w:jc w:val="left"/>
      </w:pPr>
    </w:p>
    <w:p>
      <w:pPr>
        <w:spacing w:before="10" w:after="10" w:line="570" w:lineRule="exact"/>
        <w:ind w:firstLine="640"/>
        <w:outlineLvl w:val="2"/>
        <w:rPr>
          <w:rFonts w:ascii="方正黑体简体" w:hAnsi="方正黑体简体" w:eastAsia="方正黑体简体" w:cs="方正黑体简体"/>
          <w:kern w:val="2"/>
          <w:sz w:val="32"/>
          <w:szCs w:val="32"/>
          <w:lang w:eastAsia="zh-CN"/>
        </w:rPr>
      </w:pPr>
      <w:bookmarkStart w:id="14" w:name="_Toc_3_3_0000000017"/>
      <w:r>
        <w:rPr>
          <w:rFonts w:ascii="方正黑体简体" w:hAnsi="方正黑体简体" w:eastAsia="方正黑体简体" w:cs="方正黑体简体"/>
          <w:kern w:val="2"/>
          <w:sz w:val="32"/>
          <w:szCs w:val="32"/>
          <w:lang w:eastAsia="zh-CN"/>
        </w:rPr>
        <w:t>八、名词解释</w:t>
      </w:r>
      <w:bookmarkEnd w:id="14"/>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1、一般公共预算拨款收入：指</w:t>
      </w:r>
      <w:r>
        <w:rPr>
          <w:rFonts w:hint="eastAsia" w:ascii="方正仿宋简体" w:hAnsi="方正仿宋简体" w:eastAsia="方正仿宋简体" w:cs="方正仿宋简体"/>
          <w:kern w:val="2"/>
          <w:sz w:val="32"/>
          <w:szCs w:val="32"/>
          <w:highlight w:val="none"/>
          <w:lang w:val="en-US" w:eastAsia="zh-CN"/>
        </w:rPr>
        <w:t>市</w:t>
      </w:r>
      <w:r>
        <w:rPr>
          <w:rFonts w:ascii="方正仿宋简体" w:hAnsi="方正仿宋简体" w:eastAsia="方正仿宋简体" w:cs="方正仿宋简体"/>
          <w:kern w:val="2"/>
          <w:sz w:val="32"/>
          <w:szCs w:val="32"/>
          <w:lang w:eastAsia="zh-CN"/>
        </w:rPr>
        <w:t>级财政当年拨付的资金。</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2、事业收入：指事业单位开展专业业务活动及辅助活动所取得的收入。</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6、上缴上级支出：指下级单位上缴上级的支出。</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7、“三公”经费：纳入省级财政预算管理的“三公”经费，是指省级</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8、机关运行费：是指各</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9、上年结转：指以前年度尚未完成、结转到本年仍按原规定用途继续使用的资金。</w:t>
      </w:r>
    </w:p>
    <w:p>
      <w:pPr>
        <w:spacing w:line="57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pPr>
        <w:spacing w:before="10" w:after="10" w:line="570" w:lineRule="exact"/>
        <w:ind w:firstLine="640"/>
        <w:outlineLvl w:val="2"/>
        <w:rPr>
          <w:sz w:val="32"/>
          <w:szCs w:val="32"/>
        </w:rPr>
      </w:pPr>
      <w:bookmarkStart w:id="15" w:name="_Toc_3_3_0000000018"/>
      <w:r>
        <w:rPr>
          <w:rFonts w:ascii="黑体" w:hAnsi="黑体" w:eastAsia="黑体" w:cs="黑体"/>
          <w:color w:val="000000"/>
          <w:sz w:val="32"/>
          <w:szCs w:val="32"/>
        </w:rPr>
        <w:t>九、其他需要说明的事项</w:t>
      </w:r>
      <w:bookmarkEnd w:id="15"/>
    </w:p>
    <w:p>
      <w:pPr>
        <w:spacing w:line="570" w:lineRule="exact"/>
        <w:ind w:firstLine="560"/>
        <w:rPr>
          <w:rFonts w:ascii="方正仿宋简体" w:hAnsi="方正仿宋简体" w:eastAsia="方正仿宋简体" w:cs="方正仿宋简体"/>
          <w:kern w:val="2"/>
          <w:sz w:val="32"/>
          <w:szCs w:val="32"/>
          <w:lang w:eastAsia="zh-CN"/>
        </w:rPr>
        <w:sectPr>
          <w:pgSz w:w="16840" w:h="11900" w:orient="landscape"/>
          <w:pgMar w:top="680" w:right="454" w:bottom="567" w:left="567" w:header="720" w:footer="720" w:gutter="0"/>
          <w:pgNumType w:fmt="decimal"/>
          <w:cols w:space="720" w:num="1"/>
          <w:rtlGutter w:val="0"/>
        </w:sectPr>
      </w:pPr>
      <w:r>
        <w:rPr>
          <w:rFonts w:ascii="方正仿宋简体" w:hAnsi="方正仿宋简体" w:eastAsia="方正仿宋简体" w:cs="方正仿宋简体"/>
          <w:kern w:val="2"/>
          <w:sz w:val="32"/>
          <w:szCs w:val="32"/>
          <w:lang w:eastAsia="zh-CN"/>
        </w:rPr>
        <w:t>我</w:t>
      </w:r>
      <w:r>
        <w:rPr>
          <w:rFonts w:hint="eastAsia" w:ascii="方正仿宋简体" w:hAnsi="方正仿宋简体" w:eastAsia="方正仿宋简体" w:cs="方正仿宋简体"/>
          <w:kern w:val="2"/>
          <w:sz w:val="32"/>
          <w:szCs w:val="32"/>
          <w:lang w:eastAsia="zh-CN"/>
        </w:rPr>
        <w:t>单位</w:t>
      </w:r>
      <w:r>
        <w:rPr>
          <w:rFonts w:ascii="方正仿宋简体" w:hAnsi="方正仿宋简体" w:eastAsia="方正仿宋简体" w:cs="方正仿宋简体"/>
          <w:kern w:val="2"/>
          <w:sz w:val="32"/>
          <w:szCs w:val="32"/>
          <w:lang w:eastAsia="zh-CN"/>
        </w:rPr>
        <w:t>无其他需要说明的事项</w:t>
      </w:r>
      <w:r>
        <w:rPr>
          <w:rFonts w:hint="eastAsia" w:ascii="方正仿宋简体" w:hAnsi="方正仿宋简体" w:eastAsia="方正仿宋简体" w:cs="方正仿宋简体"/>
          <w:kern w:val="2"/>
          <w:sz w:val="32"/>
          <w:szCs w:val="32"/>
          <w:lang w:eastAsia="zh-CN"/>
        </w:rPr>
        <w:t>。</w:t>
      </w:r>
    </w:p>
    <w:p>
      <w:pPr>
        <w:spacing w:line="570" w:lineRule="exact"/>
        <w:rPr>
          <w:rFonts w:ascii="方正仿宋简体" w:hAnsi="方正仿宋简体" w:eastAsia="方正仿宋简体" w:cs="方正仿宋简体"/>
          <w:kern w:val="2"/>
          <w:sz w:val="32"/>
          <w:szCs w:val="32"/>
          <w:lang w:val="en-US" w:eastAsia="zh-CN" w:bidi="ar-SA"/>
        </w:rPr>
      </w:pPr>
    </w:p>
    <w:sectPr>
      <w:footerReference r:id="rId12" w:type="default"/>
      <w:pgSz w:w="16840" w:h="11900" w:orient="landscape"/>
      <w:pgMar w:top="680" w:right="454" w:bottom="567" w:left="567" w:header="72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YmRlZTVkZWFjZTY2ZDNiNzc4MDdhNjc2NzAwNzEwYTUifQ=="/>
  </w:docVars>
  <w:rsids>
    <w:rsidRoot w:val="00B832E0"/>
    <w:rsid w:val="00005A17"/>
    <w:rsid w:val="000C78A9"/>
    <w:rsid w:val="00200609"/>
    <w:rsid w:val="00291301"/>
    <w:rsid w:val="004E6745"/>
    <w:rsid w:val="004F4697"/>
    <w:rsid w:val="00527EC8"/>
    <w:rsid w:val="00571BBB"/>
    <w:rsid w:val="00665634"/>
    <w:rsid w:val="0088487C"/>
    <w:rsid w:val="008F665C"/>
    <w:rsid w:val="00925278"/>
    <w:rsid w:val="00980900"/>
    <w:rsid w:val="009B5B0E"/>
    <w:rsid w:val="00B70E02"/>
    <w:rsid w:val="00B832E0"/>
    <w:rsid w:val="00B925BA"/>
    <w:rsid w:val="00C0673E"/>
    <w:rsid w:val="00D8072C"/>
    <w:rsid w:val="00EC2A37"/>
    <w:rsid w:val="00EC3FD2"/>
    <w:rsid w:val="00FE6B63"/>
    <w:rsid w:val="01E4322D"/>
    <w:rsid w:val="01F93FB1"/>
    <w:rsid w:val="020902BE"/>
    <w:rsid w:val="025C201D"/>
    <w:rsid w:val="02963DFC"/>
    <w:rsid w:val="045D2E23"/>
    <w:rsid w:val="052A01AF"/>
    <w:rsid w:val="07577FFE"/>
    <w:rsid w:val="07FA4EC3"/>
    <w:rsid w:val="094178C4"/>
    <w:rsid w:val="09616F12"/>
    <w:rsid w:val="09CA4CB9"/>
    <w:rsid w:val="0AF142C5"/>
    <w:rsid w:val="0B5B795F"/>
    <w:rsid w:val="0C1F5E9D"/>
    <w:rsid w:val="0C9A5208"/>
    <w:rsid w:val="0DA558DE"/>
    <w:rsid w:val="0DB422CB"/>
    <w:rsid w:val="0DB47C62"/>
    <w:rsid w:val="0E386E38"/>
    <w:rsid w:val="0E5E1C72"/>
    <w:rsid w:val="0EB36461"/>
    <w:rsid w:val="10DE709A"/>
    <w:rsid w:val="10F11B5A"/>
    <w:rsid w:val="11971BD1"/>
    <w:rsid w:val="119D51A7"/>
    <w:rsid w:val="11E60DF7"/>
    <w:rsid w:val="120C00D0"/>
    <w:rsid w:val="12227866"/>
    <w:rsid w:val="12AF42FA"/>
    <w:rsid w:val="131C57ED"/>
    <w:rsid w:val="133B07D3"/>
    <w:rsid w:val="14185899"/>
    <w:rsid w:val="147A3EAD"/>
    <w:rsid w:val="15053B1F"/>
    <w:rsid w:val="154158D7"/>
    <w:rsid w:val="156D0F2C"/>
    <w:rsid w:val="166A349F"/>
    <w:rsid w:val="167A7865"/>
    <w:rsid w:val="16EC6B6D"/>
    <w:rsid w:val="170359B8"/>
    <w:rsid w:val="172D02A2"/>
    <w:rsid w:val="19252F39"/>
    <w:rsid w:val="1A757254"/>
    <w:rsid w:val="1B2900B8"/>
    <w:rsid w:val="1B44129E"/>
    <w:rsid w:val="1B7A4AEE"/>
    <w:rsid w:val="1C02224A"/>
    <w:rsid w:val="1C3F7586"/>
    <w:rsid w:val="1C792A17"/>
    <w:rsid w:val="1D7C0366"/>
    <w:rsid w:val="1DC17F54"/>
    <w:rsid w:val="1DCA7D1D"/>
    <w:rsid w:val="1E2F6B59"/>
    <w:rsid w:val="1EBF50EA"/>
    <w:rsid w:val="1F836BAB"/>
    <w:rsid w:val="20623B3D"/>
    <w:rsid w:val="20757D89"/>
    <w:rsid w:val="23C016DA"/>
    <w:rsid w:val="23E0059C"/>
    <w:rsid w:val="24D6035C"/>
    <w:rsid w:val="25117A4F"/>
    <w:rsid w:val="25AC0A67"/>
    <w:rsid w:val="26325A66"/>
    <w:rsid w:val="26971D6D"/>
    <w:rsid w:val="273F48DE"/>
    <w:rsid w:val="278345D9"/>
    <w:rsid w:val="27C44DE4"/>
    <w:rsid w:val="27F86B7B"/>
    <w:rsid w:val="280A7165"/>
    <w:rsid w:val="287D1FD6"/>
    <w:rsid w:val="28A644E9"/>
    <w:rsid w:val="292C0A57"/>
    <w:rsid w:val="29982F58"/>
    <w:rsid w:val="2A1C0F07"/>
    <w:rsid w:val="2A366699"/>
    <w:rsid w:val="2C215FAB"/>
    <w:rsid w:val="2C5A1E8A"/>
    <w:rsid w:val="2C7C3486"/>
    <w:rsid w:val="2D143BBB"/>
    <w:rsid w:val="2DFE6217"/>
    <w:rsid w:val="2E0917A2"/>
    <w:rsid w:val="2EAE4268"/>
    <w:rsid w:val="2FA63290"/>
    <w:rsid w:val="2FCD285A"/>
    <w:rsid w:val="30630146"/>
    <w:rsid w:val="30F57DBC"/>
    <w:rsid w:val="32A52E8C"/>
    <w:rsid w:val="32AB72CC"/>
    <w:rsid w:val="339B7797"/>
    <w:rsid w:val="35932B0F"/>
    <w:rsid w:val="36010C57"/>
    <w:rsid w:val="36D44741"/>
    <w:rsid w:val="36E82E93"/>
    <w:rsid w:val="375F5E05"/>
    <w:rsid w:val="376637C1"/>
    <w:rsid w:val="37F2143B"/>
    <w:rsid w:val="384F4255"/>
    <w:rsid w:val="39377434"/>
    <w:rsid w:val="39862186"/>
    <w:rsid w:val="3AA15DEC"/>
    <w:rsid w:val="3AB254EE"/>
    <w:rsid w:val="3ADD1ED3"/>
    <w:rsid w:val="3B7F7549"/>
    <w:rsid w:val="3CD218F9"/>
    <w:rsid w:val="3CE753A4"/>
    <w:rsid w:val="3D112421"/>
    <w:rsid w:val="3E3131AB"/>
    <w:rsid w:val="3EAA3734"/>
    <w:rsid w:val="3EC5772B"/>
    <w:rsid w:val="405D597D"/>
    <w:rsid w:val="407850DF"/>
    <w:rsid w:val="40980764"/>
    <w:rsid w:val="40E90FBF"/>
    <w:rsid w:val="40FA0302"/>
    <w:rsid w:val="410C5102"/>
    <w:rsid w:val="42326584"/>
    <w:rsid w:val="43E43BEB"/>
    <w:rsid w:val="44284795"/>
    <w:rsid w:val="448B0D0B"/>
    <w:rsid w:val="451B5D2F"/>
    <w:rsid w:val="45BA5553"/>
    <w:rsid w:val="4685463C"/>
    <w:rsid w:val="46C43ABA"/>
    <w:rsid w:val="47305478"/>
    <w:rsid w:val="48200EEA"/>
    <w:rsid w:val="487A30EC"/>
    <w:rsid w:val="49A62C82"/>
    <w:rsid w:val="49C97F8D"/>
    <w:rsid w:val="4A021FF3"/>
    <w:rsid w:val="4A2927E1"/>
    <w:rsid w:val="4A5D4EF8"/>
    <w:rsid w:val="4B754C50"/>
    <w:rsid w:val="4C7C5D86"/>
    <w:rsid w:val="4C8A4811"/>
    <w:rsid w:val="4DF751D5"/>
    <w:rsid w:val="4E2F3282"/>
    <w:rsid w:val="4E323E4B"/>
    <w:rsid w:val="4E4D7031"/>
    <w:rsid w:val="4E916F1E"/>
    <w:rsid w:val="4ED4505D"/>
    <w:rsid w:val="4F8B4ACB"/>
    <w:rsid w:val="50A0169A"/>
    <w:rsid w:val="52172B26"/>
    <w:rsid w:val="52D805B9"/>
    <w:rsid w:val="532103EE"/>
    <w:rsid w:val="53C25DCC"/>
    <w:rsid w:val="53D333E6"/>
    <w:rsid w:val="540B527C"/>
    <w:rsid w:val="55AA1939"/>
    <w:rsid w:val="57A736F7"/>
    <w:rsid w:val="580F0E27"/>
    <w:rsid w:val="58CA5552"/>
    <w:rsid w:val="5A374880"/>
    <w:rsid w:val="5ADA1C4D"/>
    <w:rsid w:val="5D2031FA"/>
    <w:rsid w:val="5D622538"/>
    <w:rsid w:val="5DA42E79"/>
    <w:rsid w:val="5DB53BCC"/>
    <w:rsid w:val="5DEB5F1F"/>
    <w:rsid w:val="5E181A42"/>
    <w:rsid w:val="5E4A533B"/>
    <w:rsid w:val="5EF8303D"/>
    <w:rsid w:val="5F3B0A95"/>
    <w:rsid w:val="604E5A6A"/>
    <w:rsid w:val="61707A15"/>
    <w:rsid w:val="627604AD"/>
    <w:rsid w:val="6382653C"/>
    <w:rsid w:val="63BC2837"/>
    <w:rsid w:val="645B3A93"/>
    <w:rsid w:val="64CB4E02"/>
    <w:rsid w:val="6531690D"/>
    <w:rsid w:val="66E62374"/>
    <w:rsid w:val="67B81568"/>
    <w:rsid w:val="6889578C"/>
    <w:rsid w:val="696372B1"/>
    <w:rsid w:val="6A2212A4"/>
    <w:rsid w:val="6AB22164"/>
    <w:rsid w:val="6B2E61E0"/>
    <w:rsid w:val="6B563D6D"/>
    <w:rsid w:val="6D0F73BB"/>
    <w:rsid w:val="6D2906FD"/>
    <w:rsid w:val="6DD51C48"/>
    <w:rsid w:val="6DDB1B0C"/>
    <w:rsid w:val="6EEF562D"/>
    <w:rsid w:val="6F371ACF"/>
    <w:rsid w:val="6F3F1CF3"/>
    <w:rsid w:val="704D17D9"/>
    <w:rsid w:val="705160B5"/>
    <w:rsid w:val="705B4C70"/>
    <w:rsid w:val="70D311C0"/>
    <w:rsid w:val="71D76157"/>
    <w:rsid w:val="727015D7"/>
    <w:rsid w:val="73B70925"/>
    <w:rsid w:val="746031F6"/>
    <w:rsid w:val="74BE7A92"/>
    <w:rsid w:val="75167110"/>
    <w:rsid w:val="75362A6A"/>
    <w:rsid w:val="75A35218"/>
    <w:rsid w:val="774B1AB0"/>
    <w:rsid w:val="775546DD"/>
    <w:rsid w:val="77850340"/>
    <w:rsid w:val="7800296C"/>
    <w:rsid w:val="7B6F16A7"/>
    <w:rsid w:val="7C3B6C58"/>
    <w:rsid w:val="7CFC0263"/>
    <w:rsid w:val="7D5C4EAB"/>
    <w:rsid w:val="7D644EE6"/>
    <w:rsid w:val="7D6C5E8D"/>
    <w:rsid w:val="7E6E6DF7"/>
    <w:rsid w:val="7E7538B7"/>
    <w:rsid w:val="7F065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autoRedefine/>
    <w:qFormat/>
    <w:uiPriority w:val="0"/>
    <w:pPr>
      <w:spacing w:before="120"/>
      <w:ind w:firstLine="560"/>
    </w:pPr>
    <w:rPr>
      <w:rFonts w:eastAsia="方正仿宋_GBK" w:cs="Times New Roman"/>
      <w:color w:val="000000"/>
      <w:sz w:val="28"/>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header" Target="header2.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header" Target="header1.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102" textRotate="1"/>
    <customShpInfo spid="_x0000_s4100"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2023-02-28T11:04:05Z</dcterms:created>
  <dcterms:modified xsi:type="dcterms:W3CDTF">2023-02-28T03:04:05Z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2023-02-28T11:04:05Z</dcterms:created>
  <dcterms:modified xsi:type="dcterms:W3CDTF">2023-02-28T03:04:05Z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2023-02-28T11:03:36Z</dcterms:created>
  <dcterms:modified xsi:type="dcterms:W3CDTF">2023-02-28T03:03:36Z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2023-02-28T11:03:39Z</dcterms:created>
  <dcterms:modified xsi:type="dcterms:W3CDTF">2023-02-28T03:03:39Z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44AF632-BD6D-4768-8F23-A0FCD5535D34}">
  <ds:schemaRefs/>
</ds:datastoreItem>
</file>

<file path=customXml/itemProps11.xml><?xml version="1.0" encoding="utf-8"?>
<ds:datastoreItem xmlns:ds="http://schemas.openxmlformats.org/officeDocument/2006/customXml" ds:itemID="{206700EB-B008-4BC7-8BDE-429490900BB4}">
  <ds:schemaRefs/>
</ds:datastoreItem>
</file>

<file path=customXml/itemProps12.xml><?xml version="1.0" encoding="utf-8"?>
<ds:datastoreItem xmlns:ds="http://schemas.openxmlformats.org/officeDocument/2006/customXml" ds:itemID="{A1D8BAE2-0637-4E0C-A9CB-54EEB2FDA729}">
  <ds:schemaRefs/>
</ds:datastoreItem>
</file>

<file path=customXml/itemProps13.xml><?xml version="1.0" encoding="utf-8"?>
<ds:datastoreItem xmlns:ds="http://schemas.openxmlformats.org/officeDocument/2006/customXml" ds:itemID="{8DB623DE-1516-48E5-B305-F523315BE536}">
  <ds:schemaRefs/>
</ds:datastoreItem>
</file>

<file path=customXml/itemProps14.xml><?xml version="1.0" encoding="utf-8"?>
<ds:datastoreItem xmlns:ds="http://schemas.openxmlformats.org/officeDocument/2006/customXml" ds:itemID="{7AD1F3E6-A16B-400B-8289-9377E678AA99}">
  <ds:schemaRefs/>
</ds:datastoreItem>
</file>

<file path=customXml/itemProps15.xml><?xml version="1.0" encoding="utf-8"?>
<ds:datastoreItem xmlns:ds="http://schemas.openxmlformats.org/officeDocument/2006/customXml" ds:itemID="{958318AF-6BAB-4DF4-8177-01A0341E2878}">
  <ds:schemaRefs/>
</ds:datastoreItem>
</file>

<file path=customXml/itemProps16.xml><?xml version="1.0" encoding="utf-8"?>
<ds:datastoreItem xmlns:ds="http://schemas.openxmlformats.org/officeDocument/2006/customXml" ds:itemID="{36DBE8A7-FA5B-48E2-BBE8-9867356E929E}">
  <ds:schemaRefs/>
</ds:datastoreItem>
</file>

<file path=customXml/itemProps17.xml><?xml version="1.0" encoding="utf-8"?>
<ds:datastoreItem xmlns:ds="http://schemas.openxmlformats.org/officeDocument/2006/customXml" ds:itemID="{DB4EFF4A-1E54-4B30-A354-C4A942FB3EDA}">
  <ds:schemaRefs/>
</ds:datastoreItem>
</file>

<file path=customXml/itemProps18.xml><?xml version="1.0" encoding="utf-8"?>
<ds:datastoreItem xmlns:ds="http://schemas.openxmlformats.org/officeDocument/2006/customXml" ds:itemID="{5D78BBCE-338C-464F-BE91-ABA9A7048DA9}">
  <ds:schemaRefs/>
</ds:datastoreItem>
</file>

<file path=customXml/itemProps19.xml><?xml version="1.0" encoding="utf-8"?>
<ds:datastoreItem xmlns:ds="http://schemas.openxmlformats.org/officeDocument/2006/customXml" ds:itemID="{FAF51CB0-CAAE-4DA1-A4FA-4707B8F30B3F}">
  <ds:schemaRefs/>
</ds:datastoreItem>
</file>

<file path=customXml/itemProps2.xml><?xml version="1.0" encoding="utf-8"?>
<ds:datastoreItem xmlns:ds="http://schemas.openxmlformats.org/officeDocument/2006/customXml" ds:itemID="{B73D3094-4E34-47CD-8FFC-37256FECC7B9}">
  <ds:schemaRefs/>
</ds:datastoreItem>
</file>

<file path=customXml/itemProps20.xml><?xml version="1.0" encoding="utf-8"?>
<ds:datastoreItem xmlns:ds="http://schemas.openxmlformats.org/officeDocument/2006/customXml" ds:itemID="{D1E4712F-4332-4875-93A4-FF28B6882F7F}">
  <ds:schemaRefs/>
</ds:datastoreItem>
</file>

<file path=customXml/itemProps21.xml><?xml version="1.0" encoding="utf-8"?>
<ds:datastoreItem xmlns:ds="http://schemas.openxmlformats.org/officeDocument/2006/customXml" ds:itemID="{C8AB308F-2152-4D52-B875-F927C40E584F}">
  <ds:schemaRefs/>
</ds:datastoreItem>
</file>

<file path=customXml/itemProps22.xml><?xml version="1.0" encoding="utf-8"?>
<ds:datastoreItem xmlns:ds="http://schemas.openxmlformats.org/officeDocument/2006/customXml" ds:itemID="{93E2DE4B-DAD7-4A9E-9272-EAC0C25AC606}">
  <ds:schemaRefs/>
</ds:datastoreItem>
</file>

<file path=customXml/itemProps23.xml><?xml version="1.0" encoding="utf-8"?>
<ds:datastoreItem xmlns:ds="http://schemas.openxmlformats.org/officeDocument/2006/customXml" ds:itemID="{E415FB28-5ACA-4B43-88FC-F64D82687A39}">
  <ds:schemaRefs/>
</ds:datastoreItem>
</file>

<file path=customXml/itemProps24.xml><?xml version="1.0" encoding="utf-8"?>
<ds:datastoreItem xmlns:ds="http://schemas.openxmlformats.org/officeDocument/2006/customXml" ds:itemID="{6F788917-C993-4E79-955D-114467FBCDF0}">
  <ds:schemaRefs/>
</ds:datastoreItem>
</file>

<file path=customXml/itemProps25.xml><?xml version="1.0" encoding="utf-8"?>
<ds:datastoreItem xmlns:ds="http://schemas.openxmlformats.org/officeDocument/2006/customXml" ds:itemID="{BAD18C14-FB85-406D-B15E-60934F135462}">
  <ds:schemaRefs/>
</ds:datastoreItem>
</file>

<file path=customXml/itemProps26.xml><?xml version="1.0" encoding="utf-8"?>
<ds:datastoreItem xmlns:ds="http://schemas.openxmlformats.org/officeDocument/2006/customXml" ds:itemID="{8C338EC1-A714-483C-B10C-5E54660DA4B5}">
  <ds:schemaRefs/>
</ds:datastoreItem>
</file>

<file path=customXml/itemProps27.xml><?xml version="1.0" encoding="utf-8"?>
<ds:datastoreItem xmlns:ds="http://schemas.openxmlformats.org/officeDocument/2006/customXml" ds:itemID="{27E9F0A9-4676-4EA1-A86A-A2D343E7323A}">
  <ds:schemaRefs/>
</ds:datastoreItem>
</file>

<file path=customXml/itemProps28.xml><?xml version="1.0" encoding="utf-8"?>
<ds:datastoreItem xmlns:ds="http://schemas.openxmlformats.org/officeDocument/2006/customXml" ds:itemID="{D6DB2F4F-F871-4DF7-8FB3-9DCB4CBC43D2}">
  <ds:schemaRefs/>
</ds:datastoreItem>
</file>

<file path=customXml/itemProps29.xml><?xml version="1.0" encoding="utf-8"?>
<ds:datastoreItem xmlns:ds="http://schemas.openxmlformats.org/officeDocument/2006/customXml" ds:itemID="{9135B4B9-477B-493A-89C9-D503E5F543CA}">
  <ds:schemaRefs/>
</ds:datastoreItem>
</file>

<file path=customXml/itemProps3.xml><?xml version="1.0" encoding="utf-8"?>
<ds:datastoreItem xmlns:ds="http://schemas.openxmlformats.org/officeDocument/2006/customXml" ds:itemID="{5021374C-157F-4B70-8C85-41CCEE819390}">
  <ds:schemaRefs/>
</ds:datastoreItem>
</file>

<file path=customXml/itemProps30.xml><?xml version="1.0" encoding="utf-8"?>
<ds:datastoreItem xmlns:ds="http://schemas.openxmlformats.org/officeDocument/2006/customXml" ds:itemID="{758A486F-EC65-436E-8F97-DD1066D2CAD8}">
  <ds:schemaRefs/>
</ds:datastoreItem>
</file>

<file path=customXml/itemProps31.xml><?xml version="1.0" encoding="utf-8"?>
<ds:datastoreItem xmlns:ds="http://schemas.openxmlformats.org/officeDocument/2006/customXml" ds:itemID="{8049B767-579E-4032-93EE-66D8942B31A3}">
  <ds:schemaRefs/>
</ds:datastoreItem>
</file>

<file path=customXml/itemProps4.xml><?xml version="1.0" encoding="utf-8"?>
<ds:datastoreItem xmlns:ds="http://schemas.openxmlformats.org/officeDocument/2006/customXml" ds:itemID="{EB25D4A9-1026-4AF5-A8EE-AB98C80B642F}">
  <ds:schemaRefs/>
</ds:datastoreItem>
</file>

<file path=customXml/itemProps5.xml><?xml version="1.0" encoding="utf-8"?>
<ds:datastoreItem xmlns:ds="http://schemas.openxmlformats.org/officeDocument/2006/customXml" ds:itemID="{561B69C1-C6E8-41A8-8027-DD14120FFB87}">
  <ds:schemaRefs/>
</ds:datastoreItem>
</file>

<file path=customXml/itemProps6.xml><?xml version="1.0" encoding="utf-8"?>
<ds:datastoreItem xmlns:ds="http://schemas.openxmlformats.org/officeDocument/2006/customXml" ds:itemID="{F3CD11E9-34ED-492D-9454-02BAB10BC5F4}">
  <ds:schemaRefs/>
</ds:datastoreItem>
</file>

<file path=customXml/itemProps7.xml><?xml version="1.0" encoding="utf-8"?>
<ds:datastoreItem xmlns:ds="http://schemas.openxmlformats.org/officeDocument/2006/customXml" ds:itemID="{53120F58-23F5-4B7B-9438-75F93EDC1F19}">
  <ds:schemaRefs/>
</ds:datastoreItem>
</file>

<file path=customXml/itemProps8.xml><?xml version="1.0" encoding="utf-8"?>
<ds:datastoreItem xmlns:ds="http://schemas.openxmlformats.org/officeDocument/2006/customXml" ds:itemID="{6EAEEF1C-F165-42E7-B891-75A2E8B08389}">
  <ds:schemaRefs/>
</ds:datastoreItem>
</file>

<file path=customXml/itemProps9.xml><?xml version="1.0" encoding="utf-8"?>
<ds:datastoreItem xmlns:ds="http://schemas.openxmlformats.org/officeDocument/2006/customXml" ds:itemID="{F38B67D4-951A-4A08-ACA5-77207A1FD48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10950</Words>
  <Characters>13048</Characters>
  <Lines>187</Lines>
  <Paragraphs>52</Paragraphs>
  <TotalTime>2</TotalTime>
  <ScaleCrop>false</ScaleCrop>
  <LinksUpToDate>false</LinksUpToDate>
  <CharactersWithSpaces>13529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2023-03-11T07:29:00Z</dcterms:created>
  <dc:creator>lenovo</dc:creator>
  <cp:lastModifiedBy>枫净</cp:lastModifiedBy>
  <dcterms:modified xsi:type="dcterms:W3CDTF">2024-03-19T02:12:43Z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C0CBA65046204930A36DAB244220DAFC</vt:lpwstr>
  </property>
</Properties>
</file>