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r>
        <w:rPr>
          <w:rFonts w:hint="eastAsia" w:ascii="方正小标宋_GBK" w:eastAsia="方正小标宋_GBK"/>
          <w:sz w:val="44"/>
          <w:lang w:val="en-US" w:eastAsia="zh-CN"/>
        </w:rPr>
        <w:t>遵化市国营东陵林场</w:t>
      </w:r>
      <w:r>
        <w:rPr>
          <w:rFonts w:hint="eastAsia" w:ascii="方正小标宋_GBK" w:eastAsia="方正小标宋_GBK"/>
          <w:sz w:val="44"/>
        </w:rPr>
        <w:t>2021年预算信息公开情况说明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val="en-US" w:eastAsia="zh-CN"/>
        </w:rPr>
        <w:t>中华人民共和国</w:t>
      </w:r>
      <w:r>
        <w:rPr>
          <w:rFonts w:hint="eastAsia" w:eastAsia="方正仿宋_GBK"/>
          <w:sz w:val="28"/>
        </w:rPr>
        <w:t>预算法》、《地方预决算公开操作规程》和《河北省省级预算公开办法》规定，现将</w:t>
      </w:r>
      <w:r>
        <w:rPr>
          <w:rFonts w:hint="eastAsia" w:eastAsia="方正仿宋_GBK"/>
          <w:sz w:val="28"/>
          <w:lang w:val="en-US" w:eastAsia="zh-CN"/>
        </w:rPr>
        <w:t>遵化市国营东陵林场</w:t>
      </w:r>
      <w:r>
        <w:rPr>
          <w:rFonts w:hint="eastAsia" w:eastAsia="方正仿宋_GBK"/>
          <w:sz w:val="28"/>
        </w:rPr>
        <w:t>2021年预算公开如下：</w:t>
      </w:r>
    </w:p>
    <w:p>
      <w:pPr>
        <w:spacing w:before="156" w:beforeLines="50" w:after="156" w:afterLines="50"/>
        <w:ind w:firstLine="640" w:firstLineChars="200"/>
        <w:jc w:val="left"/>
        <w:outlineLvl w:val="2"/>
        <w:rPr>
          <w:rFonts w:hAnsi="宋体"/>
          <w:sz w:val="32"/>
        </w:rPr>
      </w:pPr>
      <w:bookmarkStart w:id="0" w:name="_Toc66695128"/>
      <w:r>
        <w:rPr>
          <w:rFonts w:hint="eastAsia" w:ascii="黑体" w:hAnsi="黑体" w:eastAsia="黑体"/>
          <w:sz w:val="32"/>
        </w:rPr>
        <w:t>一、</w:t>
      </w:r>
      <w:r>
        <w:rPr>
          <w:rFonts w:hint="eastAsia" w:ascii="黑体" w:hAnsi="黑体" w:eastAsia="黑体"/>
          <w:sz w:val="32"/>
          <w:lang w:val="en-US" w:eastAsia="zh-CN"/>
        </w:rPr>
        <w:t>单位</w:t>
      </w:r>
      <w:r>
        <w:rPr>
          <w:rFonts w:hint="eastAsia" w:ascii="黑体" w:hAnsi="黑体" w:eastAsia="黑体"/>
          <w:sz w:val="32"/>
        </w:rPr>
        <w:t>职责及机构设置情况</w:t>
      </w:r>
      <w:bookmarkEnd w:id="0"/>
      <w:bookmarkStart w:id="9" w:name="_GoBack"/>
      <w:bookmarkEnd w:id="9"/>
    </w:p>
    <w:p>
      <w:pPr>
        <w:ind w:firstLine="643" w:firstLineChars="200"/>
        <w:jc w:val="left"/>
        <w:rPr>
          <w:rFonts w:hAnsi="宋体"/>
          <w:b/>
          <w:sz w:val="32"/>
        </w:rPr>
      </w:pPr>
      <w:r>
        <w:rPr>
          <w:rFonts w:hint="eastAsia" w:ascii="方正楷体_GBK" w:eastAsia="方正楷体_GBK"/>
          <w:b/>
          <w:sz w:val="32"/>
          <w:lang w:val="en-US" w:eastAsia="zh-CN"/>
        </w:rPr>
        <w:t>单位</w:t>
      </w:r>
      <w:r>
        <w:rPr>
          <w:rFonts w:hint="eastAsia" w:ascii="方正楷体_GBK" w:eastAsia="方正楷体_GBK"/>
          <w:b/>
          <w:sz w:val="32"/>
        </w:rPr>
        <w:t>职责：</w:t>
      </w:r>
    </w:p>
    <w:p>
      <w:pPr>
        <w:spacing w:line="500" w:lineRule="exact"/>
        <w:ind w:firstLine="560" w:firstLineChars="200"/>
        <w:jc w:val="left"/>
        <w:rPr>
          <w:rFonts w:eastAsia="方正仿宋_GBK"/>
          <w:sz w:val="28"/>
        </w:rPr>
      </w:pPr>
      <w:r>
        <w:rPr>
          <w:rFonts w:eastAsia="方正仿宋_GBK"/>
          <w:sz w:val="28"/>
        </w:rPr>
        <w:t>根据《</w:t>
      </w:r>
      <w:r>
        <w:rPr>
          <w:rFonts w:hint="eastAsia" w:eastAsia="方正仿宋_GBK"/>
          <w:sz w:val="28"/>
          <w:lang w:val="en-US" w:eastAsia="zh-CN"/>
        </w:rPr>
        <w:t>遵化市国营东陵林场</w:t>
      </w:r>
      <w:r>
        <w:rPr>
          <w:rFonts w:eastAsia="方正仿宋_GBK"/>
          <w:sz w:val="28"/>
        </w:rPr>
        <w:t>职能配置、内设机构和人员编制规定》，</w:t>
      </w:r>
      <w:r>
        <w:rPr>
          <w:rFonts w:hint="eastAsia" w:eastAsia="方正仿宋_GBK"/>
          <w:sz w:val="28"/>
          <w:lang w:val="en-US" w:eastAsia="zh-CN"/>
        </w:rPr>
        <w:t>遵化市国营东陵林场</w:t>
      </w:r>
      <w:r>
        <w:rPr>
          <w:rFonts w:eastAsia="方正仿宋_GBK"/>
          <w:sz w:val="28"/>
        </w:rPr>
        <w:t>的主要职责是：</w:t>
      </w:r>
    </w:p>
    <w:p>
      <w:pPr>
        <w:spacing w:line="500" w:lineRule="exact"/>
        <w:ind w:firstLine="560" w:firstLineChars="200"/>
        <w:jc w:val="left"/>
        <w:rPr>
          <w:rFonts w:eastAsia="方正仿宋_GBK"/>
          <w:sz w:val="28"/>
        </w:rPr>
      </w:pPr>
      <w:r>
        <w:rPr>
          <w:rFonts w:eastAsia="方正仿宋_GBK"/>
          <w:sz w:val="28"/>
        </w:rPr>
        <w:t>1、组织全县造林绿化、退耕还林、防沙治沙、防治水土流失、应对气候变化等工作，组织沙尘暴灾害预测预报和应急处置。加强森林资源保护管理；</w:t>
      </w:r>
    </w:p>
    <w:p>
      <w:pPr>
        <w:spacing w:line="500" w:lineRule="exact"/>
        <w:ind w:firstLine="560" w:firstLineChars="200"/>
        <w:jc w:val="left"/>
        <w:rPr>
          <w:rFonts w:eastAsia="方正仿宋_GBK"/>
          <w:sz w:val="28"/>
        </w:rPr>
      </w:pPr>
      <w:r>
        <w:rPr>
          <w:rFonts w:eastAsia="方正仿宋_GBK"/>
          <w:sz w:val="28"/>
        </w:rPr>
        <w:t>2、组织全县林业及其生态建设的科技创新和技术示范推广，为林业生态发展和林产品生产提供公共支撑。</w:t>
      </w:r>
    </w:p>
    <w:p>
      <w:pPr>
        <w:spacing w:line="500" w:lineRule="exact"/>
        <w:ind w:firstLine="560" w:firstLineChars="200"/>
        <w:jc w:val="left"/>
        <w:rPr>
          <w:rFonts w:eastAsia="方正仿宋_GBK"/>
          <w:sz w:val="28"/>
        </w:rPr>
      </w:pPr>
      <w:r>
        <w:rPr>
          <w:rFonts w:eastAsia="方正仿宋_GBK"/>
          <w:sz w:val="28"/>
        </w:rPr>
        <w:t xml:space="preserve">3、组织、协调全县森林火灾的预防与扑救工作，承担全县森林防火指挥部的具体工作。组织开展林业有害生物的防治、检疫工作。               </w:t>
      </w:r>
    </w:p>
    <w:p>
      <w:pPr>
        <w:spacing w:line="500" w:lineRule="exact"/>
        <w:ind w:firstLine="280" w:firstLineChars="100"/>
        <w:jc w:val="left"/>
        <w:rPr>
          <w:rFonts w:eastAsia="方正仿宋_GBK"/>
          <w:sz w:val="28"/>
        </w:rPr>
      </w:pPr>
      <w:r>
        <w:rPr>
          <w:rFonts w:eastAsia="方正仿宋_GBK"/>
          <w:sz w:val="28"/>
        </w:rPr>
        <w:t xml:space="preserve">  4、依法依规履行机关日常管理工作。</w:t>
      </w:r>
    </w:p>
    <w:p>
      <w:pPr>
        <w:spacing w:line="500" w:lineRule="exact"/>
        <w:ind w:firstLine="560" w:firstLineChars="200"/>
        <w:jc w:val="left"/>
        <w:rPr>
          <w:rFonts w:eastAsia="方正仿宋_GBK"/>
          <w:sz w:val="28"/>
        </w:rPr>
      </w:pPr>
    </w:p>
    <w:p>
      <w:pPr>
        <w:ind w:firstLine="643" w:firstLineChars="200"/>
        <w:jc w:val="left"/>
        <w:rPr>
          <w:rFonts w:hint="eastAsia" w:ascii="方正楷体_GBK" w:eastAsia="方正楷体_GBK"/>
          <w:b/>
          <w:sz w:val="32"/>
        </w:rPr>
      </w:pPr>
      <w:r>
        <w:rPr>
          <w:rFonts w:hint="eastAsia" w:ascii="方正楷体_GBK" w:eastAsia="方正楷体_GBK"/>
          <w:b/>
          <w:sz w:val="32"/>
        </w:rPr>
        <w:t>机构设置：</w:t>
      </w:r>
    </w:p>
    <w:p>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textAlignment w:val="auto"/>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办公室负责林场文件材料起草、审核、印发；上报下达和信息工作；档案管理；职称评定、福利、保险、调资及工资管理；干部职工业务培训考核；劳动保护；老干部服务管理。</w:t>
      </w: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生产技术科负责林场基本建设、产业发展、专项贷款等项目的立项申报、咨询、论证等工作；负责林场国有资产的监督；负责制定林业管理有关规章制度的制定；对林区树木进行病虫害的防治工作；承担上级相关部门的专业技术课题研究工作。</w:t>
      </w: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财务科负责林场财务预决算、财务信息、统计分析；年度财务预决算的编制、报表；工资福利的发放。</w:t>
      </w: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森林消防队负责林区、陵区范围内的防火检查及一般火险的灭火工作；负责上级交办的其他森林消防有关工作。</w:t>
      </w:r>
    </w:p>
    <w:p>
      <w:pPr>
        <w:ind w:firstLine="560" w:firstLineChars="200"/>
        <w:rPr>
          <w:rFonts w:hint="eastAsia" w:ascii="Times New Roman" w:hAnsi="Times New Roman" w:eastAsia="方正仿宋_GBK" w:cs="Times New Roman"/>
          <w:kern w:val="2"/>
          <w:sz w:val="28"/>
          <w:szCs w:val="24"/>
          <w:lang w:val="en-US" w:eastAsia="zh-CN" w:bidi="ar-SA"/>
        </w:rPr>
      </w:pPr>
      <w:r>
        <w:rPr>
          <w:rFonts w:hint="eastAsia" w:eastAsia="方正仿宋_GBK" w:cs="Times New Roman"/>
          <w:kern w:val="2"/>
          <w:sz w:val="28"/>
          <w:szCs w:val="24"/>
          <w:lang w:val="en-US" w:eastAsia="zh-CN" w:bidi="ar-SA"/>
        </w:rPr>
        <w:t>遵化市</w:t>
      </w:r>
      <w:r>
        <w:rPr>
          <w:rFonts w:hint="eastAsia" w:ascii="Times New Roman" w:hAnsi="Times New Roman" w:eastAsia="方正仿宋_GBK" w:cs="Times New Roman"/>
          <w:kern w:val="2"/>
          <w:sz w:val="28"/>
          <w:szCs w:val="24"/>
          <w:lang w:val="en-US" w:eastAsia="zh-CN" w:bidi="ar-SA"/>
        </w:rPr>
        <w:t>国营东陵林场事业编制80名。其中场长1名，副场长2名，内设机构领导职数10名。</w:t>
      </w:r>
    </w:p>
    <w:p>
      <w:pPr>
        <w:ind w:firstLine="643" w:firstLineChars="200"/>
        <w:jc w:val="left"/>
        <w:rPr>
          <w:rFonts w:hint="eastAsia" w:ascii="方正楷体_GBK" w:eastAsia="方正楷体_GBK"/>
          <w:b/>
          <w:sz w:val="32"/>
        </w:rPr>
      </w:pPr>
    </w:p>
    <w:p>
      <w:pPr>
        <w:jc w:val="center"/>
        <w:rPr>
          <w:rFonts w:hAnsi="宋体"/>
          <w:sz w:val="32"/>
        </w:rPr>
      </w:pPr>
      <w:r>
        <w:rPr>
          <w:rFonts w:hint="eastAsia" w:ascii="方正小标宋_GBK" w:eastAsia="方正小标宋_GBK"/>
          <w:sz w:val="32"/>
          <w:lang w:val="en-US" w:eastAsia="zh-CN"/>
        </w:rPr>
        <w:t>单位</w:t>
      </w:r>
      <w:r>
        <w:rPr>
          <w:rFonts w:hint="eastAsia" w:ascii="方正小标宋_GBK" w:eastAsia="方正小标宋_GBK"/>
          <w:sz w:val="32"/>
        </w:rPr>
        <w:t>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遵化市国营东陵林场</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bl>
    <w:p>
      <w:pPr>
        <w:spacing w:before="156" w:beforeLines="50" w:after="156" w:afterLines="50"/>
        <w:ind w:firstLine="640" w:firstLineChars="200"/>
        <w:jc w:val="left"/>
        <w:outlineLvl w:val="2"/>
        <w:rPr>
          <w:rFonts w:hAnsi="宋体"/>
          <w:sz w:val="32"/>
        </w:rPr>
      </w:pPr>
      <w:bookmarkStart w:id="1" w:name="_Toc66695129"/>
      <w:r>
        <w:rPr>
          <w:rFonts w:hint="eastAsia" w:ascii="黑体" w:hAnsi="黑体" w:eastAsia="黑体"/>
          <w:sz w:val="32"/>
        </w:rPr>
        <w:t>二、</w:t>
      </w:r>
      <w:r>
        <w:rPr>
          <w:rFonts w:hint="eastAsia" w:ascii="黑体" w:hAnsi="黑体" w:eastAsia="黑体"/>
          <w:sz w:val="32"/>
          <w:lang w:val="en-US" w:eastAsia="zh-CN"/>
        </w:rPr>
        <w:t>单位</w:t>
      </w:r>
      <w:r>
        <w:rPr>
          <w:rFonts w:hint="eastAsia" w:ascii="黑体" w:hAnsi="黑体" w:eastAsia="黑体"/>
          <w:sz w:val="32"/>
        </w:rPr>
        <w:t>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按照预算管理有关规定，目前我省预算的编制实行综合预算管理，即全部收入和支出都反映在预算中。</w:t>
      </w:r>
      <w:r>
        <w:rPr>
          <w:rFonts w:hint="eastAsia" w:eastAsia="方正仿宋_GBK"/>
          <w:sz w:val="28"/>
          <w:lang w:val="en-US" w:eastAsia="zh-CN"/>
        </w:rPr>
        <w:t>遵化市国营东陵林场</w:t>
      </w:r>
      <w:r>
        <w:rPr>
          <w:rFonts w:hint="eastAsia" w:eastAsia="方正仿宋_GBK"/>
          <w:sz w:val="28"/>
        </w:rPr>
        <w:t>的收支包含在</w:t>
      </w:r>
      <w:r>
        <w:rPr>
          <w:rFonts w:hint="eastAsia" w:eastAsia="方正仿宋_GBK"/>
          <w:sz w:val="28"/>
          <w:lang w:val="en-US" w:eastAsia="zh-CN"/>
        </w:rPr>
        <w:t>单位</w:t>
      </w:r>
      <w:r>
        <w:rPr>
          <w:rFonts w:hint="eastAsia" w:eastAsia="方正仿宋_GBK"/>
          <w:sz w:val="28"/>
        </w:rPr>
        <w:t>预算中。</w:t>
      </w:r>
    </w:p>
    <w:p>
      <w:pPr>
        <w:spacing w:line="500" w:lineRule="exact"/>
        <w:ind w:firstLine="560" w:firstLineChars="200"/>
        <w:jc w:val="left"/>
        <w:rPr>
          <w:rFonts w:eastAsia="方正仿宋_GBK"/>
          <w:sz w:val="28"/>
        </w:rPr>
      </w:pPr>
      <w:r>
        <w:rPr>
          <w:rFonts w:hint="eastAsia" w:eastAsia="方正仿宋_GBK"/>
          <w:sz w:val="28"/>
        </w:rPr>
        <w:t>1、收入说明</w:t>
      </w:r>
    </w:p>
    <w:p>
      <w:pPr>
        <w:spacing w:line="500" w:lineRule="exact"/>
        <w:ind w:firstLine="560" w:firstLineChars="200"/>
        <w:jc w:val="left"/>
        <w:rPr>
          <w:rFonts w:eastAsia="方正仿宋_GBK"/>
          <w:sz w:val="28"/>
        </w:rPr>
      </w:pPr>
      <w:r>
        <w:rPr>
          <w:rFonts w:hint="eastAsia" w:eastAsia="方正仿宋_GBK"/>
          <w:sz w:val="28"/>
        </w:rPr>
        <w:t>反映本</w:t>
      </w:r>
      <w:r>
        <w:rPr>
          <w:rFonts w:hint="eastAsia" w:eastAsia="方正仿宋_GBK"/>
          <w:sz w:val="28"/>
          <w:lang w:val="en-US" w:eastAsia="zh-CN"/>
        </w:rPr>
        <w:t>单位</w:t>
      </w:r>
      <w:r>
        <w:rPr>
          <w:rFonts w:hint="eastAsia" w:eastAsia="方正仿宋_GBK"/>
          <w:sz w:val="28"/>
        </w:rPr>
        <w:t>当年全部收入。2021年预算收入1165.84万元，其中：一般公共预算收入1165.84万元，基金预算收入0万元，财政专户核拨收入0万元，其他来源收入0万元。</w:t>
      </w:r>
    </w:p>
    <w:p>
      <w:pPr>
        <w:spacing w:line="500" w:lineRule="exact"/>
        <w:ind w:firstLine="560" w:firstLineChars="200"/>
        <w:jc w:val="left"/>
        <w:rPr>
          <w:rFonts w:eastAsia="方正仿宋_GBK"/>
          <w:sz w:val="28"/>
        </w:rPr>
      </w:pPr>
      <w:r>
        <w:rPr>
          <w:rFonts w:hint="eastAsia" w:eastAsia="方正仿宋_GBK"/>
          <w:sz w:val="28"/>
        </w:rPr>
        <w:t>2、支出说明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w:t>
      </w:r>
      <w:r>
        <w:rPr>
          <w:rFonts w:hint="eastAsia" w:eastAsia="方正仿宋_GBK"/>
          <w:sz w:val="28"/>
          <w:lang w:val="en-US" w:eastAsia="zh-CN"/>
        </w:rPr>
        <w:t>遵化市国营东陵林场</w:t>
      </w:r>
      <w:r>
        <w:rPr>
          <w:rFonts w:hint="eastAsia" w:eastAsia="方正仿宋_GBK"/>
          <w:sz w:val="28"/>
        </w:rPr>
        <w:t>2021年度预算中支出预算的总体情况。2021年支出预算1165.84万元，其中基本支出946.84万元，包括人员经费886.42万元和日常公用经费60.42万元；项目支出219万元，包括本级专款83万元、上级专款136万元，主要为森林防火、病虫害防治、防火监控系统租赁费等。</w:t>
      </w:r>
    </w:p>
    <w:p>
      <w:pPr>
        <w:spacing w:line="500" w:lineRule="exact"/>
        <w:ind w:firstLine="560" w:firstLineChars="200"/>
        <w:jc w:val="left"/>
        <w:rPr>
          <w:rFonts w:eastAsia="方正仿宋_GBK"/>
          <w:sz w:val="28"/>
        </w:rPr>
      </w:pPr>
      <w:r>
        <w:rPr>
          <w:rFonts w:hint="eastAsia" w:eastAsia="方正仿宋_GBK"/>
          <w:sz w:val="28"/>
        </w:rPr>
        <w:t>3、比上年增减情况</w:t>
      </w:r>
    </w:p>
    <w:p>
      <w:pPr>
        <w:spacing w:line="500" w:lineRule="exact"/>
        <w:ind w:firstLine="560" w:firstLineChars="200"/>
        <w:jc w:val="left"/>
        <w:rPr>
          <w:rFonts w:eastAsia="方正仿宋_GBK"/>
          <w:sz w:val="28"/>
        </w:rPr>
      </w:pPr>
      <w:r>
        <w:rPr>
          <w:rFonts w:hint="eastAsia" w:eastAsia="方正仿宋_GBK"/>
          <w:sz w:val="28"/>
        </w:rPr>
        <w:t>2021年预算收支安排1165.84万元，较2020年预算增加242.36万元，其中：基本支出增加60.36万元，人员经费增加20.39万元，日常公用经费增加39.97万元；项目支出增加182万元，本级专款增加</w:t>
      </w:r>
      <w:r>
        <w:rPr>
          <w:rFonts w:hint="eastAsia" w:eastAsiaTheme="minorEastAsia"/>
          <w:sz w:val="28"/>
        </w:rPr>
        <w:t>46万元、</w:t>
      </w:r>
      <w:r>
        <w:rPr>
          <w:rFonts w:hint="eastAsia" w:eastAsia="方正仿宋_GBK"/>
          <w:sz w:val="28"/>
        </w:rPr>
        <w:t>上级专款增加136万元。</w:t>
      </w:r>
    </w:p>
    <w:p>
      <w:pPr>
        <w:spacing w:before="156" w:beforeLines="50" w:after="156" w:afterLines="50"/>
        <w:ind w:firstLine="640" w:firstLineChars="200"/>
        <w:jc w:val="left"/>
        <w:outlineLvl w:val="2"/>
        <w:rPr>
          <w:rFonts w:hAnsi="宋体"/>
          <w:sz w:val="32"/>
        </w:rPr>
      </w:pPr>
      <w:bookmarkStart w:id="2" w:name="_Toc66695130"/>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2021年，我</w:t>
      </w:r>
      <w:r>
        <w:rPr>
          <w:rFonts w:hint="eastAsia" w:eastAsia="方正仿宋_GBK"/>
          <w:sz w:val="28"/>
          <w:lang w:val="en-US" w:eastAsia="zh-CN"/>
        </w:rPr>
        <w:t>单位</w:t>
      </w:r>
      <w:r>
        <w:rPr>
          <w:rFonts w:eastAsia="方正仿宋_GBK"/>
          <w:sz w:val="28"/>
        </w:rPr>
        <w:t>机关运行经费共计安排</w:t>
      </w:r>
      <w:r>
        <w:rPr>
          <w:rFonts w:hint="eastAsia" w:eastAsia="方正仿宋_GBK"/>
          <w:sz w:val="28"/>
        </w:rPr>
        <w:t>60.42</w:t>
      </w:r>
      <w:r>
        <w:rPr>
          <w:rFonts w:eastAsia="方正仿宋_GBK"/>
          <w:sz w:val="28"/>
        </w:rPr>
        <w:t>万元，主要用于办公区的日常费用</w:t>
      </w:r>
      <w:r>
        <w:rPr>
          <w:rFonts w:hint="eastAsia" w:eastAsia="方正仿宋_GBK"/>
          <w:sz w:val="28"/>
        </w:rPr>
        <w:t>3.06</w:t>
      </w:r>
      <w:r>
        <w:rPr>
          <w:rFonts w:eastAsia="方正仿宋_GBK"/>
          <w:sz w:val="28"/>
        </w:rPr>
        <w:t>万元、办公用房水电费</w:t>
      </w:r>
      <w:r>
        <w:rPr>
          <w:rFonts w:hint="eastAsia" w:eastAsia="方正仿宋_GBK"/>
          <w:sz w:val="28"/>
        </w:rPr>
        <w:t>2.04</w:t>
      </w:r>
      <w:r>
        <w:rPr>
          <w:rFonts w:eastAsia="方正仿宋_GBK"/>
          <w:sz w:val="28"/>
        </w:rPr>
        <w:t>万元、办公邮电费</w:t>
      </w:r>
      <w:r>
        <w:rPr>
          <w:rFonts w:hint="eastAsia" w:eastAsia="方正仿宋_GBK"/>
          <w:sz w:val="28"/>
        </w:rPr>
        <w:t>1.39</w:t>
      </w:r>
      <w:r>
        <w:rPr>
          <w:rFonts w:eastAsia="方正仿宋_GBK"/>
          <w:sz w:val="28"/>
        </w:rPr>
        <w:t>万元、办公用房取暖费</w:t>
      </w:r>
      <w:r>
        <w:rPr>
          <w:rFonts w:hint="eastAsia" w:eastAsia="方正仿宋_GBK"/>
          <w:sz w:val="28"/>
        </w:rPr>
        <w:t>17</w:t>
      </w:r>
      <w:r>
        <w:rPr>
          <w:rFonts w:eastAsia="方正仿宋_GBK"/>
          <w:sz w:val="28"/>
        </w:rPr>
        <w:t>万元、差旅费</w:t>
      </w:r>
      <w:r>
        <w:rPr>
          <w:rFonts w:hint="eastAsia" w:eastAsia="方正仿宋_GBK"/>
          <w:sz w:val="28"/>
        </w:rPr>
        <w:t>2.04万元、会议费0.51万元、培训费0.51万元、</w:t>
      </w:r>
      <w:r>
        <w:rPr>
          <w:rFonts w:eastAsia="方正仿宋_GBK"/>
          <w:sz w:val="28"/>
        </w:rPr>
        <w:t>公务接待费</w:t>
      </w:r>
      <w:r>
        <w:rPr>
          <w:rFonts w:hint="eastAsia" w:eastAsia="方正仿宋_GBK"/>
          <w:sz w:val="28"/>
        </w:rPr>
        <w:t>1.19</w:t>
      </w:r>
      <w:r>
        <w:rPr>
          <w:rFonts w:eastAsia="方正仿宋_GBK"/>
          <w:sz w:val="28"/>
        </w:rPr>
        <w:t>万元、工会经费</w:t>
      </w:r>
      <w:r>
        <w:rPr>
          <w:rFonts w:hint="eastAsia" w:eastAsia="方正仿宋_GBK"/>
          <w:sz w:val="28"/>
        </w:rPr>
        <w:t>6.34</w:t>
      </w:r>
      <w:r>
        <w:rPr>
          <w:rFonts w:eastAsia="方正仿宋_GBK"/>
          <w:sz w:val="28"/>
        </w:rPr>
        <w:t>万元、福利费</w:t>
      </w:r>
      <w:r>
        <w:rPr>
          <w:rFonts w:hint="eastAsia" w:eastAsia="方正仿宋_GBK"/>
          <w:sz w:val="28"/>
        </w:rPr>
        <w:t>7.89</w:t>
      </w:r>
      <w:r>
        <w:rPr>
          <w:rFonts w:eastAsia="方正仿宋_GBK"/>
          <w:sz w:val="28"/>
        </w:rPr>
        <w:t>万元、公务用车运行维护费</w:t>
      </w:r>
      <w:r>
        <w:rPr>
          <w:rFonts w:hint="eastAsia" w:eastAsia="方正仿宋_GBK"/>
          <w:sz w:val="28"/>
        </w:rPr>
        <w:t>14.35</w:t>
      </w:r>
      <w:r>
        <w:rPr>
          <w:rFonts w:eastAsia="方正仿宋_GBK"/>
          <w:sz w:val="28"/>
        </w:rPr>
        <w:t>万元、交通补贴</w:t>
      </w:r>
      <w:r>
        <w:rPr>
          <w:rFonts w:hint="eastAsia" w:eastAsia="方正仿宋_GBK"/>
          <w:sz w:val="28"/>
        </w:rPr>
        <w:t>1.98万元、</w:t>
      </w:r>
      <w:r>
        <w:rPr>
          <w:rFonts w:eastAsia="方正仿宋_GBK"/>
          <w:sz w:val="28"/>
        </w:rPr>
        <w:t>其他商品和服务支出</w:t>
      </w:r>
      <w:r>
        <w:rPr>
          <w:rFonts w:hint="eastAsia" w:eastAsia="方正仿宋_GBK"/>
          <w:sz w:val="28"/>
        </w:rPr>
        <w:t>2.12</w:t>
      </w:r>
      <w:r>
        <w:rPr>
          <w:rFonts w:eastAsia="方正仿宋_GBK"/>
          <w:sz w:val="28"/>
        </w:rPr>
        <w:t>万元。</w:t>
      </w:r>
    </w:p>
    <w:p>
      <w:pPr>
        <w:spacing w:line="500" w:lineRule="exact"/>
        <w:jc w:val="left"/>
        <w:rPr>
          <w:rFonts w:eastAsia="方正仿宋_GBK"/>
          <w:sz w:val="28"/>
        </w:rPr>
      </w:pPr>
    </w:p>
    <w:p>
      <w:pPr>
        <w:spacing w:before="156" w:beforeLines="50" w:after="156" w:afterLines="50"/>
        <w:ind w:firstLine="640" w:firstLineChars="200"/>
        <w:jc w:val="left"/>
        <w:outlineLvl w:val="2"/>
        <w:rPr>
          <w:rFonts w:hAnsi="宋体"/>
          <w:sz w:val="32"/>
        </w:rPr>
      </w:pPr>
      <w:bookmarkStart w:id="3" w:name="_Toc66695131"/>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Theme="minorEastAsia"/>
          <w:sz w:val="28"/>
        </w:rPr>
      </w:pPr>
      <w:r>
        <w:rPr>
          <w:rFonts w:eastAsia="方正仿宋_GBK"/>
          <w:sz w:val="28"/>
        </w:rPr>
        <w:t>2021年，我</w:t>
      </w:r>
      <w:r>
        <w:rPr>
          <w:rFonts w:hint="eastAsia" w:eastAsia="方正仿宋_GBK"/>
          <w:sz w:val="28"/>
          <w:lang w:val="en-US" w:eastAsia="zh-CN"/>
        </w:rPr>
        <w:t>单位</w:t>
      </w:r>
      <w:r>
        <w:rPr>
          <w:rFonts w:eastAsia="方正仿宋_GBK"/>
          <w:sz w:val="28"/>
        </w:rPr>
        <w:t>“三公”经费预算安排</w:t>
      </w:r>
      <w:r>
        <w:rPr>
          <w:rFonts w:hint="eastAsia" w:eastAsia="方正仿宋_GBK"/>
          <w:sz w:val="28"/>
        </w:rPr>
        <w:t>15.54</w:t>
      </w:r>
      <w:r>
        <w:rPr>
          <w:rFonts w:eastAsia="方正仿宋_GBK"/>
          <w:sz w:val="28"/>
        </w:rPr>
        <w:t>万元</w:t>
      </w:r>
      <w:r>
        <w:rPr>
          <w:rFonts w:hint="eastAsia" w:asciiTheme="minorEastAsia" w:hAnsiTheme="minorEastAsia" w:eastAsiaTheme="minorEastAsia"/>
          <w:sz w:val="28"/>
        </w:rPr>
        <w:t>，</w:t>
      </w:r>
      <w:r>
        <w:rPr>
          <w:rFonts w:hint="eastAsia" w:eastAsiaTheme="minorEastAsia"/>
          <w:sz w:val="28"/>
        </w:rPr>
        <w:t>2020年“三公经费”预算0万元。</w:t>
      </w:r>
      <w:r>
        <w:rPr>
          <w:rFonts w:hint="eastAsia" w:eastAsia="方正仿宋_GBK"/>
          <w:sz w:val="28"/>
        </w:rPr>
        <w:t>比</w:t>
      </w:r>
      <w:r>
        <w:rPr>
          <w:rFonts w:eastAsia="方正仿宋_GBK"/>
          <w:sz w:val="28"/>
        </w:rPr>
        <w:t>2020年</w:t>
      </w:r>
      <w:r>
        <w:rPr>
          <w:rFonts w:hint="eastAsia" w:eastAsia="方正仿宋_GBK"/>
          <w:sz w:val="28"/>
        </w:rPr>
        <w:t>增加15.54万元。</w:t>
      </w:r>
    </w:p>
    <w:p>
      <w:pPr>
        <w:spacing w:line="500" w:lineRule="exact"/>
        <w:ind w:firstLine="560" w:firstLineChars="200"/>
        <w:jc w:val="left"/>
        <w:rPr>
          <w:rFonts w:asciiTheme="minorEastAsia" w:hAnsiTheme="minorEastAsia" w:eastAsiaTheme="minorEastAsia"/>
          <w:sz w:val="28"/>
        </w:rPr>
      </w:pPr>
      <w:r>
        <w:rPr>
          <w:rFonts w:hint="eastAsia" w:eastAsia="方正仿宋_GBK"/>
          <w:sz w:val="28"/>
        </w:rPr>
        <w:t>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eastAsia="方正仿宋_GBK"/>
          <w:sz w:val="28"/>
        </w:rPr>
      </w:pPr>
      <w:r>
        <w:rPr>
          <w:rFonts w:eastAsia="方正仿宋_GBK"/>
          <w:sz w:val="28"/>
        </w:rPr>
        <w:t xml:space="preserve">具体安排情况为： </w:t>
      </w:r>
    </w:p>
    <w:p>
      <w:pPr>
        <w:spacing w:line="500" w:lineRule="exact"/>
        <w:ind w:firstLine="560" w:firstLineChars="200"/>
        <w:jc w:val="left"/>
        <w:rPr>
          <w:rFonts w:eastAsia="方正仿宋_GBK"/>
          <w:sz w:val="28"/>
        </w:rPr>
      </w:pPr>
      <w:r>
        <w:rPr>
          <w:rFonts w:eastAsia="方正仿宋_GBK"/>
          <w:sz w:val="28"/>
        </w:rPr>
        <w:t>（一）</w:t>
      </w:r>
      <w:r>
        <w:rPr>
          <w:rFonts w:hint="eastAsia" w:eastAsia="方正仿宋_GBK"/>
          <w:sz w:val="28"/>
        </w:rPr>
        <w:t>公务用车购置及运行费14.35万元，①公务用车购置安排0万元。较上年预算增加0万元。上年持平。</w:t>
      </w:r>
    </w:p>
    <w:p>
      <w:pPr>
        <w:spacing w:line="500" w:lineRule="exact"/>
        <w:ind w:firstLine="560" w:firstLineChars="200"/>
        <w:jc w:val="left"/>
        <w:rPr>
          <w:rFonts w:asciiTheme="minorEastAsia" w:hAnsiTheme="minorEastAsia" w:eastAsiaTheme="minorEastAsia"/>
          <w:sz w:val="28"/>
        </w:rPr>
      </w:pPr>
      <w:r>
        <w:rPr>
          <w:rFonts w:hint="eastAsia" w:eastAsia="方正仿宋_GBK"/>
          <w:sz w:val="28"/>
        </w:rPr>
        <w:t>②公车运行维护经费安排14.35万元，较上年预算增加14.35万元。我单位属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asciiTheme="minorEastAsia" w:hAnsiTheme="minorEastAsia" w:eastAsiaTheme="minorEastAsia"/>
          <w:sz w:val="28"/>
        </w:rPr>
      </w:pPr>
      <w:r>
        <w:rPr>
          <w:rFonts w:eastAsia="方正仿宋_GBK"/>
          <w:sz w:val="28"/>
        </w:rPr>
        <w:t>（二）公务接待费。安排</w:t>
      </w:r>
      <w:r>
        <w:rPr>
          <w:rFonts w:hint="eastAsia" w:eastAsia="方正仿宋_GBK"/>
          <w:sz w:val="28"/>
        </w:rPr>
        <w:t>1.19</w:t>
      </w:r>
      <w:r>
        <w:rPr>
          <w:rFonts w:eastAsia="方正仿宋_GBK"/>
          <w:sz w:val="28"/>
        </w:rPr>
        <w:t>万元。较上年预算增加</w:t>
      </w:r>
      <w:r>
        <w:rPr>
          <w:rFonts w:hint="eastAsia" w:eastAsia="方正仿宋_GBK"/>
          <w:sz w:val="28"/>
        </w:rPr>
        <w:t>1.19万元. 我单位属</w:t>
      </w:r>
      <w:r>
        <w:rPr>
          <w:rFonts w:hint="eastAsia" w:asciiTheme="minorEastAsia" w:hAnsiTheme="minorEastAsia" w:eastAsiaTheme="minorEastAsia"/>
          <w:sz w:val="28"/>
        </w:rPr>
        <w:t>“</w:t>
      </w:r>
      <w:r>
        <w:rPr>
          <w:rFonts w:hint="eastAsia" w:eastAsia="方正仿宋_GBK"/>
          <w:sz w:val="28"/>
        </w:rPr>
        <w:t>公益一类事业单位</w:t>
      </w:r>
      <w:r>
        <w:rPr>
          <w:rFonts w:hint="eastAsia" w:asciiTheme="minorEastAsia" w:hAnsiTheme="minorEastAsia" w:eastAsiaTheme="minorEastAsia"/>
          <w:sz w:val="28"/>
        </w:rPr>
        <w:t>”，本身没有任何收入。从2020年上级主管部门因资金紧张，取消了对我单位的经费补贴，致使我单位无法正常运转。因此从2021年开始向财政申请拨付“三公”经费。</w:t>
      </w:r>
    </w:p>
    <w:p>
      <w:pPr>
        <w:spacing w:line="500" w:lineRule="exact"/>
        <w:ind w:firstLine="560" w:firstLineChars="200"/>
        <w:jc w:val="left"/>
        <w:rPr>
          <w:rFonts w:eastAsia="方正仿宋_GBK"/>
          <w:sz w:val="28"/>
        </w:rPr>
      </w:pPr>
      <w:r>
        <w:rPr>
          <w:rFonts w:eastAsia="方正仿宋_GBK"/>
          <w:sz w:val="28"/>
        </w:rPr>
        <w:t>（三）因公出国（境）费安排0万元，与2020年持平，无增减变化。</w:t>
      </w:r>
    </w:p>
    <w:p>
      <w:pPr>
        <w:spacing w:line="500" w:lineRule="exact"/>
        <w:ind w:firstLine="560" w:firstLineChars="200"/>
        <w:jc w:val="left"/>
        <w:rPr>
          <w:rFonts w:eastAsia="方正仿宋_GBK"/>
          <w:sz w:val="28"/>
        </w:rPr>
      </w:pPr>
      <w:r>
        <w:rPr>
          <w:rFonts w:hint="eastAsia" w:eastAsia="方正仿宋_GBK"/>
          <w:sz w:val="28"/>
        </w:rPr>
        <w:t xml:space="preserve">  </w:t>
      </w:r>
      <w:bookmarkStart w:id="4" w:name="_Toc66695132"/>
      <w:r>
        <w:rPr>
          <w:rFonts w:hint="eastAsia" w:ascii="黑体" w:hAnsi="黑体" w:eastAsia="黑体"/>
          <w:sz w:val="32"/>
        </w:rPr>
        <w:t>五、预算绩效信息</w:t>
      </w:r>
      <w:bookmarkEnd w:id="4"/>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 xml:space="preserve"> 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spacing w:line="500" w:lineRule="exact"/>
        <w:ind w:firstLine="560" w:firstLineChars="200"/>
        <w:jc w:val="left"/>
        <w:rPr>
          <w:rFonts w:eastAsia="方正仿宋_GBK"/>
          <w:sz w:val="28"/>
        </w:rPr>
      </w:pPr>
      <w:r>
        <w:rPr>
          <w:rFonts w:eastAsia="方正仿宋_GBK"/>
          <w:sz w:val="28"/>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spacing w:line="500" w:lineRule="exact"/>
        <w:ind w:firstLine="560" w:firstLineChars="200"/>
        <w:jc w:val="left"/>
        <w:rPr>
          <w:rFonts w:eastAsia="方正仿宋_GBK"/>
          <w:sz w:val="28"/>
        </w:rPr>
      </w:pPr>
    </w:p>
    <w:p>
      <w:pPr>
        <w:spacing w:line="500" w:lineRule="exact"/>
        <w:ind w:firstLine="560" w:firstLineChars="200"/>
        <w:jc w:val="left"/>
        <w:rPr>
          <w:rFonts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1、森林防火经费</w:t>
      </w:r>
    </w:p>
    <w:p>
      <w:pPr>
        <w:spacing w:line="500" w:lineRule="exact"/>
        <w:ind w:firstLine="1120" w:firstLineChars="400"/>
        <w:jc w:val="left"/>
        <w:rPr>
          <w:rFonts w:eastAsia="方正仿宋_GBK"/>
          <w:sz w:val="28"/>
        </w:rPr>
      </w:pPr>
      <w:r>
        <w:rPr>
          <w:rFonts w:eastAsia="方正仿宋_GBK"/>
          <w:sz w:val="28"/>
        </w:rPr>
        <w:t>为保护好东陵国有林区森林资源安全，预防森林火灾的发生，在林区重点部位和重点地段（林边、道边、坟边、山脊等）开设防火隔离带，清理可燃物，降低森林火险，实现预防森林火灾的目的。</w:t>
      </w:r>
    </w:p>
    <w:p>
      <w:pPr>
        <w:numPr>
          <w:ilvl w:val="0"/>
          <w:numId w:val="1"/>
        </w:numPr>
        <w:spacing w:line="500" w:lineRule="exact"/>
        <w:ind w:left="840" w:leftChars="0" w:firstLine="0" w:firstLineChars="0"/>
        <w:jc w:val="left"/>
        <w:rPr>
          <w:rFonts w:eastAsia="方正仿宋_GBK"/>
          <w:sz w:val="28"/>
        </w:rPr>
      </w:pPr>
      <w:r>
        <w:rPr>
          <w:rFonts w:eastAsia="方正仿宋_GBK"/>
          <w:sz w:val="28"/>
        </w:rPr>
        <w:t>林业有害生物防治经费</w:t>
      </w:r>
    </w:p>
    <w:p>
      <w:pPr>
        <w:numPr>
          <w:ilvl w:val="0"/>
          <w:numId w:val="0"/>
        </w:numPr>
        <w:spacing w:line="500" w:lineRule="exact"/>
        <w:ind w:left="840" w:leftChars="0" w:firstLine="560" w:firstLineChars="200"/>
        <w:jc w:val="left"/>
        <w:rPr>
          <w:rFonts w:eastAsia="方正仿宋_GBK"/>
          <w:sz w:val="28"/>
        </w:rPr>
      </w:pPr>
      <w:r>
        <w:rPr>
          <w:rFonts w:eastAsia="方正仿宋_GBK"/>
          <w:sz w:val="28"/>
        </w:rPr>
        <w:t>根据病虫害调查结果，按照防治方案的要求，在病虫害危害前和病虫害已经开始危害时（未形成大面积危害时）进行不同方式的防治工作。达到有虫无灾的良好局面，保障林木健康生长。</w:t>
      </w:r>
    </w:p>
    <w:p>
      <w:pPr>
        <w:numPr>
          <w:ilvl w:val="0"/>
          <w:numId w:val="1"/>
        </w:numPr>
        <w:spacing w:line="500" w:lineRule="exact"/>
        <w:ind w:left="840" w:leftChars="0" w:firstLine="0" w:firstLineChars="0"/>
        <w:jc w:val="left"/>
        <w:rPr>
          <w:rFonts w:eastAsia="方正仿宋_GBK"/>
          <w:sz w:val="28"/>
        </w:rPr>
      </w:pPr>
      <w:r>
        <w:rPr>
          <w:rFonts w:eastAsia="方正仿宋_GBK"/>
          <w:sz w:val="28"/>
        </w:rPr>
        <w:t>森林防火监控网络传输服务费</w:t>
      </w:r>
    </w:p>
    <w:p>
      <w:pPr>
        <w:numPr>
          <w:ilvl w:val="0"/>
          <w:numId w:val="0"/>
        </w:numPr>
        <w:spacing w:line="500" w:lineRule="exact"/>
        <w:ind w:left="838" w:leftChars="399" w:firstLine="560" w:firstLineChars="200"/>
        <w:jc w:val="left"/>
        <w:rPr>
          <w:rFonts w:eastAsia="方正仿宋_GBK"/>
          <w:sz w:val="28"/>
        </w:rPr>
      </w:pPr>
      <w:r>
        <w:rPr>
          <w:rFonts w:eastAsia="方正仿宋_GBK"/>
          <w:sz w:val="28"/>
        </w:rPr>
        <w:t>实现全林区防火视频监控技防和人防对接，保护好东陵国有林区森林资源，有效控制重大森林火灾发生，最大限度减少森林资源损失，确保东陵国有林区森林资源和生态安全。</w:t>
      </w:r>
    </w:p>
    <w:p>
      <w:pPr>
        <w:spacing w:line="500" w:lineRule="exact"/>
        <w:jc w:val="left"/>
        <w:rPr>
          <w:rFonts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工作保障措施</w:t>
      </w:r>
    </w:p>
    <w:p>
      <w:pPr>
        <w:spacing w:line="500" w:lineRule="exact"/>
        <w:ind w:firstLine="560" w:firstLineChars="200"/>
        <w:jc w:val="left"/>
        <w:rPr>
          <w:rFonts w:eastAsia="方正仿宋_GBK"/>
          <w:sz w:val="28"/>
        </w:rPr>
      </w:pPr>
      <w:r>
        <w:rPr>
          <w:rFonts w:eastAsia="方正仿宋_GBK"/>
          <w:sz w:val="28"/>
        </w:rPr>
        <w:t>一、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spacing w:line="500" w:lineRule="exact"/>
        <w:ind w:firstLine="560" w:firstLineChars="200"/>
        <w:jc w:val="left"/>
        <w:rPr>
          <w:rFonts w:eastAsia="方正仿宋_GBK"/>
          <w:sz w:val="28"/>
        </w:rPr>
      </w:pPr>
      <w:r>
        <w:rPr>
          <w:rFonts w:eastAsia="方正仿宋_GBK"/>
          <w:sz w:val="28"/>
        </w:rPr>
        <w:t>二、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spacing w:line="500" w:lineRule="exact"/>
        <w:ind w:firstLine="560" w:firstLineChars="200"/>
        <w:jc w:val="left"/>
        <w:rPr>
          <w:rFonts w:eastAsia="方正仿宋_GBK"/>
          <w:sz w:val="28"/>
        </w:rPr>
      </w:pPr>
      <w:r>
        <w:rPr>
          <w:rFonts w:eastAsia="方正仿宋_GBK"/>
          <w:sz w:val="28"/>
        </w:rPr>
        <w:t>三、高标准打造防火道。每年我场都打造高标准林区防火道60多万平方米，直接制止一般火情的发生与蔓延，有效控制较大火情、火险的发生。</w:t>
      </w:r>
    </w:p>
    <w:p>
      <w:pPr>
        <w:spacing w:line="500" w:lineRule="exact"/>
        <w:ind w:firstLine="560" w:firstLineChars="200"/>
        <w:jc w:val="left"/>
        <w:rPr>
          <w:rFonts w:eastAsia="方正仿宋_GBK"/>
          <w:sz w:val="28"/>
        </w:rPr>
      </w:pPr>
      <w:r>
        <w:rPr>
          <w:rFonts w:eastAsia="方正仿宋_GBK"/>
          <w:sz w:val="28"/>
        </w:rPr>
        <w:t>四、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spacing w:line="500" w:lineRule="exact"/>
        <w:ind w:firstLine="560" w:firstLineChars="200"/>
        <w:jc w:val="left"/>
        <w:rPr>
          <w:rFonts w:eastAsia="方正仿宋_GBK"/>
          <w:sz w:val="28"/>
        </w:rPr>
      </w:pPr>
      <w:r>
        <w:rPr>
          <w:rFonts w:eastAsia="方正仿宋_GBK"/>
          <w:sz w:val="28"/>
        </w:rPr>
        <w:t>五、我场建有遵化市第一支森林专业扑火队伍，大力开展扑火培训和实战演练。人员素质高，扑火技术过硬，拥有十分丰富的扑火经验，多次受到领导表彰。</w:t>
      </w:r>
    </w:p>
    <w:p>
      <w:pPr>
        <w:spacing w:line="500" w:lineRule="exact"/>
        <w:ind w:firstLine="560" w:firstLineChars="200"/>
        <w:jc w:val="left"/>
        <w:rPr>
          <w:rFonts w:eastAsia="方正仿宋_GBK"/>
          <w:sz w:val="28"/>
        </w:rPr>
      </w:pPr>
      <w:r>
        <w:rPr>
          <w:rFonts w:eastAsia="方正仿宋_GBK"/>
          <w:sz w:val="28"/>
        </w:rPr>
        <w:t>六、我场建有标准数字监控室，完善的管理制度，防火期内24小时监护，整个林区都被动态全天候监测中，为清东陵森林资源保驾护航。</w:t>
      </w:r>
    </w:p>
    <w:p>
      <w:pPr>
        <w:spacing w:line="500" w:lineRule="exact"/>
        <w:ind w:firstLine="560" w:firstLineChars="200"/>
        <w:jc w:val="left"/>
        <w:rPr>
          <w:rFonts w:eastAsia="方正仿宋_GBK"/>
          <w:sz w:val="28"/>
        </w:rPr>
      </w:pPr>
      <w:r>
        <w:rPr>
          <w:rFonts w:eastAsia="方正仿宋_GBK"/>
          <w:sz w:val="28"/>
        </w:rPr>
        <w:t>七、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spacing w:line="500" w:lineRule="exact"/>
        <w:ind w:firstLine="560" w:firstLineChars="200"/>
        <w:jc w:val="left"/>
        <w:rPr>
          <w:rFonts w:eastAsia="方正仿宋_GBK"/>
          <w:sz w:val="28"/>
        </w:rPr>
      </w:pPr>
      <w:r>
        <w:rPr>
          <w:rFonts w:eastAsia="方正仿宋_GBK"/>
          <w:sz w:val="28"/>
        </w:rPr>
        <w:t>八、充分发挥管护人员的“腿勤、眼勤、嘴勤”的方式，随时掌控管护区域的民情、林情、山情的动态，对危害森林资源的行为及突发事件做到及时发现、及时制止、及时上报，将不宜于森林资源的安全隐患，消灭在萌芽状态。</w:t>
      </w:r>
    </w:p>
    <w:p>
      <w:pPr>
        <w:spacing w:line="500" w:lineRule="exact"/>
        <w:ind w:firstLine="560" w:firstLineChars="200"/>
        <w:jc w:val="left"/>
        <w:rPr>
          <w:rFonts w:eastAsia="方正仿宋_GBK"/>
          <w:sz w:val="28"/>
        </w:rPr>
      </w:pPr>
      <w:r>
        <w:rPr>
          <w:rFonts w:eastAsia="方正仿宋_GBK"/>
          <w:sz w:val="28"/>
        </w:rPr>
        <w:t>九、我场购置一台森林消防车，在扑救山火中威力巨大。</w:t>
      </w:r>
    </w:p>
    <w:p>
      <w:pPr>
        <w:spacing w:line="500" w:lineRule="exact"/>
        <w:ind w:firstLine="560" w:firstLineChars="200"/>
        <w:jc w:val="left"/>
        <w:rPr>
          <w:rFonts w:eastAsia="方正仿宋_GBK"/>
          <w:sz w:val="28"/>
        </w:rPr>
      </w:pPr>
      <w:r>
        <w:rPr>
          <w:rFonts w:eastAsia="方正仿宋_GBK"/>
          <w:sz w:val="28"/>
        </w:rPr>
        <w:br w:type="page"/>
      </w:r>
    </w:p>
    <w:p>
      <w:pPr>
        <w:ind w:firstLine="5146" w:firstLineChars="1602"/>
        <w:jc w:val="left"/>
        <w:rPr>
          <w:rFonts w:hAnsi="宋体"/>
          <w:b/>
          <w:sz w:val="32"/>
        </w:rPr>
      </w:pPr>
      <w:r>
        <w:rPr>
          <w:rFonts w:hint="eastAsia" w:ascii="方正楷体_GBK" w:eastAsia="方正楷体_GBK"/>
          <w:b/>
          <w:sz w:val="32"/>
        </w:rPr>
        <w:t>预算项目绩效目标</w:t>
      </w:r>
    </w:p>
    <w:p>
      <w:pPr>
        <w:ind w:firstLine="420" w:firstLineChars="200"/>
        <w:jc w:val="left"/>
      </w:pPr>
    </w:p>
    <w:p>
      <w:pPr>
        <w:ind w:firstLine="562" w:firstLineChars="200"/>
        <w:jc w:val="left"/>
        <w:rPr>
          <w:rFonts w:hAnsi="宋体"/>
          <w:b/>
          <w:sz w:val="28"/>
        </w:rPr>
      </w:pPr>
      <w:r>
        <w:rPr>
          <w:rFonts w:hint="eastAsia" w:ascii="方正仿宋_GBK" w:eastAsia="方正仿宋_GBK"/>
          <w:b/>
          <w:sz w:val="28"/>
        </w:rPr>
        <w:t>1、森林防火绩效目标表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预防森林火灾的发生，降低森林火险。实现预防森林火灾的目的。实现林区无火险、火灾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打防火隔离带面积</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当年各林区打防火隔离带总面积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370000</w:t>
            </w:r>
            <w:r>
              <w:rPr>
                <w:rFonts w:hint="eastAsia" w:ascii="方正书宋_GBK" w:eastAsia="方正书宋_GBK"/>
              </w:rPr>
              <w:t>㎡</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1221</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237</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2、冀财资环【2020】94号《关于提前下达2021年中央财政林业改革发展资金预算的通知》绩效目标表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最大限度减少森林资源损失，确保东陵国有林区森林资源和生态安全。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预防森林火灾的发生，降低森林火险。实现预防森林火灾的目的。实现林区无火险、火灾</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日常巡查宣传时间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实际护林员巡查宣传天数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365</w:t>
            </w:r>
            <w:r>
              <w:rPr>
                <w:rFonts w:hint="eastAsia" w:ascii="方正书宋_GBK" w:eastAsia="方正书宋_GBK"/>
              </w:rPr>
              <w:t>天</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3、财农【2020】78号《关于提前下达2021年中央财政专项扶贫资金（暂定名）预算的通知》绩效目标表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通过该项目的实施，改善了林场北山林区和森林消防队办公和生活条件。更好的做好森林管护工作。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平方米</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4、病虫害防治绩效目标表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达到有虫无灾的良好局面，保障林木健康生长。达到有虫无灾的良好局面，保障林木健康生长。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最大限度减少森林资源损失，确保东陵国有林区森林资源和生态安全。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林业有害生物防治面积</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当年完成的林业有害生物防治面积</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4687.5</w:t>
            </w:r>
            <w:r>
              <w:rPr>
                <w:rFonts w:hint="eastAsia" w:ascii="方正书宋_GBK" w:eastAsia="方正书宋_GBK"/>
              </w:rPr>
              <w:t>亩</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检疫工作完成率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产地检疫工作完成面积占计划的比例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10</w:t>
            </w:r>
            <w:r>
              <w:rPr>
                <w:rFonts w:hint="eastAsia" w:ascii="方正书宋_GBK" w:eastAsia="方正书宋_GBK"/>
              </w:rPr>
              <w:t>月底前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全省林业有害生物灾害发生面积与森林面积的比率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千分之</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保护和改善人类的生存条件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1499</w:t>
            </w:r>
            <w:r>
              <w:rPr>
                <w:rFonts w:hint="eastAsia" w:ascii="方正书宋_GBK" w:eastAsia="方正书宋_GBK"/>
              </w:rPr>
              <w:t>号遵财答复【</w:t>
            </w:r>
            <w:r>
              <w:rPr>
                <w:rFonts w:ascii="方正书宋_GBK" w:eastAsia="方正书宋_GBK"/>
              </w:rPr>
              <w:t>2020</w:t>
            </w:r>
            <w:r>
              <w:rPr>
                <w:rFonts w:hint="eastAsia" w:ascii="方正书宋_GBK" w:eastAsia="方正书宋_GBK"/>
              </w:rPr>
              <w:t>】</w:t>
            </w:r>
            <w:r>
              <w:rPr>
                <w:rFonts w:ascii="方正书宋_GBK" w:eastAsia="方正书宋_GBK"/>
              </w:rPr>
              <w:t>765</w:t>
            </w:r>
            <w:r>
              <w:rPr>
                <w:rFonts w:hint="eastAsia" w:ascii="方正书宋_GBK" w:eastAsia="方正书宋_GBK"/>
              </w:rPr>
              <w:t>号遵财答复</w:t>
            </w:r>
            <w:r>
              <w:rPr>
                <w:rFonts w:ascii="方正书宋_GBK" w:eastAsia="方正书宋_GBK"/>
              </w:rPr>
              <w:t>237</w:t>
            </w:r>
            <w:r>
              <w:rPr>
                <w:rFonts w:hint="eastAsia" w:ascii="方正书宋_GBK" w:eastAsia="方正书宋_GBK"/>
              </w:rPr>
              <w:t>号</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5、监控系统租赁服务费绩效目标表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实现全林区防火视频监控技防和人防对接，保护好东陵国有林区森林资源，有效控制重大森林火灾发生，最大限度减少森林资源损失，确保东陵国有林区森林资源和生态安全。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降低了森林火险，实现了预防森林火灾的目的</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防火视频监控技防和人防对接</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林火监测系统建设运营维护点位</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点位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可以获得多画面现场实时图像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火灾发生点能精确定位的比率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年底前</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保持生态平衡，保护生物多样性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提供公益性、社会性产品</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对水源的涵养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依靠自身的储水能力来达到涵养水源的作用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绿色水库</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森林火灾受害控制率（</w:t>
            </w:r>
            <w:r>
              <w:rPr>
                <w:rFonts w:ascii="方正书宋_GBK" w:eastAsia="方正书宋_GBK"/>
              </w:rPr>
              <w:t>%</w:t>
            </w:r>
            <w:r>
              <w:rPr>
                <w:rFonts w:hint="eastAsia" w:ascii="方正书宋_GBK" w:eastAsia="方正书宋_GBK"/>
              </w:rPr>
              <w:t>）</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全省森林火灾中受害森林面积与森林总面积的比率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减少自然灾害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防风固沙</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保护和改善人类的生存环境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　</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林区群众对森林生态效益满意度　</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遵财答复【</w:t>
            </w:r>
            <w:r>
              <w:rPr>
                <w:rFonts w:ascii="方正书宋_GBK" w:eastAsia="方正书宋_GBK"/>
              </w:rPr>
              <w:t>2020</w:t>
            </w:r>
            <w:r>
              <w:rPr>
                <w:rFonts w:hint="eastAsia" w:ascii="方正书宋_GBK" w:eastAsia="方正书宋_GBK"/>
              </w:rPr>
              <w:t>】</w:t>
            </w:r>
            <w:r>
              <w:rPr>
                <w:rFonts w:ascii="方正书宋_GBK" w:eastAsia="方正书宋_GBK"/>
              </w:rPr>
              <w:t>1551</w:t>
            </w:r>
            <w:r>
              <w:rPr>
                <w:rFonts w:hint="eastAsia" w:ascii="方正书宋_GBK" w:eastAsia="方正书宋_GBK"/>
              </w:rPr>
              <w:t>号</w:t>
            </w:r>
          </w:p>
        </w:tc>
      </w:tr>
    </w:tbl>
    <w:p>
      <w:pPr>
        <w:spacing w:line="300" w:lineRule="exact"/>
        <w:jc w:val="left"/>
      </w:pPr>
    </w:p>
    <w:p>
      <w:pPr>
        <w:spacing w:before="156" w:beforeLines="50" w:after="156" w:afterLines="50"/>
        <w:ind w:firstLine="640" w:firstLineChars="200"/>
        <w:jc w:val="left"/>
        <w:outlineLvl w:val="2"/>
        <w:rPr>
          <w:rFonts w:hAnsi="宋体"/>
          <w:sz w:val="32"/>
        </w:rPr>
      </w:pPr>
      <w:bookmarkStart w:id="5" w:name="_Toc66695133"/>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hint="eastAsia" w:eastAsia="方正仿宋_GBK"/>
          <w:sz w:val="28"/>
        </w:rPr>
        <w:t>2021年，</w:t>
      </w:r>
      <w:r>
        <w:rPr>
          <w:rFonts w:hint="eastAsia" w:eastAsia="方正仿宋_GBK"/>
          <w:sz w:val="28"/>
          <w:lang w:val="en-US" w:eastAsia="zh-CN"/>
        </w:rPr>
        <w:t>遵化市国营东陵林场</w:t>
      </w:r>
      <w:r>
        <w:rPr>
          <w:rFonts w:hint="eastAsia" w:eastAsia="方正仿宋_GBK"/>
          <w:sz w:val="28"/>
        </w:rPr>
        <w:t>安排政府采购预算111.00万元。</w:t>
      </w:r>
    </w:p>
    <w:p>
      <w:pPr>
        <w:jc w:val="center"/>
        <w:rPr>
          <w:rFonts w:hAnsi="宋体"/>
          <w:sz w:val="36"/>
        </w:rPr>
      </w:pPr>
      <w:r>
        <w:rPr>
          <w:rFonts w:hint="eastAsia" w:ascii="方正小标宋_GBK" w:eastAsia="方正小标宋_GBK"/>
          <w:sz w:val="36"/>
          <w:lang w:val="en-US" w:eastAsia="zh-CN"/>
        </w:rPr>
        <w:t>单位</w:t>
      </w:r>
      <w:r>
        <w:rPr>
          <w:rFonts w:hint="eastAsia" w:ascii="方正小标宋_GBK" w:eastAsia="方正小标宋_GBK"/>
          <w:sz w:val="36"/>
        </w:rPr>
        <w:t>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327</w:t>
            </w:r>
            <w:r>
              <w:rPr>
                <w:rFonts w:hint="eastAsia" w:ascii="方正小标宋_GBK" w:eastAsia="方正小标宋_GBK"/>
                <w:sz w:val="24"/>
                <w:lang w:val="en-US" w:eastAsia="zh-CN"/>
              </w:rPr>
              <w:t>003遵化市国营东陵林场</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遵化市国营东陵林场小计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111.00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财农【</w:t>
            </w:r>
            <w:r>
              <w:rPr>
                <w:rFonts w:ascii="方正书宋_GBK" w:eastAsia="方正书宋_GBK"/>
              </w:rPr>
              <w:t>2020</w:t>
            </w:r>
            <w:r>
              <w:rPr>
                <w:rFonts w:hint="eastAsia" w:ascii="方正书宋_GBK" w:eastAsia="方正书宋_GBK"/>
              </w:rPr>
              <w:t>】</w:t>
            </w:r>
            <w:r>
              <w:rPr>
                <w:rFonts w:ascii="方正书宋_GBK" w:eastAsia="方正书宋_GBK"/>
              </w:rPr>
              <w:t>78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年中央财政专项扶贫资金（暂定名）预算的通知》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事业单位用房</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A010206</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牌</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冀财资环【</w:t>
            </w:r>
            <w:r>
              <w:rPr>
                <w:rFonts w:ascii="方正书宋_GBK" w:eastAsia="方正书宋_GBK"/>
              </w:rPr>
              <w:t>2020</w:t>
            </w:r>
            <w:r>
              <w:rPr>
                <w:rFonts w:hint="eastAsia" w:ascii="方正书宋_GBK" w:eastAsia="方正书宋_GBK"/>
              </w:rPr>
              <w:t>】</w:t>
            </w:r>
            <w:r>
              <w:rPr>
                <w:rFonts w:ascii="方正书宋_GBK" w:eastAsia="方正书宋_GBK"/>
              </w:rPr>
              <w:t>94</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年中央财政林业改革发展资金预算的通知》</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其他专用汽车</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A02030799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Ansi="宋体"/>
          <w:sz w:val="32"/>
        </w:rPr>
      </w:pPr>
      <w:bookmarkStart w:id="6" w:name="_Toc66695134"/>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lang w:val="en-US" w:eastAsia="zh-CN"/>
        </w:rPr>
        <w:t>遵化市国营东陵林场</w:t>
      </w:r>
      <w:r>
        <w:rPr>
          <w:rFonts w:hint="eastAsia" w:eastAsia="方正仿宋_GBK"/>
          <w:sz w:val="28"/>
        </w:rPr>
        <w:t>上年末固定资产金额为</w:t>
      </w:r>
      <w:r>
        <w:rPr>
          <w:rFonts w:hint="eastAsia" w:eastAsiaTheme="minorEastAsia"/>
          <w:sz w:val="28"/>
        </w:rPr>
        <w:t>862.24</w:t>
      </w:r>
      <w:r>
        <w:rPr>
          <w:rFonts w:hint="eastAsia" w:eastAsia="方正仿宋_GBK"/>
          <w:sz w:val="28"/>
        </w:rPr>
        <w:t>万元（详见下表）。本年度拟购置固定资产总额为</w:t>
      </w:r>
      <w:r>
        <w:rPr>
          <w:rFonts w:hint="eastAsia" w:eastAsiaTheme="minorEastAsia"/>
          <w:sz w:val="28"/>
        </w:rPr>
        <w:t>111</w:t>
      </w:r>
      <w:r>
        <w:rPr>
          <w:rFonts w:hint="eastAsia" w:eastAsia="方正仿宋_GBK"/>
          <w:sz w:val="28"/>
        </w:rPr>
        <w:t>万元，已按要求列入政府采购预算，详见政府采购预算表。</w:t>
      </w:r>
    </w:p>
    <w:p>
      <w:pPr>
        <w:jc w:val="center"/>
        <w:rPr>
          <w:rFonts w:hAnsi="宋体"/>
          <w:sz w:val="36"/>
        </w:rPr>
      </w:pPr>
      <w:r>
        <w:rPr>
          <w:rFonts w:hint="eastAsia" w:ascii="方正小标宋_GBK" w:eastAsia="方正小标宋_GBK"/>
          <w:sz w:val="36"/>
          <w:lang w:val="en-US" w:eastAsia="zh-CN"/>
        </w:rPr>
        <w:t>单位</w:t>
      </w:r>
      <w:r>
        <w:rPr>
          <w:rFonts w:hint="eastAsia" w:ascii="方正小标宋_GBK" w:eastAsia="方正小标宋_GBK"/>
          <w:sz w:val="36"/>
        </w:rPr>
        <w:t>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327</w:t>
            </w:r>
            <w:r>
              <w:rPr>
                <w:rFonts w:hint="eastAsia" w:ascii="方正小标宋_GBK" w:eastAsia="方正小标宋_GBK"/>
                <w:sz w:val="24"/>
                <w:lang w:val="en-US" w:eastAsia="zh-CN"/>
              </w:rPr>
              <w:t>003遵化市国营东陵林场</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hint="eastAsia" w:ascii="仿宋" w:hAnsi="仿宋" w:eastAsia="仿宋"/>
                <w:sz w:val="28"/>
                <w:szCs w:val="28"/>
              </w:rPr>
              <w:t>资产总额</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shd w:val="clear" w:color="auto" w:fill="auto"/>
            <w:vAlign w:val="center"/>
          </w:tcPr>
          <w:p>
            <w:pPr>
              <w:spacing w:line="300" w:lineRule="exact"/>
              <w:jc w:val="center"/>
              <w:rPr>
                <w:rFonts w:ascii="方正书宋_GBK" w:eastAsia="方正书宋_GBK"/>
                <w:sz w:val="30"/>
                <w:szCs w:val="30"/>
              </w:rPr>
            </w:pPr>
            <w:r>
              <w:rPr>
                <w:rFonts w:hint="eastAsia" w:ascii="方正书宋_GBK" w:eastAsia="方正书宋_GBK"/>
                <w:sz w:val="30"/>
                <w:szCs w:val="30"/>
              </w:rPr>
              <w:t>862.24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、房屋（平方米）</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3607.5</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216.94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其中：办公用房（平方米）</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3607.5</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216.94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、车辆（台、辆）</w:t>
            </w:r>
          </w:p>
        </w:tc>
        <w:tc>
          <w:tcPr>
            <w:tcW w:w="2835" w:type="dxa"/>
            <w:shd w:val="clear" w:color="auto" w:fill="auto"/>
            <w:vAlign w:val="center"/>
          </w:tcPr>
          <w:p>
            <w:pPr>
              <w:widowControl/>
              <w:jc w:val="center"/>
              <w:rPr>
                <w:rFonts w:hint="eastAsia" w:ascii="仿宋" w:hAnsi="仿宋" w:eastAsia="仿宋"/>
                <w:sz w:val="28"/>
                <w:szCs w:val="28"/>
              </w:rPr>
            </w:pPr>
            <w:r>
              <w:rPr>
                <w:rFonts w:hint="eastAsia" w:ascii="仿宋" w:hAnsi="仿宋" w:eastAsia="仿宋"/>
                <w:sz w:val="28"/>
                <w:szCs w:val="28"/>
              </w:rPr>
              <w:t>7</w:t>
            </w:r>
          </w:p>
        </w:tc>
        <w:tc>
          <w:tcPr>
            <w:tcW w:w="2835" w:type="dxa"/>
            <w:shd w:val="clear" w:color="auto" w:fill="auto"/>
            <w:vAlign w:val="center"/>
          </w:tcPr>
          <w:p>
            <w:pPr>
              <w:widowControl/>
              <w:jc w:val="center"/>
              <w:rPr>
                <w:rFonts w:hint="eastAsia" w:ascii="仿宋" w:hAnsi="仿宋" w:eastAsia="仿宋"/>
                <w:sz w:val="30"/>
                <w:szCs w:val="30"/>
              </w:rPr>
            </w:pPr>
            <w:r>
              <w:rPr>
                <w:rFonts w:hint="eastAsia" w:ascii="仿宋" w:hAnsi="仿宋" w:eastAsia="仿宋"/>
                <w:sz w:val="30"/>
                <w:szCs w:val="30"/>
              </w:rPr>
              <w:t>118.41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、单价在</w:t>
            </w:r>
            <w:r>
              <w:rPr>
                <w:rFonts w:ascii="仿宋" w:hAnsi="仿宋" w:eastAsia="仿宋"/>
                <w:sz w:val="28"/>
                <w:szCs w:val="28"/>
              </w:rPr>
              <w:t>20</w:t>
            </w:r>
            <w:r>
              <w:rPr>
                <w:rFonts w:hint="eastAsia" w:ascii="仿宋" w:hAnsi="仿宋" w:eastAsia="仿宋"/>
                <w:sz w:val="28"/>
                <w:szCs w:val="28"/>
              </w:rPr>
              <w:t>万元以上的设备</w:t>
            </w:r>
          </w:p>
        </w:tc>
        <w:tc>
          <w:tcPr>
            <w:tcW w:w="2835" w:type="dxa"/>
            <w:shd w:val="clear" w:color="auto" w:fill="auto"/>
            <w:vAlign w:val="center"/>
          </w:tcPr>
          <w:p>
            <w:pPr>
              <w:jc w:val="center"/>
              <w:rPr>
                <w:rFonts w:hint="eastAsia" w:ascii="仿宋" w:hAnsi="仿宋" w:eastAsia="仿宋"/>
                <w:sz w:val="28"/>
                <w:szCs w:val="28"/>
              </w:rPr>
            </w:pPr>
            <w:r>
              <w:rPr>
                <w:rFonts w:hint="eastAsia" w:ascii="仿宋" w:hAnsi="仿宋" w:eastAsia="仿宋"/>
                <w:sz w:val="28"/>
                <w:szCs w:val="28"/>
              </w:rPr>
              <w:t>0</w:t>
            </w:r>
          </w:p>
          <w:p>
            <w:pPr>
              <w:jc w:val="center"/>
              <w:rPr>
                <w:rFonts w:ascii="仿宋" w:hAnsi="仿宋" w:eastAsia="仿宋"/>
                <w:sz w:val="28"/>
                <w:szCs w:val="28"/>
              </w:rPr>
            </w:pPr>
          </w:p>
        </w:tc>
        <w:tc>
          <w:tcPr>
            <w:tcW w:w="2835" w:type="dxa"/>
            <w:shd w:val="clear" w:color="auto" w:fill="auto"/>
            <w:vAlign w:val="center"/>
          </w:tcPr>
          <w:p>
            <w:pPr>
              <w:jc w:val="center"/>
              <w:rPr>
                <w:rFonts w:hint="eastAsia" w:ascii="仿宋" w:hAnsi="仿宋" w:eastAsia="仿宋"/>
                <w:sz w:val="30"/>
                <w:szCs w:val="30"/>
              </w:rPr>
            </w:pPr>
            <w:r>
              <w:rPr>
                <w:rFonts w:hint="eastAsia" w:ascii="仿宋" w:hAnsi="仿宋" w:eastAsia="仿宋"/>
                <w:sz w:val="30"/>
                <w:szCs w:val="30"/>
              </w:rPr>
              <w:t>0</w:t>
            </w:r>
          </w:p>
          <w:p>
            <w:pPr>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widowControl/>
              <w:jc w:val="cente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、其他固定资产</w:t>
            </w:r>
          </w:p>
        </w:tc>
        <w:tc>
          <w:tcPr>
            <w:tcW w:w="283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171</w:t>
            </w:r>
          </w:p>
        </w:tc>
        <w:tc>
          <w:tcPr>
            <w:tcW w:w="2835" w:type="dxa"/>
            <w:shd w:val="clear" w:color="auto" w:fill="auto"/>
            <w:vAlign w:val="center"/>
          </w:tcPr>
          <w:p>
            <w:pPr>
              <w:spacing w:line="300" w:lineRule="exact"/>
              <w:jc w:val="center"/>
              <w:rPr>
                <w:rFonts w:ascii="方正书宋_GBK" w:eastAsia="方正书宋_GBK"/>
                <w:sz w:val="30"/>
                <w:szCs w:val="30"/>
              </w:rPr>
            </w:pPr>
            <w:r>
              <w:rPr>
                <w:rFonts w:hint="eastAsia" w:ascii="方正书宋_GBK" w:eastAsia="方正书宋_GBK"/>
                <w:sz w:val="30"/>
                <w:szCs w:val="30"/>
              </w:rPr>
              <w:t>526.89</w:t>
            </w:r>
          </w:p>
        </w:tc>
      </w:tr>
    </w:tbl>
    <w:p>
      <w:pPr>
        <w:spacing w:before="156" w:beforeLines="50" w:after="156" w:afterLines="50"/>
        <w:ind w:firstLine="640" w:firstLineChars="200"/>
        <w:jc w:val="left"/>
        <w:outlineLvl w:val="2"/>
        <w:rPr>
          <w:rFonts w:hAnsi="宋体"/>
          <w:sz w:val="32"/>
        </w:rPr>
      </w:pPr>
      <w:bookmarkStart w:id="7" w:name="_Toc66695135"/>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Ansi="宋体"/>
          <w:sz w:val="32"/>
        </w:rPr>
      </w:pPr>
      <w:bookmarkStart w:id="8" w:name="_Toc66695136"/>
      <w:r>
        <w:rPr>
          <w:rFonts w:hint="eastAsia" w:ascii="黑体" w:hAnsi="黑体" w:eastAsia="黑体"/>
          <w:sz w:val="32"/>
        </w:rPr>
        <w:t>九、其他需要说明的事项</w:t>
      </w:r>
      <w:bookmarkEnd w:id="8"/>
    </w:p>
    <w:p>
      <w:pPr>
        <w:ind w:firstLine="840" w:firstLineChars="300"/>
        <w:rPr>
          <w:rFonts w:eastAsia="方正仿宋_GBK"/>
          <w:sz w:val="28"/>
        </w:rPr>
      </w:pPr>
      <w:r>
        <w:rPr>
          <w:rFonts w:hint="eastAsia" w:eastAsia="方正仿宋_GBK"/>
          <w:sz w:val="28"/>
        </w:rPr>
        <w:t>1、</w:t>
      </w:r>
      <w:r>
        <w:rPr>
          <w:rFonts w:hint="eastAsia" w:eastAsia="方正仿宋_GBK"/>
          <w:sz w:val="28"/>
          <w:lang w:val="en-US" w:eastAsia="zh-CN"/>
        </w:rPr>
        <w:t>遵化市国营东陵林场</w:t>
      </w:r>
      <w:r>
        <w:rPr>
          <w:rFonts w:hint="eastAsia" w:eastAsia="方正仿宋_GBK"/>
          <w:sz w:val="28"/>
        </w:rPr>
        <w:t>2021年</w:t>
      </w:r>
      <w:r>
        <w:rPr>
          <w:rFonts w:hint="eastAsia" w:eastAsia="方正仿宋_GBK"/>
          <w:sz w:val="28"/>
          <w:lang w:val="en-US" w:eastAsia="zh-CN"/>
        </w:rPr>
        <w:t>单位</w:t>
      </w:r>
      <w:r>
        <w:rPr>
          <w:rFonts w:hint="eastAsia" w:eastAsia="方正仿宋_GBK"/>
          <w:sz w:val="28"/>
        </w:rPr>
        <w:t>预算中未安排政府性基金预算，故政府性基金预算支出表为空。</w:t>
      </w:r>
    </w:p>
    <w:p>
      <w:pPr>
        <w:ind w:firstLine="840" w:firstLineChars="300"/>
        <w:rPr>
          <w:rFonts w:eastAsia="方正仿宋_GBK"/>
          <w:sz w:val="28"/>
        </w:rPr>
      </w:pPr>
      <w:r>
        <w:rPr>
          <w:rFonts w:hint="eastAsia" w:eastAsia="方正仿宋_GBK"/>
          <w:sz w:val="28"/>
        </w:rPr>
        <w:t>2、</w:t>
      </w:r>
      <w:r>
        <w:rPr>
          <w:rFonts w:hint="eastAsia" w:eastAsia="方正仿宋_GBK"/>
          <w:sz w:val="28"/>
          <w:lang w:val="en-US" w:eastAsia="zh-CN"/>
        </w:rPr>
        <w:t>遵化市国营东陵林场</w:t>
      </w:r>
      <w:r>
        <w:rPr>
          <w:rFonts w:hint="eastAsia" w:eastAsia="方正仿宋_GBK"/>
          <w:sz w:val="28"/>
        </w:rPr>
        <w:t>2021年</w:t>
      </w:r>
      <w:r>
        <w:rPr>
          <w:rFonts w:hint="eastAsia" w:eastAsia="方正仿宋_GBK"/>
          <w:sz w:val="28"/>
          <w:lang w:val="en-US" w:eastAsia="zh-CN"/>
        </w:rPr>
        <w:t>单位</w:t>
      </w:r>
      <w:r>
        <w:rPr>
          <w:rFonts w:hint="eastAsia" w:eastAsia="方正仿宋_GBK"/>
          <w:sz w:val="28"/>
        </w:rPr>
        <w:t>预算中未安排资本经营预算，故国有资本经营预算支出表为空。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3779E"/>
    <w:multiLevelType w:val="singleLevel"/>
    <w:tmpl w:val="C653779E"/>
    <w:lvl w:ilvl="0" w:tentative="0">
      <w:start w:val="2"/>
      <w:numFmt w:val="decimal"/>
      <w:suff w:val="nothing"/>
      <w:lvlText w:val="%1、"/>
      <w:lvlJc w:val="left"/>
      <w:pPr>
        <w:ind w:left="8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TVkZWFjZTY2ZDNiNzc4MDdhNjc2NzAwNzEwYTUifQ=="/>
  </w:docVars>
  <w:rsids>
    <w:rsidRoot w:val="0025634E"/>
    <w:rsid w:val="000D2684"/>
    <w:rsid w:val="00147BA2"/>
    <w:rsid w:val="00154B5B"/>
    <w:rsid w:val="001B62A8"/>
    <w:rsid w:val="001F69B9"/>
    <w:rsid w:val="00201505"/>
    <w:rsid w:val="00223B52"/>
    <w:rsid w:val="002339E2"/>
    <w:rsid w:val="0025634E"/>
    <w:rsid w:val="0026679F"/>
    <w:rsid w:val="002C6E12"/>
    <w:rsid w:val="00310BFD"/>
    <w:rsid w:val="00380847"/>
    <w:rsid w:val="003B2DB7"/>
    <w:rsid w:val="003D6EA2"/>
    <w:rsid w:val="004968AE"/>
    <w:rsid w:val="004C20AA"/>
    <w:rsid w:val="00564192"/>
    <w:rsid w:val="00565E91"/>
    <w:rsid w:val="006032A7"/>
    <w:rsid w:val="00773134"/>
    <w:rsid w:val="00784573"/>
    <w:rsid w:val="007A2250"/>
    <w:rsid w:val="007B525E"/>
    <w:rsid w:val="00864601"/>
    <w:rsid w:val="00877BFB"/>
    <w:rsid w:val="00877CB2"/>
    <w:rsid w:val="008906F1"/>
    <w:rsid w:val="009E0853"/>
    <w:rsid w:val="00A65A49"/>
    <w:rsid w:val="00B469C8"/>
    <w:rsid w:val="00B50D28"/>
    <w:rsid w:val="00B522AE"/>
    <w:rsid w:val="00B550DE"/>
    <w:rsid w:val="00B65902"/>
    <w:rsid w:val="00B70BB8"/>
    <w:rsid w:val="00BD7B9C"/>
    <w:rsid w:val="00BF0565"/>
    <w:rsid w:val="00C10CEC"/>
    <w:rsid w:val="00C558A3"/>
    <w:rsid w:val="00C7090E"/>
    <w:rsid w:val="00D86F21"/>
    <w:rsid w:val="00DA3411"/>
    <w:rsid w:val="00E80C33"/>
    <w:rsid w:val="00EC3717"/>
    <w:rsid w:val="00EF728B"/>
    <w:rsid w:val="00F70B11"/>
    <w:rsid w:val="00FB49F8"/>
    <w:rsid w:val="1921307C"/>
    <w:rsid w:val="20AE5F95"/>
    <w:rsid w:val="21404B56"/>
    <w:rsid w:val="22702B26"/>
    <w:rsid w:val="24CC537F"/>
    <w:rsid w:val="27330D3F"/>
    <w:rsid w:val="28C826B1"/>
    <w:rsid w:val="2BBE22F2"/>
    <w:rsid w:val="2F75672D"/>
    <w:rsid w:val="312B5D5E"/>
    <w:rsid w:val="44814615"/>
    <w:rsid w:val="4A7B26A6"/>
    <w:rsid w:val="51B0798F"/>
    <w:rsid w:val="533062C5"/>
    <w:rsid w:val="5B352A09"/>
    <w:rsid w:val="5F7D6A40"/>
    <w:rsid w:val="70F10D07"/>
    <w:rsid w:val="76F33CF7"/>
    <w:rsid w:val="78256016"/>
    <w:rsid w:val="7CD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customStyle="1" w:styleId="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7287</Words>
  <Characters>8183</Characters>
  <Lines>60</Lines>
  <Paragraphs>17</Paragraphs>
  <TotalTime>1</TotalTime>
  <ScaleCrop>false</ScaleCrop>
  <LinksUpToDate>false</LinksUpToDate>
  <CharactersWithSpaces>8242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2021-03-15T07:11:00Z</dcterms:created>
  <dc:creator>Lenovo</dc:creator>
  <cp:lastModifiedBy>枫净</cp:lastModifiedBy>
  <dcterms:modified xsi:type="dcterms:W3CDTF">2024-03-19T23:56:06Z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3FD44A8B26B74A32A275DD5FEAE3657E</vt:lpwstr>
  </property>
</Properties>
</file>