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sz w:val="44"/>
        </w:rPr>
      </w:pPr>
      <w:r>
        <w:rPr>
          <w:rFonts w:hint="eastAsia" w:ascii="方正小标宋_GBK" w:eastAsia="方正小标宋_GBK"/>
          <w:sz w:val="44"/>
        </w:rPr>
        <w:t>遵化市林业局部门2021年部门预算信息公开情况说明</w:t>
      </w:r>
    </w:p>
    <w:p>
      <w:pPr>
        <w:spacing w:line="500" w:lineRule="exact"/>
        <w:ind w:firstLine="560" w:firstLineChars="200"/>
        <w:jc w:val="left"/>
        <w:rPr>
          <w:rFonts w:hAnsi="宋体"/>
          <w:sz w:val="28"/>
        </w:rPr>
      </w:pPr>
      <w:r>
        <w:rPr>
          <w:rFonts w:hint="eastAsia" w:eastAsia="方正仿宋_GBK"/>
          <w:sz w:val="28"/>
        </w:rPr>
        <w:t>按照《</w:t>
      </w:r>
      <w:r>
        <w:rPr>
          <w:rFonts w:hint="eastAsia" w:eastAsia="方正仿宋_GBK"/>
          <w:sz w:val="28"/>
          <w:lang w:val="en-US" w:eastAsia="zh-CN"/>
        </w:rPr>
        <w:t>中华人民共和国</w:t>
      </w:r>
      <w:r>
        <w:rPr>
          <w:rFonts w:hint="eastAsia" w:eastAsia="方正仿宋_GBK"/>
          <w:sz w:val="28"/>
        </w:rPr>
        <w:t>预算法》、《地方预决算公开操作规程》和《河北省省级预算公开办法》规定，现将遵化市林业局部门2021年部门预算公开如下：</w:t>
      </w:r>
    </w:p>
    <w:p>
      <w:pPr>
        <w:spacing w:before="156" w:beforeLines="50" w:after="156" w:afterLines="50"/>
        <w:ind w:firstLine="640" w:firstLineChars="200"/>
        <w:jc w:val="left"/>
        <w:outlineLvl w:val="2"/>
        <w:rPr>
          <w:rFonts w:hAnsi="宋体"/>
          <w:sz w:val="32"/>
        </w:rPr>
      </w:pPr>
      <w:bookmarkStart w:id="0" w:name="_Toc66695128"/>
      <w:r>
        <w:rPr>
          <w:rFonts w:hint="eastAsia" w:ascii="黑体" w:hAnsi="黑体" w:eastAsia="黑体"/>
          <w:sz w:val="32"/>
        </w:rPr>
        <w:t>一、部门职责及机构设置情况</w:t>
      </w:r>
      <w:bookmarkEnd w:id="0"/>
    </w:p>
    <w:p>
      <w:pPr>
        <w:ind w:firstLine="643" w:firstLineChars="200"/>
        <w:jc w:val="left"/>
        <w:rPr>
          <w:rFonts w:hAnsi="宋体"/>
          <w:b/>
          <w:sz w:val="32"/>
        </w:rPr>
      </w:pPr>
      <w:r>
        <w:rPr>
          <w:rFonts w:hint="eastAsia" w:ascii="方正楷体_GBK" w:eastAsia="方正楷体_GBK"/>
          <w:b/>
          <w:sz w:val="32"/>
        </w:rPr>
        <w:t>部门职责：</w:t>
      </w:r>
      <w:bookmarkStart w:id="9" w:name="_GoBack"/>
      <w:bookmarkEnd w:id="9"/>
    </w:p>
    <w:p>
      <w:pPr>
        <w:spacing w:line="500" w:lineRule="exact"/>
        <w:ind w:firstLine="560" w:firstLineChars="200"/>
        <w:jc w:val="left"/>
        <w:rPr>
          <w:rFonts w:eastAsia="方正仿宋_GBK"/>
          <w:sz w:val="28"/>
        </w:rPr>
      </w:pPr>
      <w:r>
        <w:rPr>
          <w:rFonts w:eastAsia="方正仿宋_GBK"/>
          <w:sz w:val="28"/>
        </w:rPr>
        <w:t>根据《遵化市林业局部门职能配置、内设机构和人员编制规定》， 遵化市林业局部门的主要职责是：</w:t>
      </w:r>
    </w:p>
    <w:p>
      <w:pPr>
        <w:spacing w:line="500" w:lineRule="exact"/>
        <w:ind w:firstLine="560" w:firstLineChars="200"/>
        <w:jc w:val="left"/>
        <w:rPr>
          <w:rFonts w:eastAsia="方正仿宋_GBK"/>
          <w:sz w:val="28"/>
        </w:rPr>
      </w:pPr>
      <w:r>
        <w:rPr>
          <w:rFonts w:eastAsia="方正仿宋_GBK"/>
          <w:sz w:val="28"/>
        </w:rPr>
        <w:t>1、组织全县造林绿化、退耕还林、防沙治沙、防治水土流失、应对气候变化等工作，组织沙尘暴灾害预测预报和应急处置。加强森林资源保护管理；</w:t>
      </w:r>
    </w:p>
    <w:p>
      <w:pPr>
        <w:spacing w:line="500" w:lineRule="exact"/>
        <w:ind w:firstLine="560" w:firstLineChars="200"/>
        <w:jc w:val="left"/>
        <w:rPr>
          <w:rFonts w:eastAsia="方正仿宋_GBK"/>
          <w:sz w:val="28"/>
        </w:rPr>
      </w:pPr>
      <w:r>
        <w:rPr>
          <w:rFonts w:eastAsia="方正仿宋_GBK"/>
          <w:sz w:val="28"/>
        </w:rPr>
        <w:t>2、组织全县林业及其生态建设的科技创新和技术示范推广，为林业生态发展和林产品生产提供公共支撑。</w:t>
      </w:r>
    </w:p>
    <w:p>
      <w:pPr>
        <w:spacing w:line="500" w:lineRule="exact"/>
        <w:ind w:firstLine="560" w:firstLineChars="200"/>
        <w:jc w:val="left"/>
        <w:rPr>
          <w:rFonts w:eastAsia="方正仿宋_GBK"/>
          <w:sz w:val="28"/>
        </w:rPr>
      </w:pPr>
      <w:r>
        <w:rPr>
          <w:rFonts w:eastAsia="方正仿宋_GBK"/>
          <w:sz w:val="28"/>
        </w:rPr>
        <w:t xml:space="preserve">3、组织、协调全县森林火灾的预防与扑救工作，承担全县森林防火指挥部的具体工作。组织开展林业有害生物的防治、检疫工作。               </w:t>
      </w:r>
    </w:p>
    <w:p>
      <w:pPr>
        <w:spacing w:line="500" w:lineRule="exact"/>
        <w:ind w:firstLine="280" w:firstLineChars="100"/>
        <w:jc w:val="left"/>
        <w:rPr>
          <w:rFonts w:eastAsia="方正仿宋_GBK"/>
          <w:sz w:val="28"/>
        </w:rPr>
      </w:pPr>
      <w:r>
        <w:rPr>
          <w:rFonts w:eastAsia="方正仿宋_GBK"/>
          <w:sz w:val="28"/>
        </w:rPr>
        <w:t xml:space="preserve">  4、依法依规履行机关日常管理工作。</w:t>
      </w:r>
    </w:p>
    <w:p>
      <w:pPr>
        <w:spacing w:line="500" w:lineRule="exact"/>
        <w:ind w:firstLine="560" w:firstLineChars="200"/>
        <w:jc w:val="left"/>
        <w:rPr>
          <w:rFonts w:eastAsia="方正仿宋_GBK"/>
          <w:sz w:val="28"/>
        </w:rPr>
      </w:pPr>
    </w:p>
    <w:p>
      <w:pPr>
        <w:ind w:firstLine="643" w:firstLineChars="200"/>
        <w:jc w:val="left"/>
        <w:rPr>
          <w:rFonts w:hAnsi="宋体"/>
          <w:b/>
          <w:sz w:val="32"/>
        </w:rPr>
      </w:pPr>
      <w:r>
        <w:rPr>
          <w:rFonts w:hint="eastAsia" w:ascii="方正楷体_GBK" w:eastAsia="方正楷体_GBK"/>
          <w:b/>
          <w:sz w:val="32"/>
        </w:rPr>
        <w:t>机构设置：</w:t>
      </w:r>
    </w:p>
    <w:p>
      <w:pPr>
        <w:jc w:val="center"/>
        <w:rPr>
          <w:rFonts w:hAnsi="宋体"/>
          <w:sz w:val="32"/>
        </w:rPr>
      </w:pPr>
      <w:r>
        <w:rPr>
          <w:rFonts w:hint="eastAsia" w:ascii="方正小标宋_GBK" w:eastAsia="方正小标宋_GBK"/>
          <w:sz w:val="32"/>
        </w:rPr>
        <w:t>部门机构设置情况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遵化市国营东陵林场</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bl>
    <w:p>
      <w:pPr>
        <w:spacing w:before="156" w:beforeLines="50" w:after="156" w:afterLines="50"/>
        <w:ind w:firstLine="640" w:firstLineChars="200"/>
        <w:jc w:val="left"/>
        <w:outlineLvl w:val="2"/>
        <w:rPr>
          <w:rFonts w:hAnsi="宋体"/>
          <w:sz w:val="32"/>
        </w:rPr>
      </w:pPr>
      <w:bookmarkStart w:id="1" w:name="_Toc66695129"/>
      <w:r>
        <w:rPr>
          <w:rFonts w:hint="eastAsia" w:ascii="黑体" w:hAnsi="黑体" w:eastAsia="黑体"/>
          <w:sz w:val="32"/>
        </w:rPr>
        <w:t>二、部门预算安排的总体情况</w:t>
      </w:r>
      <w:bookmarkEnd w:id="1"/>
    </w:p>
    <w:p>
      <w:pPr>
        <w:spacing w:line="500" w:lineRule="exact"/>
        <w:ind w:firstLine="560" w:firstLineChars="200"/>
        <w:jc w:val="left"/>
        <w:rPr>
          <w:rFonts w:hAnsi="宋体"/>
          <w:sz w:val="28"/>
        </w:rPr>
      </w:pPr>
      <w:r>
        <w:rPr>
          <w:rFonts w:hint="eastAsia" w:eastAsia="方正仿宋_GBK"/>
          <w:sz w:val="28"/>
        </w:rPr>
        <w:t>按照预算管理有关规定，目前我省部门预算的编制实行综合预算管理，即全部收入和支出都反映在预算中。遵化市林业局部门机关及所属事业单位的收支包含在部门预算中。</w:t>
      </w:r>
    </w:p>
    <w:p>
      <w:pPr>
        <w:spacing w:line="500" w:lineRule="exact"/>
        <w:ind w:firstLine="560" w:firstLineChars="200"/>
        <w:jc w:val="left"/>
        <w:rPr>
          <w:rFonts w:eastAsia="方正仿宋_GBK"/>
          <w:sz w:val="28"/>
        </w:rPr>
      </w:pPr>
      <w:r>
        <w:rPr>
          <w:rFonts w:hint="eastAsia" w:eastAsia="方正仿宋_GBK"/>
          <w:sz w:val="28"/>
        </w:rPr>
        <w:t>1、收入说明</w:t>
      </w:r>
    </w:p>
    <w:p>
      <w:pPr>
        <w:spacing w:line="500" w:lineRule="exact"/>
        <w:ind w:firstLine="560" w:firstLineChars="200"/>
        <w:jc w:val="left"/>
        <w:rPr>
          <w:rFonts w:eastAsia="方正仿宋_GBK"/>
          <w:sz w:val="28"/>
        </w:rPr>
      </w:pPr>
      <w:r>
        <w:rPr>
          <w:rFonts w:hint="eastAsia" w:eastAsia="方正仿宋_GBK"/>
          <w:sz w:val="28"/>
        </w:rPr>
        <w:t>反映本部门当年全部收入。2021年预算收入1165.84万元，其中：一般公共预算收入1165.84万元，基金预算收入0万元，财政专户核拨收入0万元，其他来源收入0万元。</w:t>
      </w:r>
    </w:p>
    <w:p>
      <w:pPr>
        <w:spacing w:line="500" w:lineRule="exact"/>
        <w:ind w:firstLine="560" w:firstLineChars="200"/>
        <w:jc w:val="left"/>
        <w:rPr>
          <w:rFonts w:eastAsia="方正仿宋_GBK"/>
          <w:sz w:val="28"/>
        </w:rPr>
      </w:pPr>
      <w:r>
        <w:rPr>
          <w:rFonts w:hint="eastAsia" w:eastAsia="方正仿宋_GBK"/>
          <w:sz w:val="28"/>
        </w:rPr>
        <w:t>2、支出说明</w:t>
      </w:r>
    </w:p>
    <w:p>
      <w:pPr>
        <w:spacing w:line="500" w:lineRule="exact"/>
        <w:ind w:firstLine="560" w:firstLineChars="200"/>
        <w:jc w:val="left"/>
        <w:rPr>
          <w:rFonts w:eastAsia="方正仿宋_GBK"/>
          <w:sz w:val="28"/>
        </w:rPr>
      </w:pPr>
      <w:r>
        <w:rPr>
          <w:rFonts w:hint="eastAsia" w:eastAsia="方正仿宋_GBK"/>
          <w:sz w:val="28"/>
        </w:rPr>
        <w:t>收支预算总表支出栏、基本支出表、项目支出表按经济分类和支出功能分类科目编制，反映遵化市林业局部门2021年度部门预算中支出预算的总体情况。2021年支出预算1165.84万元，其中基本支出946.84万元，包括人员经费886.42万元和日常公用经费60.42万元；项目支出219万元，包括本级专款83万元、上级专款136万元，主要为森林防火、病虫害防治、防火监控系统租赁费等。</w:t>
      </w:r>
    </w:p>
    <w:p>
      <w:pPr>
        <w:spacing w:line="500" w:lineRule="exact"/>
        <w:ind w:firstLine="560" w:firstLineChars="200"/>
        <w:jc w:val="left"/>
        <w:rPr>
          <w:rFonts w:eastAsia="方正仿宋_GBK"/>
          <w:sz w:val="28"/>
        </w:rPr>
      </w:pPr>
      <w:r>
        <w:rPr>
          <w:rFonts w:hint="eastAsia" w:eastAsia="方正仿宋_GBK"/>
          <w:sz w:val="28"/>
        </w:rPr>
        <w:t>3、比上年增减情况</w:t>
      </w:r>
    </w:p>
    <w:p>
      <w:pPr>
        <w:spacing w:line="500" w:lineRule="exact"/>
        <w:ind w:firstLine="560" w:firstLineChars="200"/>
        <w:jc w:val="left"/>
        <w:rPr>
          <w:rFonts w:eastAsia="方正仿宋_GBK"/>
          <w:sz w:val="28"/>
        </w:rPr>
      </w:pPr>
      <w:r>
        <w:rPr>
          <w:rFonts w:hint="eastAsia" w:eastAsia="方正仿宋_GBK"/>
          <w:sz w:val="28"/>
        </w:rPr>
        <w:t>2021年预算收支安排1165.84万元，较2020年预算增加242.36万元，其中：基本支出增加60.36万元，人员经费增加20.39万元，日常公用经费增加39.97万元；项目支出增加182万元，本级专款增加</w:t>
      </w:r>
      <w:r>
        <w:rPr>
          <w:rFonts w:hint="eastAsia" w:eastAsiaTheme="minorEastAsia"/>
          <w:sz w:val="28"/>
        </w:rPr>
        <w:t>46万元、</w:t>
      </w:r>
      <w:r>
        <w:rPr>
          <w:rFonts w:hint="eastAsia" w:eastAsia="方正仿宋_GBK"/>
          <w:sz w:val="28"/>
        </w:rPr>
        <w:t>上级专款增加136万元。</w:t>
      </w:r>
    </w:p>
    <w:p>
      <w:pPr>
        <w:spacing w:before="156" w:beforeLines="50" w:after="156" w:afterLines="50"/>
        <w:ind w:firstLine="640" w:firstLineChars="200"/>
        <w:jc w:val="left"/>
        <w:outlineLvl w:val="2"/>
        <w:rPr>
          <w:rFonts w:hAnsi="宋体"/>
          <w:sz w:val="32"/>
        </w:rPr>
      </w:pPr>
      <w:bookmarkStart w:id="2" w:name="_Toc66695130"/>
      <w:r>
        <w:rPr>
          <w:rFonts w:hint="eastAsia" w:ascii="黑体" w:hAnsi="黑体" w:eastAsia="黑体"/>
          <w:sz w:val="32"/>
        </w:rPr>
        <w:t>三、机关运行经费安排情况</w:t>
      </w:r>
      <w:bookmarkEnd w:id="2"/>
    </w:p>
    <w:p>
      <w:pPr>
        <w:spacing w:line="500" w:lineRule="exact"/>
        <w:ind w:firstLine="560" w:firstLineChars="200"/>
        <w:jc w:val="left"/>
        <w:rPr>
          <w:rFonts w:eastAsia="方正仿宋_GBK"/>
          <w:sz w:val="28"/>
        </w:rPr>
      </w:pPr>
      <w:r>
        <w:rPr>
          <w:rFonts w:eastAsia="方正仿宋_GBK"/>
          <w:sz w:val="28"/>
        </w:rPr>
        <w:t>2021年，我部门机关运行经费共计安排</w:t>
      </w:r>
      <w:r>
        <w:rPr>
          <w:rFonts w:hint="eastAsia" w:eastAsia="方正仿宋_GBK"/>
          <w:sz w:val="28"/>
        </w:rPr>
        <w:t>60.42</w:t>
      </w:r>
      <w:r>
        <w:rPr>
          <w:rFonts w:eastAsia="方正仿宋_GBK"/>
          <w:sz w:val="28"/>
        </w:rPr>
        <w:t>万元，主要用于办公区的日常费用</w:t>
      </w:r>
      <w:r>
        <w:rPr>
          <w:rFonts w:hint="eastAsia" w:eastAsia="方正仿宋_GBK"/>
          <w:sz w:val="28"/>
        </w:rPr>
        <w:t>3.06</w:t>
      </w:r>
      <w:r>
        <w:rPr>
          <w:rFonts w:eastAsia="方正仿宋_GBK"/>
          <w:sz w:val="28"/>
        </w:rPr>
        <w:t>万元、办公用房水电费</w:t>
      </w:r>
      <w:r>
        <w:rPr>
          <w:rFonts w:hint="eastAsia" w:eastAsia="方正仿宋_GBK"/>
          <w:sz w:val="28"/>
        </w:rPr>
        <w:t>2.04</w:t>
      </w:r>
      <w:r>
        <w:rPr>
          <w:rFonts w:eastAsia="方正仿宋_GBK"/>
          <w:sz w:val="28"/>
        </w:rPr>
        <w:t>万元、办公邮电费</w:t>
      </w:r>
      <w:r>
        <w:rPr>
          <w:rFonts w:hint="eastAsia" w:eastAsia="方正仿宋_GBK"/>
          <w:sz w:val="28"/>
        </w:rPr>
        <w:t>1.39</w:t>
      </w:r>
      <w:r>
        <w:rPr>
          <w:rFonts w:eastAsia="方正仿宋_GBK"/>
          <w:sz w:val="28"/>
        </w:rPr>
        <w:t>万元、办公用房取暖费</w:t>
      </w:r>
      <w:r>
        <w:rPr>
          <w:rFonts w:hint="eastAsia" w:eastAsia="方正仿宋_GBK"/>
          <w:sz w:val="28"/>
        </w:rPr>
        <w:t>17</w:t>
      </w:r>
      <w:r>
        <w:rPr>
          <w:rFonts w:eastAsia="方正仿宋_GBK"/>
          <w:sz w:val="28"/>
        </w:rPr>
        <w:t>万元、差旅费</w:t>
      </w:r>
      <w:r>
        <w:rPr>
          <w:rFonts w:hint="eastAsia" w:eastAsia="方正仿宋_GBK"/>
          <w:sz w:val="28"/>
        </w:rPr>
        <w:t>2.04万元、会议费0.51万元、培训费0.51万元、</w:t>
      </w:r>
      <w:r>
        <w:rPr>
          <w:rFonts w:eastAsia="方正仿宋_GBK"/>
          <w:sz w:val="28"/>
        </w:rPr>
        <w:t>公务接待费</w:t>
      </w:r>
      <w:r>
        <w:rPr>
          <w:rFonts w:hint="eastAsia" w:eastAsia="方正仿宋_GBK"/>
          <w:sz w:val="28"/>
        </w:rPr>
        <w:t>1.19</w:t>
      </w:r>
      <w:r>
        <w:rPr>
          <w:rFonts w:eastAsia="方正仿宋_GBK"/>
          <w:sz w:val="28"/>
        </w:rPr>
        <w:t>万元、工会经费</w:t>
      </w:r>
      <w:r>
        <w:rPr>
          <w:rFonts w:hint="eastAsia" w:eastAsia="方正仿宋_GBK"/>
          <w:sz w:val="28"/>
        </w:rPr>
        <w:t>6.34</w:t>
      </w:r>
      <w:r>
        <w:rPr>
          <w:rFonts w:eastAsia="方正仿宋_GBK"/>
          <w:sz w:val="28"/>
        </w:rPr>
        <w:t>万元、福利费</w:t>
      </w:r>
      <w:r>
        <w:rPr>
          <w:rFonts w:hint="eastAsia" w:eastAsia="方正仿宋_GBK"/>
          <w:sz w:val="28"/>
        </w:rPr>
        <w:t>7.89</w:t>
      </w:r>
      <w:r>
        <w:rPr>
          <w:rFonts w:eastAsia="方正仿宋_GBK"/>
          <w:sz w:val="28"/>
        </w:rPr>
        <w:t>万元、公务用车运行维护费</w:t>
      </w:r>
      <w:r>
        <w:rPr>
          <w:rFonts w:hint="eastAsia" w:eastAsia="方正仿宋_GBK"/>
          <w:sz w:val="28"/>
        </w:rPr>
        <w:t>14.35</w:t>
      </w:r>
      <w:r>
        <w:rPr>
          <w:rFonts w:eastAsia="方正仿宋_GBK"/>
          <w:sz w:val="28"/>
        </w:rPr>
        <w:t>万元、交通补贴</w:t>
      </w:r>
      <w:r>
        <w:rPr>
          <w:rFonts w:hint="eastAsia" w:eastAsia="方正仿宋_GBK"/>
          <w:sz w:val="28"/>
        </w:rPr>
        <w:t>1.98万元、</w:t>
      </w:r>
      <w:r>
        <w:rPr>
          <w:rFonts w:eastAsia="方正仿宋_GBK"/>
          <w:sz w:val="28"/>
        </w:rPr>
        <w:t>其他商品和服务支出</w:t>
      </w:r>
      <w:r>
        <w:rPr>
          <w:rFonts w:hint="eastAsia" w:eastAsia="方正仿宋_GBK"/>
          <w:sz w:val="28"/>
        </w:rPr>
        <w:t>2.12</w:t>
      </w:r>
      <w:r>
        <w:rPr>
          <w:rFonts w:eastAsia="方正仿宋_GBK"/>
          <w:sz w:val="28"/>
        </w:rPr>
        <w:t>万元。</w:t>
      </w:r>
    </w:p>
    <w:p>
      <w:pPr>
        <w:spacing w:line="500" w:lineRule="exact"/>
        <w:jc w:val="left"/>
        <w:rPr>
          <w:rFonts w:eastAsia="方正仿宋_GBK"/>
          <w:sz w:val="28"/>
        </w:rPr>
      </w:pPr>
    </w:p>
    <w:p>
      <w:pPr>
        <w:spacing w:before="156" w:beforeLines="50" w:after="156" w:afterLines="50"/>
        <w:ind w:firstLine="640" w:firstLineChars="200"/>
        <w:jc w:val="left"/>
        <w:outlineLvl w:val="2"/>
        <w:rPr>
          <w:rFonts w:hAnsi="宋体"/>
          <w:sz w:val="32"/>
        </w:rPr>
      </w:pPr>
      <w:bookmarkStart w:id="3" w:name="_Toc66695131"/>
      <w:r>
        <w:rPr>
          <w:rFonts w:hint="eastAsia" w:ascii="黑体" w:hAnsi="黑体" w:eastAsia="黑体"/>
          <w:sz w:val="32"/>
        </w:rPr>
        <w:t>四、财政拨款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bookmarkEnd w:id="3"/>
    </w:p>
    <w:p>
      <w:pPr>
        <w:spacing w:line="500" w:lineRule="exact"/>
        <w:ind w:firstLine="560" w:firstLineChars="200"/>
        <w:jc w:val="left"/>
        <w:rPr>
          <w:rFonts w:eastAsiaTheme="minorEastAsia"/>
          <w:sz w:val="28"/>
        </w:rPr>
      </w:pPr>
      <w:r>
        <w:rPr>
          <w:rFonts w:eastAsia="方正仿宋_GBK"/>
          <w:sz w:val="28"/>
        </w:rPr>
        <w:t>2021年，我部门“三公”经费预算安排</w:t>
      </w:r>
      <w:r>
        <w:rPr>
          <w:rFonts w:hint="eastAsia" w:eastAsia="方正仿宋_GBK"/>
          <w:sz w:val="28"/>
        </w:rPr>
        <w:t>15.54</w:t>
      </w:r>
      <w:r>
        <w:rPr>
          <w:rFonts w:eastAsia="方正仿宋_GBK"/>
          <w:sz w:val="28"/>
        </w:rPr>
        <w:t>万元</w:t>
      </w:r>
      <w:r>
        <w:rPr>
          <w:rFonts w:hint="eastAsia" w:asciiTheme="minorEastAsia" w:hAnsiTheme="minorEastAsia" w:eastAsiaTheme="minorEastAsia"/>
          <w:sz w:val="28"/>
        </w:rPr>
        <w:t>，</w:t>
      </w:r>
      <w:r>
        <w:rPr>
          <w:rFonts w:hint="eastAsia" w:eastAsiaTheme="minorEastAsia"/>
          <w:sz w:val="28"/>
        </w:rPr>
        <w:t>2020年“三公经费”预算0万元。</w:t>
      </w:r>
      <w:r>
        <w:rPr>
          <w:rFonts w:hint="eastAsia" w:eastAsia="方正仿宋_GBK"/>
          <w:sz w:val="28"/>
        </w:rPr>
        <w:t>比</w:t>
      </w:r>
      <w:r>
        <w:rPr>
          <w:rFonts w:eastAsia="方正仿宋_GBK"/>
          <w:sz w:val="28"/>
        </w:rPr>
        <w:t>2020年</w:t>
      </w:r>
      <w:r>
        <w:rPr>
          <w:rFonts w:hint="eastAsia" w:eastAsia="方正仿宋_GBK"/>
          <w:sz w:val="28"/>
        </w:rPr>
        <w:t>增加15.54万元。</w:t>
      </w:r>
    </w:p>
    <w:p>
      <w:pPr>
        <w:spacing w:line="500" w:lineRule="exact"/>
        <w:ind w:firstLine="560" w:firstLineChars="200"/>
        <w:jc w:val="left"/>
        <w:rPr>
          <w:rFonts w:asciiTheme="minorEastAsia" w:hAnsiTheme="minorEastAsia" w:eastAsiaTheme="minorEastAsia"/>
          <w:sz w:val="28"/>
        </w:rPr>
      </w:pPr>
      <w:r>
        <w:rPr>
          <w:rFonts w:hint="eastAsia" w:eastAsia="方正仿宋_GBK"/>
          <w:sz w:val="28"/>
        </w:rPr>
        <w:t>我单位属</w:t>
      </w:r>
      <w:r>
        <w:rPr>
          <w:rFonts w:hint="eastAsia" w:asciiTheme="minorEastAsia" w:hAnsiTheme="minorEastAsia" w:eastAsiaTheme="minorEastAsia"/>
          <w:sz w:val="28"/>
        </w:rPr>
        <w:t>“</w:t>
      </w:r>
      <w:r>
        <w:rPr>
          <w:rFonts w:hint="eastAsia" w:eastAsia="方正仿宋_GBK"/>
          <w:sz w:val="28"/>
        </w:rPr>
        <w:t>公益一类事业单位</w:t>
      </w:r>
      <w:r>
        <w:rPr>
          <w:rFonts w:hint="eastAsia" w:asciiTheme="minorEastAsia" w:hAnsiTheme="minorEastAsia" w:eastAsiaTheme="minorEastAsia"/>
          <w:sz w:val="28"/>
        </w:rPr>
        <w:t>”，本身没有任何收入。从2020年上级主管部门因资金紧张，取消了对我单位的经费补贴，致使我单位无法正常运转。因此从2021年开始向财政申请拨付“三公”经费。</w:t>
      </w:r>
    </w:p>
    <w:p>
      <w:pPr>
        <w:spacing w:line="500" w:lineRule="exact"/>
        <w:ind w:firstLine="560" w:firstLineChars="200"/>
        <w:jc w:val="left"/>
        <w:rPr>
          <w:rFonts w:eastAsia="方正仿宋_GBK"/>
          <w:sz w:val="28"/>
        </w:rPr>
      </w:pPr>
      <w:r>
        <w:rPr>
          <w:rFonts w:eastAsia="方正仿宋_GBK"/>
          <w:sz w:val="28"/>
        </w:rPr>
        <w:t xml:space="preserve">具体安排情况为： </w:t>
      </w:r>
    </w:p>
    <w:p>
      <w:pPr>
        <w:spacing w:line="500" w:lineRule="exact"/>
        <w:ind w:firstLine="560" w:firstLineChars="200"/>
        <w:jc w:val="left"/>
        <w:rPr>
          <w:rFonts w:eastAsia="方正仿宋_GBK"/>
          <w:sz w:val="28"/>
        </w:rPr>
      </w:pPr>
      <w:r>
        <w:rPr>
          <w:rFonts w:eastAsia="方正仿宋_GBK"/>
          <w:sz w:val="28"/>
        </w:rPr>
        <w:t>（一）</w:t>
      </w:r>
      <w:r>
        <w:rPr>
          <w:rFonts w:hint="eastAsia" w:eastAsia="方正仿宋_GBK"/>
          <w:sz w:val="28"/>
        </w:rPr>
        <w:t>公务用车购置及运行费14.35万元，①公务用车购置安排0万元。较上年预算增加0万元。上年持平。</w:t>
      </w:r>
    </w:p>
    <w:p>
      <w:pPr>
        <w:spacing w:line="500" w:lineRule="exact"/>
        <w:ind w:firstLine="560" w:firstLineChars="200"/>
        <w:jc w:val="left"/>
        <w:rPr>
          <w:rFonts w:asciiTheme="minorEastAsia" w:hAnsiTheme="minorEastAsia" w:eastAsiaTheme="minorEastAsia"/>
          <w:sz w:val="28"/>
        </w:rPr>
      </w:pPr>
      <w:r>
        <w:rPr>
          <w:rFonts w:hint="eastAsia" w:eastAsia="方正仿宋_GBK"/>
          <w:sz w:val="28"/>
        </w:rPr>
        <w:t>②公车运行维护经费安排14.35万元，较上年预算增加14.35万元。我单位属</w:t>
      </w:r>
      <w:r>
        <w:rPr>
          <w:rFonts w:hint="eastAsia" w:asciiTheme="minorEastAsia" w:hAnsiTheme="minorEastAsia" w:eastAsiaTheme="minorEastAsia"/>
          <w:sz w:val="28"/>
        </w:rPr>
        <w:t>“</w:t>
      </w:r>
      <w:r>
        <w:rPr>
          <w:rFonts w:hint="eastAsia" w:eastAsia="方正仿宋_GBK"/>
          <w:sz w:val="28"/>
        </w:rPr>
        <w:t>公益一类事业单位</w:t>
      </w:r>
      <w:r>
        <w:rPr>
          <w:rFonts w:hint="eastAsia" w:asciiTheme="minorEastAsia" w:hAnsiTheme="minorEastAsia" w:eastAsiaTheme="minorEastAsia"/>
          <w:sz w:val="28"/>
        </w:rPr>
        <w:t>”，本身没有任何收入。从2020年上级主管部门因资金紧张，取消了对我单位的经费补贴，致使我单位无法正常运转。因此从2021年开始向财政申请拨付“三公”经费。</w:t>
      </w:r>
    </w:p>
    <w:p>
      <w:pPr>
        <w:spacing w:line="500" w:lineRule="exact"/>
        <w:ind w:firstLine="560" w:firstLineChars="200"/>
        <w:jc w:val="left"/>
        <w:rPr>
          <w:rFonts w:asciiTheme="minorEastAsia" w:hAnsiTheme="minorEastAsia" w:eastAsiaTheme="minorEastAsia"/>
          <w:sz w:val="28"/>
        </w:rPr>
      </w:pPr>
      <w:r>
        <w:rPr>
          <w:rFonts w:eastAsia="方正仿宋_GBK"/>
          <w:sz w:val="28"/>
        </w:rPr>
        <w:t>（二）公务接待费。安排</w:t>
      </w:r>
      <w:r>
        <w:rPr>
          <w:rFonts w:hint="eastAsia" w:eastAsia="方正仿宋_GBK"/>
          <w:sz w:val="28"/>
        </w:rPr>
        <w:t>1.19</w:t>
      </w:r>
      <w:r>
        <w:rPr>
          <w:rFonts w:eastAsia="方正仿宋_GBK"/>
          <w:sz w:val="28"/>
        </w:rPr>
        <w:t>万元。较上年预算增加</w:t>
      </w:r>
      <w:r>
        <w:rPr>
          <w:rFonts w:hint="eastAsia" w:eastAsia="方正仿宋_GBK"/>
          <w:sz w:val="28"/>
        </w:rPr>
        <w:t>1.19万元. 我单位属</w:t>
      </w:r>
      <w:r>
        <w:rPr>
          <w:rFonts w:hint="eastAsia" w:asciiTheme="minorEastAsia" w:hAnsiTheme="minorEastAsia" w:eastAsiaTheme="minorEastAsia"/>
          <w:sz w:val="28"/>
        </w:rPr>
        <w:t>“</w:t>
      </w:r>
      <w:r>
        <w:rPr>
          <w:rFonts w:hint="eastAsia" w:eastAsia="方正仿宋_GBK"/>
          <w:sz w:val="28"/>
        </w:rPr>
        <w:t>公益一类事业单位</w:t>
      </w:r>
      <w:r>
        <w:rPr>
          <w:rFonts w:hint="eastAsia" w:asciiTheme="minorEastAsia" w:hAnsiTheme="minorEastAsia" w:eastAsiaTheme="minorEastAsia"/>
          <w:sz w:val="28"/>
        </w:rPr>
        <w:t>”，本身没有任何收入。从2020年上级主管部门因资金紧张，取消了对我单位的经费补贴，致使我单位无法正常运转。因此从2021年开始向财政申请拨付“三公”经费。</w:t>
      </w:r>
    </w:p>
    <w:p>
      <w:pPr>
        <w:spacing w:line="500" w:lineRule="exact"/>
        <w:ind w:firstLine="560" w:firstLineChars="200"/>
        <w:jc w:val="left"/>
        <w:rPr>
          <w:rFonts w:eastAsia="方正仿宋_GBK"/>
          <w:sz w:val="28"/>
        </w:rPr>
      </w:pPr>
      <w:r>
        <w:rPr>
          <w:rFonts w:eastAsia="方正仿宋_GBK"/>
          <w:sz w:val="28"/>
        </w:rPr>
        <w:t>（三）因公出国（境）费安排0万元，与2020年持平，无增减变化。</w:t>
      </w:r>
    </w:p>
    <w:p>
      <w:pPr>
        <w:spacing w:line="500" w:lineRule="exact"/>
        <w:ind w:firstLine="560" w:firstLineChars="200"/>
        <w:jc w:val="left"/>
        <w:rPr>
          <w:rFonts w:eastAsia="方正仿宋_GBK"/>
          <w:sz w:val="28"/>
        </w:rPr>
      </w:pPr>
      <w:r>
        <w:rPr>
          <w:rFonts w:hint="eastAsia" w:eastAsia="方正仿宋_GBK"/>
          <w:sz w:val="28"/>
        </w:rPr>
        <w:t xml:space="preserve">  </w:t>
      </w:r>
      <w:bookmarkStart w:id="4" w:name="_Toc66695132"/>
      <w:r>
        <w:rPr>
          <w:rFonts w:hint="eastAsia" w:ascii="黑体" w:hAnsi="黑体" w:eastAsia="黑体"/>
          <w:sz w:val="32"/>
        </w:rPr>
        <w:t>五、预算绩效信息</w:t>
      </w:r>
      <w:bookmarkEnd w:id="4"/>
    </w:p>
    <w:p>
      <w:pPr>
        <w:spacing w:line="500" w:lineRule="exact"/>
        <w:ind w:firstLine="560" w:firstLineChars="200"/>
        <w:jc w:val="left"/>
        <w:rPr>
          <w:rFonts w:hAnsi="宋体"/>
          <w:sz w:val="28"/>
        </w:rPr>
      </w:pPr>
      <w:r>
        <w:rPr>
          <w:rFonts w:hint="eastAsia" w:eastAsia="方正仿宋_GBK"/>
          <w:sz w:val="28"/>
        </w:rPr>
        <w:t>（一）总体绩效目标</w:t>
      </w:r>
    </w:p>
    <w:p>
      <w:pPr>
        <w:spacing w:line="500" w:lineRule="exact"/>
        <w:ind w:firstLine="560" w:firstLineChars="200"/>
        <w:jc w:val="left"/>
        <w:rPr>
          <w:rFonts w:eastAsia="方正仿宋_GBK"/>
          <w:sz w:val="28"/>
        </w:rPr>
      </w:pPr>
      <w:r>
        <w:rPr>
          <w:rFonts w:eastAsia="方正仿宋_GBK"/>
          <w:sz w:val="28"/>
        </w:rPr>
        <w:t xml:space="preserve"> 有效保护和发展清东陵森林资源，确保全市森林覆盖率、森林蓄积量和森林保有量、林地保有量稳步增长，推动林业又好又快的发展。实现森林资源稳步增长，改善生态环境。建立高效完备的森林资源保护体系，全面提升森林资源保护管理水平，实现森林资源稳步增长。保护好东陵国有林区森林资源，打防火隔离带、清理枯死树木、清理树下可燃物、加大防火宣传力度，最大限度减少森林资源损失，有效控制重大森林火灾发生，实现预防森林火灾的目的。变主动扑火为主动预防，确保东陵国有林区森林资源和生态安全。</w:t>
      </w:r>
    </w:p>
    <w:p>
      <w:pPr>
        <w:spacing w:line="500" w:lineRule="exact"/>
        <w:ind w:firstLine="560" w:firstLineChars="200"/>
        <w:jc w:val="left"/>
        <w:rPr>
          <w:rFonts w:eastAsia="方正仿宋_GBK"/>
          <w:sz w:val="28"/>
        </w:rPr>
      </w:pPr>
      <w:r>
        <w:rPr>
          <w:rFonts w:eastAsia="方正仿宋_GBK"/>
          <w:sz w:val="28"/>
        </w:rPr>
        <w:t>根据病虫害调查结果，按照防治方案的要求，在病虫害危害前和病虫害已经开始危害时（未形成大面积危害时）进行不同方式的防治工作。达到有虫无灾的良好局面，改善林木生长环境，促进林木健康生长，充分发挥生态效益</w:t>
      </w:r>
    </w:p>
    <w:p>
      <w:pPr>
        <w:spacing w:line="500" w:lineRule="exact"/>
        <w:ind w:firstLine="560" w:firstLineChars="200"/>
        <w:jc w:val="left"/>
        <w:rPr>
          <w:rFonts w:eastAsia="方正仿宋_GBK"/>
          <w:sz w:val="28"/>
        </w:rPr>
      </w:pPr>
    </w:p>
    <w:p>
      <w:pPr>
        <w:spacing w:line="500" w:lineRule="exact"/>
        <w:ind w:firstLine="560" w:firstLineChars="200"/>
        <w:jc w:val="left"/>
        <w:rPr>
          <w:rFonts w:hAnsi="宋体"/>
          <w:sz w:val="28"/>
        </w:rPr>
      </w:pPr>
      <w:r>
        <w:rPr>
          <w:rFonts w:hint="eastAsia" w:eastAsia="方正仿宋_GBK"/>
          <w:sz w:val="28"/>
        </w:rPr>
        <w:t>（二）分项绩效目标</w:t>
      </w:r>
    </w:p>
    <w:p>
      <w:pPr>
        <w:spacing w:line="500" w:lineRule="exact"/>
        <w:ind w:firstLine="560" w:firstLineChars="200"/>
        <w:jc w:val="left"/>
        <w:rPr>
          <w:rFonts w:eastAsia="方正仿宋_GBK"/>
          <w:sz w:val="28"/>
        </w:rPr>
      </w:pPr>
      <w:r>
        <w:rPr>
          <w:rFonts w:eastAsia="方正仿宋_GBK"/>
          <w:sz w:val="28"/>
        </w:rPr>
        <w:t>1、森林防火经费</w:t>
      </w:r>
    </w:p>
    <w:tbl>
      <w:tblPr>
        <w:tblStyle w:val="4"/>
        <w:tblW w:w="0" w:type="auto"/>
        <w:tblInd w:w="30" w:type="dxa"/>
        <w:tblLayout w:type="fixed"/>
        <w:tblCellMar>
          <w:top w:w="0" w:type="dxa"/>
          <w:left w:w="30" w:type="dxa"/>
          <w:bottom w:w="0" w:type="dxa"/>
          <w:right w:w="30" w:type="dxa"/>
        </w:tblCellMar>
      </w:tblPr>
      <w:tblGrid>
        <w:gridCol w:w="10602"/>
      </w:tblGrid>
      <w:tr>
        <w:tblPrEx>
          <w:tblCellMar>
            <w:top w:w="0" w:type="dxa"/>
            <w:left w:w="30" w:type="dxa"/>
            <w:bottom w:w="0" w:type="dxa"/>
            <w:right w:w="30" w:type="dxa"/>
          </w:tblCellMar>
        </w:tblPrEx>
        <w:trPr>
          <w:trHeight w:val="1701" w:hRule="atLeast"/>
        </w:trPr>
        <w:tc>
          <w:tcPr>
            <w:tcW w:w="10602" w:type="dxa"/>
            <w:tcBorders>
              <w:top w:val="nil"/>
              <w:bottom w:val="nil"/>
            </w:tcBorders>
          </w:tcPr>
          <w:p>
            <w:pPr>
              <w:spacing w:line="500" w:lineRule="exact"/>
              <w:ind w:firstLine="560" w:firstLineChars="200"/>
              <w:jc w:val="left"/>
              <w:rPr>
                <w:rFonts w:eastAsia="方正仿宋_GBK"/>
                <w:sz w:val="28"/>
              </w:rPr>
            </w:pPr>
            <w:r>
              <w:rPr>
                <w:rFonts w:eastAsia="方正仿宋_GBK"/>
                <w:sz w:val="28"/>
              </w:rPr>
              <w:t>为保护好东陵国有林区森林资源安全，预防森林火灾的发生，在林区重点部位和重点地段（林边、道边、坟边、山脊等）开设防火隔离带，清理可燃物，降低森林火险，实现预防森林火灾的目的。</w:t>
            </w:r>
          </w:p>
        </w:tc>
      </w:tr>
    </w:tbl>
    <w:p>
      <w:pPr>
        <w:spacing w:line="500" w:lineRule="exact"/>
        <w:ind w:firstLine="560" w:firstLineChars="200"/>
        <w:jc w:val="left"/>
        <w:rPr>
          <w:rFonts w:eastAsia="方正仿宋_GBK"/>
          <w:sz w:val="28"/>
        </w:rPr>
      </w:pPr>
      <w:r>
        <w:rPr>
          <w:rFonts w:eastAsia="方正仿宋_GBK"/>
          <w:sz w:val="28"/>
        </w:rPr>
        <w:t xml:space="preserve">  2、林业有害生物防治经费</w:t>
      </w:r>
    </w:p>
    <w:tbl>
      <w:tblPr>
        <w:tblStyle w:val="4"/>
        <w:tblW w:w="0" w:type="auto"/>
        <w:tblInd w:w="30" w:type="dxa"/>
        <w:tblLayout w:type="fixed"/>
        <w:tblCellMar>
          <w:top w:w="0" w:type="dxa"/>
          <w:left w:w="30" w:type="dxa"/>
          <w:bottom w:w="0" w:type="dxa"/>
          <w:right w:w="30" w:type="dxa"/>
        </w:tblCellMar>
      </w:tblPr>
      <w:tblGrid>
        <w:gridCol w:w="10206"/>
      </w:tblGrid>
      <w:tr>
        <w:tblPrEx>
          <w:tblCellMar>
            <w:top w:w="0" w:type="dxa"/>
            <w:left w:w="30" w:type="dxa"/>
            <w:bottom w:w="0" w:type="dxa"/>
            <w:right w:w="30" w:type="dxa"/>
          </w:tblCellMar>
        </w:tblPrEx>
        <w:trPr>
          <w:trHeight w:val="1660" w:hRule="atLeast"/>
        </w:trPr>
        <w:tc>
          <w:tcPr>
            <w:tcW w:w="10206" w:type="dxa"/>
            <w:tcBorders>
              <w:top w:val="nil"/>
              <w:bottom w:val="nil"/>
            </w:tcBorders>
          </w:tcPr>
          <w:p>
            <w:pPr>
              <w:spacing w:line="500" w:lineRule="exact"/>
              <w:ind w:firstLine="560" w:firstLineChars="200"/>
              <w:jc w:val="left"/>
              <w:rPr>
                <w:rFonts w:eastAsia="方正仿宋_GBK"/>
                <w:sz w:val="28"/>
              </w:rPr>
            </w:pPr>
            <w:r>
              <w:rPr>
                <w:rFonts w:eastAsia="方正仿宋_GBK"/>
                <w:sz w:val="28"/>
              </w:rPr>
              <w:t>根据病虫害调查结果，按照防治方案的要求，在病虫害危害前和病虫害已经开始危害时（未形成大面积危害时）进行不同方式的防治工作。达到有虫无灾的良好局面，保障林木健康生长。</w:t>
            </w:r>
          </w:p>
        </w:tc>
      </w:tr>
    </w:tbl>
    <w:p>
      <w:pPr>
        <w:spacing w:line="500" w:lineRule="exact"/>
        <w:ind w:firstLine="560" w:firstLineChars="200"/>
        <w:jc w:val="left"/>
        <w:rPr>
          <w:rFonts w:eastAsia="方正仿宋_GBK"/>
          <w:sz w:val="28"/>
        </w:rPr>
      </w:pPr>
      <w:r>
        <w:rPr>
          <w:rFonts w:eastAsia="方正仿宋_GBK"/>
          <w:sz w:val="28"/>
        </w:rPr>
        <w:t>3、森林防火监控网络传输服务费</w:t>
      </w:r>
    </w:p>
    <w:tbl>
      <w:tblPr>
        <w:tblStyle w:val="4"/>
        <w:tblW w:w="0" w:type="auto"/>
        <w:tblInd w:w="30"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30" w:type="dxa"/>
          <w:bottom w:w="0" w:type="dxa"/>
          <w:right w:w="30" w:type="dxa"/>
        </w:tblCellMar>
      </w:tblPr>
      <w:tblGrid>
        <w:gridCol w:w="9166"/>
      </w:tblGrid>
      <w:tr>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30" w:type="dxa"/>
            <w:bottom w:w="0" w:type="dxa"/>
            <w:right w:w="30" w:type="dxa"/>
          </w:tblCellMar>
        </w:tblPrEx>
        <w:trPr>
          <w:trHeight w:val="602" w:hRule="atLeast"/>
        </w:trPr>
        <w:tc>
          <w:tcPr>
            <w:tcW w:w="9166" w:type="dxa"/>
            <w:tcBorders>
              <w:top w:val="single" w:color="FFFFFF" w:sz="6" w:space="0"/>
              <w:left w:val="single" w:color="FFFFFF" w:sz="6" w:space="0"/>
              <w:bottom w:val="single" w:color="FFFFFF" w:sz="6" w:space="0"/>
              <w:right w:val="single" w:color="FFFFFF" w:sz="6" w:space="0"/>
            </w:tcBorders>
          </w:tcPr>
          <w:p>
            <w:pPr>
              <w:spacing w:line="500" w:lineRule="exact"/>
              <w:ind w:firstLine="560" w:firstLineChars="200"/>
              <w:jc w:val="left"/>
              <w:rPr>
                <w:rFonts w:eastAsia="方正仿宋_GBK"/>
                <w:sz w:val="28"/>
              </w:rPr>
            </w:pPr>
            <w:r>
              <w:rPr>
                <w:rFonts w:eastAsia="方正仿宋_GBK"/>
                <w:sz w:val="28"/>
              </w:rPr>
              <w:t>实现全林区防火视频监控技防和人防对接，保护好东陵国有林区森林资源，有效控制重大森林火灾发生，最大限度减少森林资源损失，确保东陵国有林区森林资源和生态安全。</w:t>
            </w:r>
          </w:p>
        </w:tc>
      </w:tr>
    </w:tbl>
    <w:p>
      <w:pPr>
        <w:spacing w:line="500" w:lineRule="exact"/>
        <w:ind w:firstLine="560" w:firstLineChars="200"/>
        <w:jc w:val="left"/>
        <w:rPr>
          <w:rFonts w:eastAsia="方正仿宋_GBK"/>
          <w:sz w:val="28"/>
        </w:rPr>
      </w:pPr>
    </w:p>
    <w:p>
      <w:pPr>
        <w:spacing w:line="500" w:lineRule="exact"/>
        <w:ind w:firstLine="560" w:firstLineChars="200"/>
        <w:jc w:val="left"/>
        <w:rPr>
          <w:rFonts w:hAnsi="宋体"/>
          <w:sz w:val="28"/>
        </w:rPr>
      </w:pPr>
      <w:r>
        <w:rPr>
          <w:rFonts w:hint="eastAsia" w:eastAsia="方正仿宋_GBK"/>
          <w:sz w:val="28"/>
        </w:rPr>
        <w:t>（三）工作保障措施</w:t>
      </w:r>
    </w:p>
    <w:p>
      <w:pPr>
        <w:spacing w:line="500" w:lineRule="exact"/>
        <w:ind w:firstLine="560" w:firstLineChars="200"/>
        <w:jc w:val="left"/>
        <w:rPr>
          <w:rFonts w:eastAsia="方正仿宋_GBK"/>
          <w:sz w:val="28"/>
        </w:rPr>
      </w:pPr>
      <w:r>
        <w:rPr>
          <w:rFonts w:eastAsia="方正仿宋_GBK"/>
          <w:sz w:val="28"/>
        </w:rPr>
        <w:t>工作保障措施</w:t>
      </w:r>
    </w:p>
    <w:p>
      <w:pPr>
        <w:spacing w:line="500" w:lineRule="exact"/>
        <w:ind w:firstLine="560" w:firstLineChars="200"/>
        <w:jc w:val="left"/>
        <w:rPr>
          <w:rFonts w:eastAsia="方正仿宋_GBK"/>
          <w:sz w:val="28"/>
        </w:rPr>
      </w:pPr>
      <w:r>
        <w:rPr>
          <w:rFonts w:eastAsia="方正仿宋_GBK"/>
          <w:sz w:val="28"/>
        </w:rPr>
        <w:t>一、加强领导，提高认识，要明确责任定位，建立目标责任制，场委会为第一责任人，各林区区长为主要责任人，做好协调服务工作，确保目标责任制的认真执行。对任期内完成目标责任指标,保护森林资源增长的进行表彰和奖励;对任期内造成森林资源下降的,要通报批评,严重的要追究责任。</w:t>
      </w:r>
    </w:p>
    <w:p>
      <w:pPr>
        <w:spacing w:line="500" w:lineRule="exact"/>
        <w:ind w:firstLine="560" w:firstLineChars="200"/>
        <w:jc w:val="left"/>
        <w:rPr>
          <w:rFonts w:eastAsia="方正仿宋_GBK"/>
          <w:sz w:val="28"/>
        </w:rPr>
      </w:pPr>
      <w:r>
        <w:rPr>
          <w:rFonts w:eastAsia="方正仿宋_GBK"/>
          <w:sz w:val="28"/>
        </w:rPr>
        <w:t>二、靠实责任，加强宣传，场部森林巡逻队进行有目的，有部署，有声势的森林防火和严厉打击非法侵害森林资源的违法行为。充分利用标语、条幅、会议等各种宣传方式，广泛深入的开展保护和发展森林资源宣传活动，大力宣传保护和发展森林资源的重大意义、目标任务、政策措施和进展成效。通过加大舆论宣传，不断提高广大干部群众的保护和发展森林资源意识。</w:t>
      </w:r>
    </w:p>
    <w:p>
      <w:pPr>
        <w:spacing w:line="500" w:lineRule="exact"/>
        <w:ind w:firstLine="560" w:firstLineChars="200"/>
        <w:jc w:val="left"/>
        <w:rPr>
          <w:rFonts w:eastAsia="方正仿宋_GBK"/>
          <w:sz w:val="28"/>
        </w:rPr>
      </w:pPr>
      <w:r>
        <w:rPr>
          <w:rFonts w:eastAsia="方正仿宋_GBK"/>
          <w:sz w:val="28"/>
        </w:rPr>
        <w:t>三、高标准打造防火道。每年我场都打造高标准林区防火道60多万平方米，直接制止一般火情的发生与蔓延，有效控制较大火情、火险的发生。</w:t>
      </w:r>
    </w:p>
    <w:p>
      <w:pPr>
        <w:spacing w:line="500" w:lineRule="exact"/>
        <w:ind w:firstLine="560" w:firstLineChars="200"/>
        <w:jc w:val="left"/>
        <w:rPr>
          <w:rFonts w:eastAsia="方正仿宋_GBK"/>
          <w:sz w:val="28"/>
        </w:rPr>
      </w:pPr>
      <w:r>
        <w:rPr>
          <w:rFonts w:eastAsia="方正仿宋_GBK"/>
          <w:sz w:val="28"/>
        </w:rPr>
        <w:t>四、加强林业有害生物防控，打造健康森林。以保护和发展森林资源为核心，坚持“预防为主，科学防控，依法治林，促进健康”的方针，切实加强防治体系建设，每年做好虫害的调查工作，做好虫情统计，于第二年三月份对重点虫情区域进行喷毒环，秋季用机车喷雾方式进行有效治理，做好早发现早治理的方针，做好森林保护工作。</w:t>
      </w:r>
    </w:p>
    <w:p>
      <w:pPr>
        <w:spacing w:line="500" w:lineRule="exact"/>
        <w:ind w:firstLine="560" w:firstLineChars="200"/>
        <w:jc w:val="left"/>
        <w:rPr>
          <w:rFonts w:eastAsia="方正仿宋_GBK"/>
          <w:sz w:val="28"/>
        </w:rPr>
      </w:pPr>
      <w:r>
        <w:rPr>
          <w:rFonts w:eastAsia="方正仿宋_GBK"/>
          <w:sz w:val="28"/>
        </w:rPr>
        <w:t>五、我场建有遵化市第一支森林专业扑火队伍，大力开展扑火培训和实战演练。人员素质高，扑火技术过硬，拥有十分丰富的扑火经验，多次受到领导表彰。</w:t>
      </w:r>
    </w:p>
    <w:p>
      <w:pPr>
        <w:spacing w:line="500" w:lineRule="exact"/>
        <w:ind w:firstLine="560" w:firstLineChars="200"/>
        <w:jc w:val="left"/>
        <w:rPr>
          <w:rFonts w:eastAsia="方正仿宋_GBK"/>
          <w:sz w:val="28"/>
        </w:rPr>
      </w:pPr>
      <w:r>
        <w:rPr>
          <w:rFonts w:eastAsia="方正仿宋_GBK"/>
          <w:sz w:val="28"/>
        </w:rPr>
        <w:t>六、我场建有标准数字监控室，完善的管理制度，防火期内24小时监护，整个林区都被动态全天候监测中，为清东陵森林资源保驾护航。</w:t>
      </w:r>
    </w:p>
    <w:p>
      <w:pPr>
        <w:spacing w:line="500" w:lineRule="exact"/>
        <w:ind w:firstLine="560" w:firstLineChars="200"/>
        <w:jc w:val="left"/>
        <w:rPr>
          <w:rFonts w:eastAsia="方正仿宋_GBK"/>
          <w:sz w:val="28"/>
        </w:rPr>
      </w:pPr>
      <w:r>
        <w:rPr>
          <w:rFonts w:eastAsia="方正仿宋_GBK"/>
          <w:sz w:val="28"/>
        </w:rPr>
        <w:t>七、林区上山道口设置道杆，由专人负责在防火期内摆放在各个林区交通要道，上山路口设有上山人员登记表，火源收集箱，杜绝一切火源隐患上山。我场备有整个林区人民群众中聋、哑、痴、呆、精神失常等病人登记表，包括确切的监护人，林区内所有坟头数量、户主、数量登记表。</w:t>
      </w:r>
    </w:p>
    <w:p>
      <w:pPr>
        <w:spacing w:line="500" w:lineRule="exact"/>
        <w:ind w:firstLine="560" w:firstLineChars="200"/>
        <w:jc w:val="left"/>
        <w:rPr>
          <w:rFonts w:eastAsia="方正仿宋_GBK"/>
          <w:sz w:val="28"/>
        </w:rPr>
      </w:pPr>
      <w:r>
        <w:rPr>
          <w:rFonts w:eastAsia="方正仿宋_GBK"/>
          <w:sz w:val="28"/>
        </w:rPr>
        <w:t>八、充分发挥管护人员的“腿勤、眼勤、嘴勤”的方式，随时掌控管护区域的民情、林情、山情的动态，对危害森林资源的行为及突发事件做到及时发现、及时制止、及时上报，将不宜于森林资源的安全隐患，消灭在萌芽状态。</w:t>
      </w:r>
    </w:p>
    <w:p>
      <w:pPr>
        <w:spacing w:line="500" w:lineRule="exact"/>
        <w:ind w:firstLine="560" w:firstLineChars="200"/>
        <w:jc w:val="left"/>
        <w:rPr>
          <w:rFonts w:eastAsia="方正仿宋_GBK"/>
          <w:sz w:val="28"/>
        </w:rPr>
      </w:pPr>
      <w:r>
        <w:rPr>
          <w:rFonts w:eastAsia="方正仿宋_GBK"/>
          <w:sz w:val="28"/>
        </w:rPr>
        <w:t>九、我场购置一台森林消防车，在扑救山火中威力巨大。</w:t>
      </w:r>
    </w:p>
    <w:p>
      <w:pPr>
        <w:spacing w:line="500" w:lineRule="exact"/>
        <w:ind w:firstLine="560" w:firstLineChars="200"/>
        <w:jc w:val="left"/>
        <w:rPr>
          <w:rFonts w:eastAsia="方正仿宋_GBK"/>
          <w:sz w:val="28"/>
        </w:rPr>
      </w:pPr>
      <w:r>
        <w:rPr>
          <w:rFonts w:eastAsia="方正仿宋_GBK"/>
          <w:sz w:val="28"/>
        </w:rPr>
        <w:br w:type="page"/>
      </w:r>
    </w:p>
    <w:p>
      <w:pPr>
        <w:ind w:firstLine="5146" w:firstLineChars="1602"/>
        <w:jc w:val="left"/>
        <w:rPr>
          <w:rFonts w:hAnsi="宋体"/>
          <w:b/>
          <w:sz w:val="32"/>
        </w:rPr>
      </w:pPr>
      <w:r>
        <w:rPr>
          <w:rFonts w:hint="eastAsia" w:ascii="方正楷体_GBK" w:eastAsia="方正楷体_GBK"/>
          <w:b/>
          <w:sz w:val="32"/>
        </w:rPr>
        <w:t>预算项目绩效目标</w:t>
      </w:r>
    </w:p>
    <w:p>
      <w:pPr>
        <w:ind w:firstLine="420" w:firstLineChars="200"/>
        <w:jc w:val="left"/>
      </w:pPr>
    </w:p>
    <w:p>
      <w:pPr>
        <w:ind w:firstLine="562" w:firstLineChars="200"/>
        <w:jc w:val="left"/>
        <w:rPr>
          <w:rFonts w:hAnsi="宋体"/>
          <w:b/>
          <w:sz w:val="28"/>
        </w:rPr>
      </w:pPr>
      <w:r>
        <w:rPr>
          <w:rFonts w:hint="eastAsia" w:ascii="方正仿宋_GBK" w:eastAsia="方正仿宋_GBK"/>
          <w:b/>
          <w:sz w:val="28"/>
        </w:rPr>
        <w:t>1、森林防火绩效目标表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预防森林火灾的发生，降低森林火险。实现预防森林火灾的目的。实现林区无火险、火灾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最大限度减少森林资源损失，确保东陵国有林区森林资源和生态安全。</w:t>
            </w:r>
          </w:p>
        </w:tc>
      </w:tr>
    </w:tbl>
    <w:p>
      <w:pPr>
        <w:spacing w:line="14" w:lineRule="exact"/>
        <w:jc w:val="center"/>
        <w:rPr>
          <w:rFonts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打防火隔离带面积</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当年各林区打防火隔离带总面积</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370000</w:t>
            </w:r>
            <w:r>
              <w:rPr>
                <w:rFonts w:hint="eastAsia" w:ascii="方正书宋_GBK" w:eastAsia="方正书宋_GBK"/>
              </w:rPr>
              <w:t>㎡</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1221</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1221</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1221</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1221</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改善生态环境</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保持生态平衡，保护生物多样性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提供公益性、社会性产品</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1221</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对水源的涵养</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依靠自身的储水能力来达到涵养水源的作用</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绿色水库</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1221</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森林火灾受害控制率（</w:t>
            </w:r>
            <w:r>
              <w:rPr>
                <w:rFonts w:ascii="方正书宋_GBK" w:eastAsia="方正书宋_GBK"/>
              </w:rPr>
              <w:t>%</w:t>
            </w:r>
            <w:r>
              <w:rPr>
                <w:rFonts w:hint="eastAsia" w:ascii="方正书宋_GBK" w:eastAsia="方正书宋_GBK"/>
              </w:rPr>
              <w:t>）</w:t>
            </w:r>
            <w:r>
              <w:rPr>
                <w:rFonts w:ascii="方正书宋_GBK" w:eastAsia="方正书宋_GBK"/>
              </w:rPr>
              <w:t xml:space="preserve"> </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全省森林火灾中受害森林面积与森林总面积的比率　</w:t>
            </w:r>
            <w:r>
              <w:rPr>
                <w:rFonts w:ascii="方正书宋_GBK" w:eastAsia="方正书宋_GBK"/>
              </w:rPr>
              <w:t xml:space="preserve"> </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0.1‰</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1221</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减少自然灾害</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防风固沙</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保护和改善人类的生存环境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1221</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林区群众对森林生态效益满意度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1221</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237</w:t>
            </w:r>
            <w:r>
              <w:rPr>
                <w:rFonts w:hint="eastAsia" w:ascii="方正书宋_GBK" w:eastAsia="方正书宋_GBK"/>
              </w:rPr>
              <w:t>号</w:t>
            </w: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2、冀财资环【2020】94号《关于提前下达2021年中央财政林业改革发展资金预算的通知》绩效目标表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最大限度减少森林资源损失，确保东陵国有林区森林资源和生态安全。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预防森林火灾的发生，降低森林火险。实现预防森林火灾的目的。实现林区无火险、火灾</w:t>
            </w:r>
          </w:p>
        </w:tc>
      </w:tr>
    </w:tbl>
    <w:p>
      <w:pPr>
        <w:spacing w:line="14" w:lineRule="exact"/>
        <w:jc w:val="center"/>
        <w:rPr>
          <w:rFonts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日常巡查宣传时间</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实际护林员巡查宣传天数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365</w:t>
            </w:r>
            <w:r>
              <w:rPr>
                <w:rFonts w:hint="eastAsia" w:ascii="方正书宋_GBK" w:eastAsia="方正书宋_GBK"/>
              </w:rPr>
              <w:t>天</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冀财资环【</w:t>
            </w:r>
            <w:r>
              <w:rPr>
                <w:rFonts w:ascii="方正书宋_GBK" w:eastAsia="方正书宋_GBK"/>
              </w:rPr>
              <w:t>2020</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冀财资环【</w:t>
            </w:r>
            <w:r>
              <w:rPr>
                <w:rFonts w:ascii="方正书宋_GBK" w:eastAsia="方正书宋_GBK"/>
              </w:rPr>
              <w:t>2020</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月底前</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冀财资环【</w:t>
            </w:r>
            <w:r>
              <w:rPr>
                <w:rFonts w:ascii="方正书宋_GBK" w:eastAsia="方正书宋_GBK"/>
              </w:rPr>
              <w:t>2020</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冀财资环【</w:t>
            </w:r>
            <w:r>
              <w:rPr>
                <w:rFonts w:ascii="方正书宋_GBK" w:eastAsia="方正书宋_GBK"/>
              </w:rPr>
              <w:t>2020</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改善生态环境</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保持生态平衡，保护生物多样性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提供公益性、社会性产品</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冀财资环【</w:t>
            </w:r>
            <w:r>
              <w:rPr>
                <w:rFonts w:ascii="方正书宋_GBK" w:eastAsia="方正书宋_GBK"/>
              </w:rPr>
              <w:t>2020</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对水源的涵养</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依靠自身的储水能力来达到涵养水源的作用</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绿色水库</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冀财资环【</w:t>
            </w:r>
            <w:r>
              <w:rPr>
                <w:rFonts w:ascii="方正书宋_GBK" w:eastAsia="方正书宋_GBK"/>
              </w:rPr>
              <w:t>2020</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森林火灾受害控制率（</w:t>
            </w:r>
            <w:r>
              <w:rPr>
                <w:rFonts w:ascii="方正书宋_GBK" w:eastAsia="方正书宋_GBK"/>
              </w:rPr>
              <w:t>%</w:t>
            </w:r>
            <w:r>
              <w:rPr>
                <w:rFonts w:hint="eastAsia" w:ascii="方正书宋_GBK" w:eastAsia="方正书宋_GBK"/>
              </w:rPr>
              <w:t>）</w:t>
            </w:r>
            <w:r>
              <w:rPr>
                <w:rFonts w:ascii="方正书宋_GBK" w:eastAsia="方正书宋_GBK"/>
              </w:rPr>
              <w:t xml:space="preserve"> </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全省森林火灾中受害森林面积与森林总面积的比率　</w:t>
            </w:r>
            <w:r>
              <w:rPr>
                <w:rFonts w:ascii="方正书宋_GBK" w:eastAsia="方正书宋_GBK"/>
              </w:rPr>
              <w:t xml:space="preserve"> </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0.1‰</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冀财资环【</w:t>
            </w:r>
            <w:r>
              <w:rPr>
                <w:rFonts w:ascii="方正书宋_GBK" w:eastAsia="方正书宋_GBK"/>
              </w:rPr>
              <w:t>2020</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减少自然灾害</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防风固沙</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保护和改善人类的生存环境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冀财资环【</w:t>
            </w:r>
            <w:r>
              <w:rPr>
                <w:rFonts w:ascii="方正书宋_GBK" w:eastAsia="方正书宋_GBK"/>
              </w:rPr>
              <w:t>2020</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林区群众对森林生态效益满意度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冀财资环【</w:t>
            </w:r>
            <w:r>
              <w:rPr>
                <w:rFonts w:ascii="方正书宋_GBK" w:eastAsia="方正书宋_GBK"/>
              </w:rPr>
              <w:t>2020</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3、财农【2020】78号《关于提前下达2021年中央财政专项扶贫资金（暂定名）预算的通知》绩效目标表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1. </w:t>
            </w:r>
            <w:r>
              <w:rPr>
                <w:rFonts w:hint="eastAsia" w:ascii="方正书宋_GBK" w:eastAsia="方正书宋_GBK"/>
              </w:rPr>
              <w:t>通过该项目的实施，改善了林场北山林区和森林消防队办公和生活条件。更好的做好森林管护工作。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最大限度减少森林资源损失，确保东陵国有林区森林资源和生态安全。</w:t>
            </w:r>
          </w:p>
        </w:tc>
      </w:tr>
    </w:tbl>
    <w:p>
      <w:pPr>
        <w:spacing w:line="14" w:lineRule="exact"/>
        <w:jc w:val="center"/>
        <w:rPr>
          <w:rFonts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平方米</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财农【</w:t>
            </w:r>
            <w:r>
              <w:rPr>
                <w:rFonts w:ascii="方正书宋_GBK" w:eastAsia="方正书宋_GBK"/>
              </w:rPr>
              <w:t>2020</w:t>
            </w:r>
            <w:r>
              <w:rPr>
                <w:rFonts w:hint="eastAsia" w:ascii="方正书宋_GBK" w:eastAsia="方正书宋_GBK"/>
              </w:rPr>
              <w:t>】</w:t>
            </w:r>
            <w:r>
              <w:rPr>
                <w:rFonts w:ascii="方正书宋_GBK" w:eastAsia="方正书宋_GBK"/>
              </w:rPr>
              <w:t>78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工程完工率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工程施工进度工作量占工程完工总量的比率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财农【</w:t>
            </w:r>
            <w:r>
              <w:rPr>
                <w:rFonts w:ascii="方正书宋_GBK" w:eastAsia="方正书宋_GBK"/>
              </w:rPr>
              <w:t>2020</w:t>
            </w:r>
            <w:r>
              <w:rPr>
                <w:rFonts w:hint="eastAsia" w:ascii="方正书宋_GBK" w:eastAsia="方正书宋_GBK"/>
              </w:rPr>
              <w:t>】</w:t>
            </w:r>
            <w:r>
              <w:rPr>
                <w:rFonts w:ascii="方正书宋_GBK" w:eastAsia="方正书宋_GBK"/>
              </w:rPr>
              <w:t>78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月底前</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财农【</w:t>
            </w:r>
            <w:r>
              <w:rPr>
                <w:rFonts w:ascii="方正书宋_GBK" w:eastAsia="方正书宋_GBK"/>
              </w:rPr>
              <w:t>2020</w:t>
            </w:r>
            <w:r>
              <w:rPr>
                <w:rFonts w:hint="eastAsia" w:ascii="方正书宋_GBK" w:eastAsia="方正书宋_GBK"/>
              </w:rPr>
              <w:t>】</w:t>
            </w:r>
            <w:r>
              <w:rPr>
                <w:rFonts w:ascii="方正书宋_GBK" w:eastAsia="方正书宋_GBK"/>
              </w:rPr>
              <w:t>78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财农【</w:t>
            </w:r>
            <w:r>
              <w:rPr>
                <w:rFonts w:ascii="方正书宋_GBK" w:eastAsia="方正书宋_GBK"/>
              </w:rPr>
              <w:t>2020</w:t>
            </w:r>
            <w:r>
              <w:rPr>
                <w:rFonts w:hint="eastAsia" w:ascii="方正书宋_GBK" w:eastAsia="方正书宋_GBK"/>
              </w:rPr>
              <w:t>】</w:t>
            </w:r>
            <w:r>
              <w:rPr>
                <w:rFonts w:ascii="方正书宋_GBK" w:eastAsia="方正书宋_GBK"/>
              </w:rPr>
              <w:t>78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改善生态环境</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保持生态平衡，保护生物多样性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提供公益性、社会性产品</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财农【</w:t>
            </w:r>
            <w:r>
              <w:rPr>
                <w:rFonts w:ascii="方正书宋_GBK" w:eastAsia="方正书宋_GBK"/>
              </w:rPr>
              <w:t>2020</w:t>
            </w:r>
            <w:r>
              <w:rPr>
                <w:rFonts w:hint="eastAsia" w:ascii="方正书宋_GBK" w:eastAsia="方正书宋_GBK"/>
              </w:rPr>
              <w:t>】</w:t>
            </w:r>
            <w:r>
              <w:rPr>
                <w:rFonts w:ascii="方正书宋_GBK" w:eastAsia="方正书宋_GBK"/>
              </w:rPr>
              <w:t>78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对水源的涵养</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依靠自身的储水能力来达到涵养水源的作用</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绿色水库</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财农【</w:t>
            </w:r>
            <w:r>
              <w:rPr>
                <w:rFonts w:ascii="方正书宋_GBK" w:eastAsia="方正书宋_GBK"/>
              </w:rPr>
              <w:t>2020</w:t>
            </w:r>
            <w:r>
              <w:rPr>
                <w:rFonts w:hint="eastAsia" w:ascii="方正书宋_GBK" w:eastAsia="方正书宋_GBK"/>
              </w:rPr>
              <w:t>】</w:t>
            </w:r>
            <w:r>
              <w:rPr>
                <w:rFonts w:ascii="方正书宋_GBK" w:eastAsia="方正书宋_GBK"/>
              </w:rPr>
              <w:t>78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森林火灾受害控制率（</w:t>
            </w:r>
            <w:r>
              <w:rPr>
                <w:rFonts w:ascii="方正书宋_GBK" w:eastAsia="方正书宋_GBK"/>
              </w:rPr>
              <w:t>%</w:t>
            </w:r>
            <w:r>
              <w:rPr>
                <w:rFonts w:hint="eastAsia" w:ascii="方正书宋_GBK" w:eastAsia="方正书宋_GBK"/>
              </w:rPr>
              <w:t>）</w:t>
            </w:r>
            <w:r>
              <w:rPr>
                <w:rFonts w:ascii="方正书宋_GBK" w:eastAsia="方正书宋_GBK"/>
              </w:rPr>
              <w:t xml:space="preserve"> </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全省森林火灾中受害森林面积与森林总面积的比率　</w:t>
            </w:r>
            <w:r>
              <w:rPr>
                <w:rFonts w:ascii="方正书宋_GBK" w:eastAsia="方正书宋_GBK"/>
              </w:rPr>
              <w:t xml:space="preserve"> </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0.1‰</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财农【</w:t>
            </w:r>
            <w:r>
              <w:rPr>
                <w:rFonts w:ascii="方正书宋_GBK" w:eastAsia="方正书宋_GBK"/>
              </w:rPr>
              <w:t>2020</w:t>
            </w:r>
            <w:r>
              <w:rPr>
                <w:rFonts w:hint="eastAsia" w:ascii="方正书宋_GBK" w:eastAsia="方正书宋_GBK"/>
              </w:rPr>
              <w:t>】</w:t>
            </w:r>
            <w:r>
              <w:rPr>
                <w:rFonts w:ascii="方正书宋_GBK" w:eastAsia="方正书宋_GBK"/>
              </w:rPr>
              <w:t>78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减少自然灾害</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防风固沙</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保护和改善人类的生存环境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财农【</w:t>
            </w:r>
            <w:r>
              <w:rPr>
                <w:rFonts w:ascii="方正书宋_GBK" w:eastAsia="方正书宋_GBK"/>
              </w:rPr>
              <w:t>2020</w:t>
            </w:r>
            <w:r>
              <w:rPr>
                <w:rFonts w:hint="eastAsia" w:ascii="方正书宋_GBK" w:eastAsia="方正书宋_GBK"/>
              </w:rPr>
              <w:t>】</w:t>
            </w:r>
            <w:r>
              <w:rPr>
                <w:rFonts w:ascii="方正书宋_GBK" w:eastAsia="方正书宋_GBK"/>
              </w:rPr>
              <w:t>78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林区群众对森林生态效益满意度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财农【</w:t>
            </w:r>
            <w:r>
              <w:rPr>
                <w:rFonts w:ascii="方正书宋_GBK" w:eastAsia="方正书宋_GBK"/>
              </w:rPr>
              <w:t>2020</w:t>
            </w:r>
            <w:r>
              <w:rPr>
                <w:rFonts w:hint="eastAsia" w:ascii="方正书宋_GBK" w:eastAsia="方正书宋_GBK"/>
              </w:rPr>
              <w:t>】</w:t>
            </w:r>
            <w:r>
              <w:rPr>
                <w:rFonts w:ascii="方正书宋_GBK" w:eastAsia="方正书宋_GBK"/>
              </w:rPr>
              <w:t>78</w:t>
            </w:r>
            <w:r>
              <w:rPr>
                <w:rFonts w:hint="eastAsia" w:ascii="方正书宋_GBK" w:eastAsia="方正书宋_GBK"/>
              </w:rPr>
              <w:t>号</w:t>
            </w: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4、病虫害防治绩效目标表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达到有虫无灾的良好局面，保障林木健康生长。达到有虫无灾的良好局面，保障林木健康生长。</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最大限度减少森林资源损失，确保东陵国有林区森林资源和生态安全。</w:t>
            </w:r>
          </w:p>
        </w:tc>
      </w:tr>
    </w:tbl>
    <w:p>
      <w:pPr>
        <w:spacing w:line="14" w:lineRule="exact"/>
        <w:jc w:val="center"/>
        <w:rPr>
          <w:rFonts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林业有害生物防治面积</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当年完成的林业有害生物防治面积</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4687.5</w:t>
            </w:r>
            <w:r>
              <w:rPr>
                <w:rFonts w:hint="eastAsia" w:ascii="方正书宋_GBK" w:eastAsia="方正书宋_GBK"/>
              </w:rPr>
              <w:t>亩</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检疫工作完成率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产地检疫工作完成面积占计划的比例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10</w:t>
            </w:r>
            <w:r>
              <w:rPr>
                <w:rFonts w:hint="eastAsia" w:ascii="方正书宋_GBK" w:eastAsia="方正书宋_GBK"/>
              </w:rPr>
              <w:t>月底前</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改善生态环境</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保持生态平衡，保护生物多样性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提供公益性、社会性产品</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对水源的涵养</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依靠自身的储水能力来达到涵养水源的作用</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绿色水库</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林业有害生物成灾率（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全省林业有害生物灾害发生面积与森林面积的比率　</w:t>
            </w:r>
            <w:r>
              <w:rPr>
                <w:rFonts w:ascii="方正书宋_GBK" w:eastAsia="方正书宋_GBK"/>
              </w:rPr>
              <w:t xml:space="preserve"> </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0.1</w:t>
            </w:r>
            <w:r>
              <w:rPr>
                <w:rFonts w:hint="eastAsia" w:ascii="方正书宋_GBK" w:eastAsia="方正书宋_GBK"/>
              </w:rPr>
              <w:t>千分之</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减少自然灾害</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防风固沙</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保护和改善人类的生存条件</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林区群众对森林生态效益满意度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237</w:t>
            </w:r>
            <w:r>
              <w:rPr>
                <w:rFonts w:hint="eastAsia" w:ascii="方正书宋_GBK" w:eastAsia="方正书宋_GBK"/>
              </w:rPr>
              <w:t>号</w:t>
            </w: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5、监控系统租赁服务费绩效目标表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实现全林区防火视频监控技防和人防对接，保护好东陵国有林区森林资源，有效控制重大森林火灾发生，最大限度减少森林资源损失，确保东陵国有林区森林资源和生态安全。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降低了森林火险，实现了预防森林火灾的目的</w:t>
            </w:r>
          </w:p>
        </w:tc>
      </w:tr>
    </w:tbl>
    <w:p>
      <w:pPr>
        <w:spacing w:line="14" w:lineRule="exact"/>
        <w:jc w:val="center"/>
        <w:rPr>
          <w:rFonts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防火视频监控技防和人防对接</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林火监测系统建设运营维护点位</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16</w:t>
            </w:r>
            <w:r>
              <w:rPr>
                <w:rFonts w:hint="eastAsia" w:ascii="方正书宋_GBK" w:eastAsia="方正书宋_GBK"/>
              </w:rPr>
              <w:t>点位</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1551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可以获得多画面现场实时图像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火灾发生点能精确定位的比率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1551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年底前</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1551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1551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改善生态环境</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保持生态平衡，保护生物多样性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提供公益性、社会性产品</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1551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对水源的涵养</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依靠自身的储水能力来达到涵养水源的作用</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绿色水库</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1551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森林火灾受害控制率（</w:t>
            </w:r>
            <w:r>
              <w:rPr>
                <w:rFonts w:ascii="方正书宋_GBK" w:eastAsia="方正书宋_GBK"/>
              </w:rPr>
              <w:t>%</w:t>
            </w:r>
            <w:r>
              <w:rPr>
                <w:rFonts w:hint="eastAsia" w:ascii="方正书宋_GBK" w:eastAsia="方正书宋_GBK"/>
              </w:rPr>
              <w:t>）</w:t>
            </w:r>
            <w:r>
              <w:rPr>
                <w:rFonts w:ascii="方正书宋_GBK" w:eastAsia="方正书宋_GBK"/>
              </w:rPr>
              <w:t xml:space="preserve"> </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全省森林火灾中受害森林面积与森林总面积的比率　</w:t>
            </w:r>
            <w:r>
              <w:rPr>
                <w:rFonts w:ascii="方正书宋_GBK" w:eastAsia="方正书宋_GBK"/>
              </w:rPr>
              <w:t xml:space="preserve"> </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0.1‰</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1551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减少自然灾害</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防风固沙</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保护和改善人类的生存环境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1551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　</w:t>
            </w:r>
            <w:r>
              <w:rPr>
                <w:rFonts w:ascii="方正书宋_GBK" w:eastAsia="方正书宋_GBK"/>
              </w:rPr>
              <w:t xml:space="preserve"> </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林区群众对森林生态效益满意度　</w:t>
            </w:r>
            <w:r>
              <w:rPr>
                <w:rFonts w:ascii="方正书宋_GBK" w:eastAsia="方正书宋_GBK"/>
              </w:rPr>
              <w:t xml:space="preserve"> </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1551</w:t>
            </w:r>
            <w:r>
              <w:rPr>
                <w:rFonts w:hint="eastAsia" w:ascii="方正书宋_GBK" w:eastAsia="方正书宋_GBK"/>
              </w:rPr>
              <w:t>号</w:t>
            </w:r>
          </w:p>
        </w:tc>
      </w:tr>
    </w:tbl>
    <w:p>
      <w:pPr>
        <w:spacing w:line="300" w:lineRule="exact"/>
        <w:jc w:val="left"/>
      </w:pPr>
    </w:p>
    <w:p>
      <w:pPr>
        <w:spacing w:before="156" w:beforeLines="50" w:after="156" w:afterLines="50"/>
        <w:ind w:firstLine="640" w:firstLineChars="200"/>
        <w:jc w:val="left"/>
        <w:outlineLvl w:val="2"/>
        <w:rPr>
          <w:rFonts w:hAnsi="宋体"/>
          <w:sz w:val="32"/>
        </w:rPr>
      </w:pPr>
      <w:bookmarkStart w:id="5" w:name="_Toc66695133"/>
      <w:r>
        <w:rPr>
          <w:rFonts w:hint="eastAsia" w:ascii="黑体" w:eastAsia="黑体"/>
          <w:sz w:val="32"/>
        </w:rPr>
        <w:t>六、政府采购预算情况</w:t>
      </w:r>
      <w:bookmarkEnd w:id="5"/>
    </w:p>
    <w:p>
      <w:pPr>
        <w:spacing w:line="500" w:lineRule="exact"/>
        <w:ind w:firstLine="560" w:firstLineChars="200"/>
        <w:jc w:val="left"/>
        <w:rPr>
          <w:rFonts w:hAnsi="宋体"/>
          <w:sz w:val="28"/>
        </w:rPr>
      </w:pPr>
      <w:r>
        <w:rPr>
          <w:rFonts w:hint="eastAsia" w:eastAsia="方正仿宋_GBK"/>
          <w:sz w:val="28"/>
        </w:rPr>
        <w:t>2021年，遵化市林业局部门安排政府采购预算111.00万元。</w:t>
      </w:r>
    </w:p>
    <w:p>
      <w:pPr>
        <w:jc w:val="center"/>
        <w:rPr>
          <w:rFonts w:hAnsi="宋体"/>
          <w:sz w:val="36"/>
        </w:rPr>
      </w:pPr>
      <w:r>
        <w:rPr>
          <w:rFonts w:hint="eastAsia" w:ascii="方正小标宋_GBK" w:eastAsia="方正小标宋_GBK"/>
          <w:sz w:val="36"/>
        </w:rPr>
        <w:t>部门政府采购预算</w:t>
      </w:r>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327</w:t>
            </w:r>
            <w:r>
              <w:rPr>
                <w:rFonts w:hint="eastAsia" w:ascii="方正小标宋_GBK" w:eastAsia="方正小标宋_GBK"/>
                <w:sz w:val="24"/>
              </w:rPr>
              <w:t>遵化市林业局部门</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pPr>
              <w:spacing w:line="300" w:lineRule="exact"/>
              <w:jc w:val="left"/>
            </w:pPr>
          </w:p>
        </w:tc>
        <w:tc>
          <w:tcPr>
            <w:tcW w:w="1531" w:type="dxa"/>
            <w:vMerge w:val="continue"/>
            <w:shd w:val="clear" w:color="auto" w:fill="auto"/>
            <w:vAlign w:val="center"/>
          </w:tcPr>
          <w:p>
            <w:pPr>
              <w:spacing w:line="300" w:lineRule="exact"/>
              <w:jc w:val="left"/>
            </w:pPr>
          </w:p>
        </w:tc>
        <w:tc>
          <w:tcPr>
            <w:tcW w:w="709"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111.00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111.00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遵化市国营东陵林场小计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111.00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111.00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财农【</w:t>
            </w:r>
            <w:r>
              <w:rPr>
                <w:rFonts w:ascii="方正书宋_GBK" w:eastAsia="方正书宋_GBK"/>
              </w:rPr>
              <w:t>2020</w:t>
            </w:r>
            <w:r>
              <w:rPr>
                <w:rFonts w:hint="eastAsia" w:ascii="方正书宋_GBK" w:eastAsia="方正书宋_GBK"/>
              </w:rPr>
              <w:t>】</w:t>
            </w:r>
            <w:r>
              <w:rPr>
                <w:rFonts w:ascii="方正书宋_GBK" w:eastAsia="方正书宋_GBK"/>
              </w:rPr>
              <w:t>78</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年中央财政专项扶贫资金（暂定名）预算的通知》</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66.00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事业单位用房</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A010206</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牌</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66.00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66.00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66.00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冀财资环【</w:t>
            </w:r>
            <w:r>
              <w:rPr>
                <w:rFonts w:ascii="方正书宋_GBK" w:eastAsia="方正书宋_GBK"/>
              </w:rPr>
              <w:t>2020</w:t>
            </w:r>
            <w:r>
              <w:rPr>
                <w:rFonts w:hint="eastAsia" w:ascii="方正书宋_GBK" w:eastAsia="方正书宋_GBK"/>
              </w:rPr>
              <w:t>】</w:t>
            </w:r>
            <w:r>
              <w:rPr>
                <w:rFonts w:ascii="方正书宋_GBK" w:eastAsia="方正书宋_GBK"/>
              </w:rPr>
              <w:t>94</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年中央财政林业改革发展资金预算的通知》</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其他专用汽车</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A02030799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辆</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outlineLvl w:val="2"/>
        <w:rPr>
          <w:rFonts w:hAnsi="宋体"/>
          <w:sz w:val="32"/>
        </w:rPr>
      </w:pPr>
      <w:bookmarkStart w:id="6" w:name="_Toc66695134"/>
      <w:r>
        <w:rPr>
          <w:rFonts w:hint="eastAsia" w:ascii="黑体" w:hAnsi="黑体" w:eastAsia="黑体"/>
          <w:sz w:val="32"/>
        </w:rPr>
        <w:t>七、国有资产信息</w:t>
      </w:r>
      <w:bookmarkEnd w:id="6"/>
    </w:p>
    <w:p>
      <w:pPr>
        <w:spacing w:line="500" w:lineRule="exact"/>
        <w:ind w:firstLine="560" w:firstLineChars="200"/>
        <w:jc w:val="left"/>
        <w:rPr>
          <w:rFonts w:hAnsi="宋体"/>
          <w:sz w:val="28"/>
        </w:rPr>
      </w:pPr>
      <w:r>
        <w:rPr>
          <w:rFonts w:hint="eastAsia" w:eastAsia="方正仿宋_GBK"/>
          <w:sz w:val="28"/>
        </w:rPr>
        <w:t>遵化市林业局部门（含所属单位）上年末固定资产金额为</w:t>
      </w:r>
      <w:r>
        <w:rPr>
          <w:rFonts w:hint="eastAsia" w:eastAsiaTheme="minorEastAsia"/>
          <w:sz w:val="28"/>
        </w:rPr>
        <w:t>862.24</w:t>
      </w:r>
      <w:r>
        <w:rPr>
          <w:rFonts w:hint="eastAsia" w:eastAsia="方正仿宋_GBK"/>
          <w:sz w:val="28"/>
        </w:rPr>
        <w:t>万元（详见下表）。本年度拟购置固定资产总额为</w:t>
      </w:r>
      <w:r>
        <w:rPr>
          <w:rFonts w:hint="eastAsia" w:eastAsiaTheme="minorEastAsia"/>
          <w:sz w:val="28"/>
        </w:rPr>
        <w:t>111</w:t>
      </w:r>
      <w:r>
        <w:rPr>
          <w:rFonts w:hint="eastAsia" w:eastAsia="方正仿宋_GBK"/>
          <w:sz w:val="28"/>
        </w:rPr>
        <w:t>万元，已按要求列入政府采购预算，详见政府采购预算表。</w:t>
      </w:r>
    </w:p>
    <w:p>
      <w:pPr>
        <w:jc w:val="center"/>
        <w:rPr>
          <w:rFonts w:hAnsi="宋体"/>
          <w:sz w:val="36"/>
        </w:rPr>
      </w:pPr>
      <w:r>
        <w:rPr>
          <w:rFonts w:hint="eastAsia" w:ascii="方正小标宋_GBK" w:eastAsia="方正小标宋_GBK"/>
          <w:sz w:val="36"/>
        </w:rPr>
        <w:t>部门固定资产占用情况表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327</w:t>
            </w:r>
            <w:r>
              <w:rPr>
                <w:rFonts w:hint="eastAsia" w:ascii="方正小标宋_GBK" w:eastAsia="方正小标宋_GBK"/>
                <w:sz w:val="24"/>
              </w:rPr>
              <w:t>遵化市林业局部门</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0" w:hRule="atLeas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widowControl/>
              <w:jc w:val="center"/>
              <w:rPr>
                <w:rFonts w:ascii="仿宋" w:hAnsi="仿宋" w:eastAsia="仿宋"/>
                <w:sz w:val="28"/>
                <w:szCs w:val="28"/>
              </w:rPr>
            </w:pPr>
            <w:r>
              <w:rPr>
                <w:rFonts w:hint="eastAsia" w:ascii="仿宋" w:hAnsi="仿宋" w:eastAsia="仿宋"/>
                <w:sz w:val="28"/>
                <w:szCs w:val="28"/>
              </w:rPr>
              <w:t>资产总额</w:t>
            </w:r>
          </w:p>
        </w:tc>
        <w:tc>
          <w:tcPr>
            <w:tcW w:w="2835"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tc>
        <w:tc>
          <w:tcPr>
            <w:tcW w:w="2835" w:type="dxa"/>
            <w:shd w:val="clear" w:color="auto" w:fill="auto"/>
            <w:vAlign w:val="center"/>
          </w:tcPr>
          <w:p>
            <w:pPr>
              <w:spacing w:line="300" w:lineRule="exact"/>
              <w:jc w:val="center"/>
              <w:rPr>
                <w:rFonts w:ascii="方正书宋_GBK" w:eastAsia="方正书宋_GBK"/>
                <w:sz w:val="30"/>
                <w:szCs w:val="30"/>
              </w:rPr>
            </w:pPr>
            <w:r>
              <w:rPr>
                <w:rFonts w:hint="eastAsia" w:ascii="方正书宋_GBK" w:eastAsia="方正书宋_GBK"/>
                <w:sz w:val="30"/>
                <w:szCs w:val="30"/>
              </w:rPr>
              <w:t>862.24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widowControl/>
              <w:jc w:val="center"/>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、房屋（平方米）</w:t>
            </w:r>
          </w:p>
        </w:tc>
        <w:tc>
          <w:tcPr>
            <w:tcW w:w="2835" w:type="dxa"/>
            <w:shd w:val="clear" w:color="auto" w:fill="auto"/>
            <w:vAlign w:val="center"/>
          </w:tcPr>
          <w:p>
            <w:pPr>
              <w:jc w:val="center"/>
              <w:rPr>
                <w:rFonts w:hint="eastAsia" w:ascii="仿宋" w:hAnsi="仿宋" w:eastAsia="仿宋"/>
                <w:sz w:val="28"/>
                <w:szCs w:val="28"/>
              </w:rPr>
            </w:pPr>
            <w:r>
              <w:rPr>
                <w:rFonts w:hint="eastAsia" w:ascii="仿宋" w:hAnsi="仿宋" w:eastAsia="仿宋"/>
                <w:sz w:val="28"/>
                <w:szCs w:val="28"/>
              </w:rPr>
              <w:t>3607.5</w:t>
            </w:r>
          </w:p>
        </w:tc>
        <w:tc>
          <w:tcPr>
            <w:tcW w:w="2835" w:type="dxa"/>
            <w:shd w:val="clear" w:color="auto" w:fill="auto"/>
            <w:vAlign w:val="center"/>
          </w:tcPr>
          <w:p>
            <w:pPr>
              <w:jc w:val="center"/>
              <w:rPr>
                <w:rFonts w:hint="eastAsia" w:ascii="仿宋" w:hAnsi="仿宋" w:eastAsia="仿宋"/>
                <w:sz w:val="28"/>
                <w:szCs w:val="28"/>
              </w:rPr>
            </w:pPr>
            <w:r>
              <w:rPr>
                <w:rFonts w:hint="eastAsia" w:ascii="仿宋" w:hAnsi="仿宋" w:eastAsia="仿宋"/>
                <w:sz w:val="28"/>
                <w:szCs w:val="28"/>
              </w:rPr>
              <w:t>216.94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widowControl/>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其中：办公用房（平方米）</w:t>
            </w:r>
          </w:p>
        </w:tc>
        <w:tc>
          <w:tcPr>
            <w:tcW w:w="2835" w:type="dxa"/>
            <w:shd w:val="clear" w:color="auto" w:fill="auto"/>
            <w:vAlign w:val="center"/>
          </w:tcPr>
          <w:p>
            <w:pPr>
              <w:jc w:val="center"/>
              <w:rPr>
                <w:rFonts w:hint="eastAsia" w:ascii="仿宋" w:hAnsi="仿宋" w:eastAsia="仿宋"/>
                <w:sz w:val="28"/>
                <w:szCs w:val="28"/>
              </w:rPr>
            </w:pPr>
            <w:r>
              <w:rPr>
                <w:rFonts w:hint="eastAsia" w:ascii="仿宋" w:hAnsi="仿宋" w:eastAsia="仿宋"/>
                <w:sz w:val="28"/>
                <w:szCs w:val="28"/>
              </w:rPr>
              <w:t>3607.5</w:t>
            </w:r>
          </w:p>
        </w:tc>
        <w:tc>
          <w:tcPr>
            <w:tcW w:w="2835" w:type="dxa"/>
            <w:shd w:val="clear" w:color="auto" w:fill="auto"/>
            <w:vAlign w:val="center"/>
          </w:tcPr>
          <w:p>
            <w:pPr>
              <w:jc w:val="center"/>
              <w:rPr>
                <w:rFonts w:hint="eastAsia" w:ascii="仿宋" w:hAnsi="仿宋" w:eastAsia="仿宋"/>
                <w:sz w:val="28"/>
                <w:szCs w:val="28"/>
              </w:rPr>
            </w:pPr>
            <w:r>
              <w:rPr>
                <w:rFonts w:hint="eastAsia" w:ascii="仿宋" w:hAnsi="仿宋" w:eastAsia="仿宋"/>
                <w:sz w:val="28"/>
                <w:szCs w:val="28"/>
              </w:rPr>
              <w:t>216.94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widowControl/>
              <w:jc w:val="center"/>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、车辆（台、辆）</w:t>
            </w:r>
          </w:p>
        </w:tc>
        <w:tc>
          <w:tcPr>
            <w:tcW w:w="2835" w:type="dxa"/>
            <w:shd w:val="clear" w:color="auto" w:fill="auto"/>
            <w:vAlign w:val="center"/>
          </w:tcPr>
          <w:p>
            <w:pPr>
              <w:widowControl/>
              <w:jc w:val="center"/>
              <w:rPr>
                <w:rFonts w:hint="eastAsia" w:ascii="仿宋" w:hAnsi="仿宋" w:eastAsia="仿宋"/>
                <w:sz w:val="28"/>
                <w:szCs w:val="28"/>
              </w:rPr>
            </w:pPr>
            <w:r>
              <w:rPr>
                <w:rFonts w:hint="eastAsia" w:ascii="仿宋" w:hAnsi="仿宋" w:eastAsia="仿宋"/>
                <w:sz w:val="28"/>
                <w:szCs w:val="28"/>
              </w:rPr>
              <w:t>7</w:t>
            </w:r>
          </w:p>
        </w:tc>
        <w:tc>
          <w:tcPr>
            <w:tcW w:w="2835" w:type="dxa"/>
            <w:shd w:val="clear" w:color="auto" w:fill="auto"/>
            <w:vAlign w:val="center"/>
          </w:tcPr>
          <w:p>
            <w:pPr>
              <w:widowControl/>
              <w:jc w:val="center"/>
              <w:rPr>
                <w:rFonts w:hint="eastAsia" w:ascii="仿宋" w:hAnsi="仿宋" w:eastAsia="仿宋"/>
                <w:sz w:val="30"/>
                <w:szCs w:val="30"/>
              </w:rPr>
            </w:pPr>
            <w:r>
              <w:rPr>
                <w:rFonts w:hint="eastAsia" w:ascii="仿宋" w:hAnsi="仿宋" w:eastAsia="仿宋"/>
                <w:sz w:val="30"/>
                <w:szCs w:val="30"/>
              </w:rPr>
              <w:t>118.41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widowControl/>
              <w:jc w:val="center"/>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、单价在</w:t>
            </w:r>
            <w:r>
              <w:rPr>
                <w:rFonts w:ascii="仿宋" w:hAnsi="仿宋" w:eastAsia="仿宋"/>
                <w:sz w:val="28"/>
                <w:szCs w:val="28"/>
              </w:rPr>
              <w:t>20</w:t>
            </w:r>
            <w:r>
              <w:rPr>
                <w:rFonts w:hint="eastAsia" w:ascii="仿宋" w:hAnsi="仿宋" w:eastAsia="仿宋"/>
                <w:sz w:val="28"/>
                <w:szCs w:val="28"/>
              </w:rPr>
              <w:t>万元以上的设备</w:t>
            </w:r>
          </w:p>
        </w:tc>
        <w:tc>
          <w:tcPr>
            <w:tcW w:w="2835" w:type="dxa"/>
            <w:shd w:val="clear" w:color="auto" w:fill="auto"/>
            <w:vAlign w:val="center"/>
          </w:tcPr>
          <w:p>
            <w:pPr>
              <w:jc w:val="center"/>
              <w:rPr>
                <w:rFonts w:hint="eastAsia" w:ascii="仿宋" w:hAnsi="仿宋" w:eastAsia="仿宋"/>
                <w:sz w:val="28"/>
                <w:szCs w:val="28"/>
              </w:rPr>
            </w:pPr>
            <w:r>
              <w:rPr>
                <w:rFonts w:hint="eastAsia" w:ascii="仿宋" w:hAnsi="仿宋" w:eastAsia="仿宋"/>
                <w:sz w:val="28"/>
                <w:szCs w:val="28"/>
              </w:rPr>
              <w:t>0</w:t>
            </w:r>
          </w:p>
          <w:p>
            <w:pPr>
              <w:jc w:val="center"/>
              <w:rPr>
                <w:rFonts w:ascii="仿宋" w:hAnsi="仿宋" w:eastAsia="仿宋"/>
                <w:sz w:val="28"/>
                <w:szCs w:val="28"/>
              </w:rPr>
            </w:pPr>
          </w:p>
        </w:tc>
        <w:tc>
          <w:tcPr>
            <w:tcW w:w="2835" w:type="dxa"/>
            <w:shd w:val="clear" w:color="auto" w:fill="auto"/>
            <w:vAlign w:val="center"/>
          </w:tcPr>
          <w:p>
            <w:pPr>
              <w:jc w:val="center"/>
              <w:rPr>
                <w:rFonts w:hint="eastAsia" w:ascii="仿宋" w:hAnsi="仿宋" w:eastAsia="仿宋"/>
                <w:sz w:val="30"/>
                <w:szCs w:val="30"/>
              </w:rPr>
            </w:pPr>
            <w:r>
              <w:rPr>
                <w:rFonts w:hint="eastAsia" w:ascii="仿宋" w:hAnsi="仿宋" w:eastAsia="仿宋"/>
                <w:sz w:val="30"/>
                <w:szCs w:val="30"/>
              </w:rPr>
              <w:t>0</w:t>
            </w:r>
          </w:p>
          <w:p>
            <w:pPr>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widowControl/>
              <w:jc w:val="center"/>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、其他固定资产</w:t>
            </w:r>
          </w:p>
        </w:tc>
        <w:tc>
          <w:tcPr>
            <w:tcW w:w="2835"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171</w:t>
            </w:r>
          </w:p>
        </w:tc>
        <w:tc>
          <w:tcPr>
            <w:tcW w:w="2835" w:type="dxa"/>
            <w:shd w:val="clear" w:color="auto" w:fill="auto"/>
            <w:vAlign w:val="center"/>
          </w:tcPr>
          <w:p>
            <w:pPr>
              <w:spacing w:line="300" w:lineRule="exact"/>
              <w:jc w:val="center"/>
              <w:rPr>
                <w:rFonts w:ascii="方正书宋_GBK" w:eastAsia="方正书宋_GBK"/>
                <w:sz w:val="30"/>
                <w:szCs w:val="30"/>
              </w:rPr>
            </w:pPr>
            <w:r>
              <w:rPr>
                <w:rFonts w:hint="eastAsia" w:ascii="方正书宋_GBK" w:eastAsia="方正书宋_GBK"/>
                <w:sz w:val="30"/>
                <w:szCs w:val="30"/>
              </w:rPr>
              <w:t>526.89</w:t>
            </w:r>
          </w:p>
        </w:tc>
      </w:tr>
    </w:tbl>
    <w:p>
      <w:pPr>
        <w:spacing w:before="156" w:beforeLines="50" w:after="156" w:afterLines="50"/>
        <w:ind w:firstLine="640" w:firstLineChars="200"/>
        <w:jc w:val="left"/>
        <w:outlineLvl w:val="2"/>
        <w:rPr>
          <w:rFonts w:hAnsi="宋体"/>
          <w:sz w:val="32"/>
        </w:rPr>
      </w:pPr>
      <w:bookmarkStart w:id="7" w:name="_Toc66695135"/>
      <w:r>
        <w:rPr>
          <w:rFonts w:hint="eastAsia" w:ascii="黑体" w:hAnsi="黑体" w:eastAsia="黑体"/>
          <w:sz w:val="32"/>
        </w:rPr>
        <w:t>八、名词解释</w:t>
      </w:r>
      <w:bookmarkEnd w:id="7"/>
    </w:p>
    <w:p>
      <w:pPr>
        <w:spacing w:line="500" w:lineRule="exact"/>
        <w:ind w:firstLine="560" w:firstLineChars="200"/>
        <w:jc w:val="left"/>
        <w:rPr>
          <w:rFonts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指省级财政当年拨付的资金。</w:t>
      </w:r>
    </w:p>
    <w:p>
      <w:pPr>
        <w:spacing w:line="500" w:lineRule="exact"/>
        <w:ind w:firstLine="560" w:firstLineChars="200"/>
        <w:jc w:val="left"/>
        <w:rPr>
          <w:rFonts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rPr>
        <w:t>“</w:t>
      </w:r>
      <w:r>
        <w:rPr>
          <w:rFonts w:hint="eastAsia" w:eastAsia="方正仿宋_GBK"/>
          <w:sz w:val="28"/>
        </w:rPr>
        <w:t>一般公共预算拨款收入</w:t>
      </w:r>
      <w:r>
        <w:rPr>
          <w:rFonts w:hint="cs" w:eastAsia="方正仿宋_GBK"/>
          <w:sz w:val="28"/>
        </w:rPr>
        <w:t>”</w:t>
      </w:r>
      <w:r>
        <w:rPr>
          <w:rFonts w:hint="eastAsia" w:eastAsia="方正仿宋_GBK"/>
          <w:sz w:val="28"/>
        </w:rPr>
        <w:t>、</w:t>
      </w:r>
      <w:r>
        <w:rPr>
          <w:rFonts w:hint="cs" w:eastAsia="方正仿宋_GBK"/>
          <w:sz w:val="28"/>
        </w:rPr>
        <w:t>“</w:t>
      </w:r>
      <w:r>
        <w:rPr>
          <w:rFonts w:hint="eastAsia" w:eastAsia="方正仿宋_GBK"/>
          <w:sz w:val="28"/>
        </w:rPr>
        <w:t>事业收入</w:t>
      </w:r>
      <w:r>
        <w:rPr>
          <w:rFonts w:hint="cs" w:eastAsia="方正仿宋_GBK"/>
          <w:sz w:val="28"/>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Ansi="宋体"/>
          <w:sz w:val="28"/>
        </w:rPr>
      </w:pPr>
      <w:r>
        <w:rPr>
          <w:rFonts w:hint="eastAsia" w:eastAsia="方正仿宋_GBK"/>
          <w:sz w:val="28"/>
        </w:rPr>
        <w:t>7、</w:t>
      </w:r>
      <w:r>
        <w:rPr>
          <w:rFonts w:hint="cs" w:eastAsia="方正仿宋_GBK"/>
          <w:b/>
          <w:sz w:val="28"/>
        </w:rPr>
        <w:t>“</w:t>
      </w:r>
      <w:r>
        <w:rPr>
          <w:rFonts w:hint="eastAsia" w:eastAsia="方正仿宋_GBK"/>
          <w:b/>
          <w:sz w:val="28"/>
        </w:rPr>
        <w:t>三公</w:t>
      </w:r>
      <w:r>
        <w:rPr>
          <w:rFonts w:hint="cs" w:eastAsia="方正仿宋_GBK"/>
          <w:b/>
          <w:sz w:val="28"/>
        </w:rPr>
        <w:t>”</w:t>
      </w:r>
      <w:r>
        <w:rPr>
          <w:rFonts w:hint="eastAsia" w:eastAsia="方正仿宋_GBK"/>
          <w:b/>
          <w:sz w:val="28"/>
        </w:rPr>
        <w:t>经费：</w:t>
      </w:r>
      <w:r>
        <w:rPr>
          <w:rFonts w:hint="eastAsia" w:eastAsia="方正仿宋_GBK"/>
          <w:sz w:val="28"/>
        </w:rPr>
        <w:t>纳入省级财政预算管理的</w:t>
      </w:r>
      <w:r>
        <w:rPr>
          <w:rFonts w:hint="cs" w:eastAsia="方正仿宋_GBK"/>
          <w:sz w:val="28"/>
        </w:rPr>
        <w:t>“</w:t>
      </w:r>
      <w:r>
        <w:rPr>
          <w:rFonts w:hint="eastAsia" w:eastAsia="方正仿宋_GBK"/>
          <w:sz w:val="28"/>
        </w:rPr>
        <w:t>三公</w:t>
      </w:r>
      <w:r>
        <w:rPr>
          <w:rFonts w:hint="cs" w:eastAsia="方正仿宋_GBK"/>
          <w:sz w:val="28"/>
        </w:rPr>
        <w:t>”</w:t>
      </w:r>
      <w:r>
        <w:rPr>
          <w:rFonts w:hint="eastAsia" w:eastAsia="方正仿宋_GBK"/>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outlineLvl w:val="2"/>
        <w:rPr>
          <w:rFonts w:hAnsi="宋体"/>
          <w:sz w:val="32"/>
        </w:rPr>
      </w:pPr>
      <w:bookmarkStart w:id="8" w:name="_Toc66695136"/>
      <w:r>
        <w:rPr>
          <w:rFonts w:hint="eastAsia" w:ascii="黑体" w:hAnsi="黑体" w:eastAsia="黑体"/>
          <w:sz w:val="32"/>
        </w:rPr>
        <w:t>九、其他需要说明的事项</w:t>
      </w:r>
      <w:bookmarkEnd w:id="8"/>
    </w:p>
    <w:p>
      <w:pPr>
        <w:ind w:firstLine="840" w:firstLineChars="300"/>
        <w:rPr>
          <w:rFonts w:eastAsia="方正仿宋_GBK"/>
          <w:sz w:val="28"/>
        </w:rPr>
      </w:pPr>
      <w:r>
        <w:rPr>
          <w:rFonts w:hint="eastAsia" w:eastAsia="方正仿宋_GBK"/>
          <w:sz w:val="28"/>
        </w:rPr>
        <w:t>1、遵化市林业局2021年部门预算中未安排政府性基金预算，故政府性基金预算支出表为空。</w:t>
      </w:r>
    </w:p>
    <w:p>
      <w:pPr>
        <w:ind w:firstLine="840" w:firstLineChars="300"/>
        <w:rPr>
          <w:rFonts w:eastAsia="方正仿宋_GBK"/>
          <w:sz w:val="28"/>
        </w:rPr>
      </w:pPr>
      <w:r>
        <w:rPr>
          <w:rFonts w:hint="eastAsia" w:eastAsia="方正仿宋_GBK"/>
          <w:sz w:val="28"/>
        </w:rPr>
        <w:t>2、遵化市林业局2021年部门预算中未安排资本经营预算，故国有资本经营预算支出表为空。</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ZTVkZWFjZTY2ZDNiNzc4MDdhNjc2NzAwNzEwYTUifQ=="/>
  </w:docVars>
  <w:rsids>
    <w:rsidRoot w:val="0025634E"/>
    <w:rsid w:val="000D2684"/>
    <w:rsid w:val="00147BA2"/>
    <w:rsid w:val="00154B5B"/>
    <w:rsid w:val="001B62A8"/>
    <w:rsid w:val="001F69B9"/>
    <w:rsid w:val="00201505"/>
    <w:rsid w:val="00223B52"/>
    <w:rsid w:val="002339E2"/>
    <w:rsid w:val="0025634E"/>
    <w:rsid w:val="0026679F"/>
    <w:rsid w:val="002C6E12"/>
    <w:rsid w:val="00310BFD"/>
    <w:rsid w:val="00380847"/>
    <w:rsid w:val="003B2DB7"/>
    <w:rsid w:val="003D6EA2"/>
    <w:rsid w:val="004968AE"/>
    <w:rsid w:val="004C20AA"/>
    <w:rsid w:val="00564192"/>
    <w:rsid w:val="00565E91"/>
    <w:rsid w:val="006032A7"/>
    <w:rsid w:val="00773134"/>
    <w:rsid w:val="00784573"/>
    <w:rsid w:val="007A2250"/>
    <w:rsid w:val="007B525E"/>
    <w:rsid w:val="00864601"/>
    <w:rsid w:val="00877BFB"/>
    <w:rsid w:val="00877CB2"/>
    <w:rsid w:val="008906F1"/>
    <w:rsid w:val="009E0853"/>
    <w:rsid w:val="00A65A49"/>
    <w:rsid w:val="00B469C8"/>
    <w:rsid w:val="00B50D28"/>
    <w:rsid w:val="00B522AE"/>
    <w:rsid w:val="00B550DE"/>
    <w:rsid w:val="00B65902"/>
    <w:rsid w:val="00B70BB8"/>
    <w:rsid w:val="00BD7B9C"/>
    <w:rsid w:val="00BF0565"/>
    <w:rsid w:val="00C10CEC"/>
    <w:rsid w:val="00C558A3"/>
    <w:rsid w:val="00C7090E"/>
    <w:rsid w:val="00D86F21"/>
    <w:rsid w:val="00DA3411"/>
    <w:rsid w:val="00E80C33"/>
    <w:rsid w:val="00EC3717"/>
    <w:rsid w:val="00EF728B"/>
    <w:rsid w:val="00F70B11"/>
    <w:rsid w:val="00FB49F8"/>
    <w:rsid w:val="33163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1272</Words>
  <Characters>7251</Characters>
  <Lines>60</Lines>
  <Paragraphs>17</Paragraphs>
  <TotalTime>107</TotalTime>
  <ScaleCrop>false</ScaleCrop>
  <LinksUpToDate>false</LinksUpToDate>
  <CharactersWithSpaces>8506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2021-03-15T07:11:00Z</dcterms:created>
  <dc:creator>Lenovo</dc:creator>
  <cp:lastModifiedBy>枫净</cp:lastModifiedBy>
  <dcterms:modified xsi:type="dcterms:W3CDTF">2024-03-19T23:54:13Z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26A57580ED1F49F9B3FE53606C7E5FE1_12</vt:lpwstr>
  </property>
</Properties>
</file>