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w:t>
      </w:r>
      <w:r>
        <w:rPr>
          <w:rFonts w:hint="eastAsia" w:ascii="黑体" w:eastAsia="黑体" w:cs="Times New Roman"/>
          <w:b/>
          <w:sz w:val="44"/>
          <w:lang w:val="en-US" w:eastAsia="zh-CN"/>
        </w:rPr>
        <w:t>单位</w:t>
      </w:r>
      <w:r>
        <w:rPr>
          <w:rFonts w:hint="eastAsia" w:ascii="黑体" w:hAnsi="Calibri" w:eastAsia="黑体" w:cs="Times New Roman"/>
          <w:b/>
          <w:sz w:val="44"/>
        </w:rPr>
        <w:t>预算信息公开目录</w:t>
      </w:r>
    </w:p>
    <w:p>
      <w:pPr>
        <w:jc w:val="center"/>
        <w:rPr>
          <w:rFonts w:ascii="Times New Roman" w:hAnsi="宋体" w:eastAsia="宋体" w:cs="Times New Roman"/>
          <w:b/>
          <w:sz w:val="30"/>
        </w:rPr>
      </w:pPr>
      <w:r>
        <w:rPr>
          <w:rFonts w:ascii="黑体" w:hAnsi="黑体" w:eastAsia="黑体" w:cs="Times New Roman"/>
          <w:b/>
          <w:sz w:val="30"/>
        </w:rPr>
        <w:t xml:space="preserve"> </w:t>
      </w:r>
    </w:p>
    <w:p>
      <w:pPr>
        <w:jc w:val="left"/>
        <w:rPr>
          <w:rFonts w:hint="eastAsia" w:ascii="Times New Roman" w:hAnsi="宋体" w:eastAsia="宋体" w:cs="Times New Roman"/>
          <w:b/>
          <w:sz w:val="28"/>
        </w:rPr>
      </w:pPr>
      <w:r>
        <w:rPr>
          <w:rFonts w:hint="eastAsia" w:ascii="方正楷体_GBK" w:eastAsia="方正楷体_GBK" w:cs="Times New Roman"/>
          <w:b/>
          <w:sz w:val="28"/>
          <w:lang w:val="en-US" w:eastAsia="zh-CN"/>
        </w:rPr>
        <w:t>单位</w:t>
      </w:r>
      <w:r>
        <w:rPr>
          <w:rFonts w:hint="eastAsia" w:ascii="方正楷体_GBK" w:hAnsi="Calibri" w:eastAsia="方正楷体_GBK" w:cs="Times New Roman"/>
          <w:b/>
          <w:sz w:val="28"/>
        </w:rPr>
        <w:t>预算公开表</w:t>
      </w:r>
    </w:p>
    <w:p>
      <w:pPr>
        <w:pStyle w:val="6"/>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预算收入总表</w:t>
      </w:r>
      <w:r>
        <w:rPr>
          <w:rFonts w:ascii="Times New Roman" w:hAnsi="Calibri" w:eastAsia="方正仿宋_GBK" w:cs="Times New Roman"/>
          <w:sz w:val="28"/>
        </w:rPr>
        <w:tab/>
      </w:r>
      <w:r>
        <w:rPr>
          <w:rFonts w:hint="eastAsia" w:ascii="Times New Roman" w:cs="Times New Roman"/>
          <w:sz w:val="28"/>
          <w:lang w:val="en-US" w:eastAsia="zh-CN"/>
        </w:rPr>
        <w:t>4</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预算支出总表</w:t>
      </w:r>
      <w:r>
        <w:rPr>
          <w:rFonts w:ascii="Times New Roman" w:hAnsi="Calibri" w:eastAsia="方正仿宋_GBK" w:cs="Times New Roman"/>
          <w:sz w:val="28"/>
        </w:rPr>
        <w:tab/>
      </w:r>
      <w:r>
        <w:rPr>
          <w:rFonts w:hint="eastAsia" w:ascii="Times New Roman" w:cs="Times New Roman"/>
          <w:sz w:val="28"/>
          <w:lang w:val="en-US" w:eastAsia="zh-CN"/>
        </w:rPr>
        <w:t>6</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预算财政拨款收支总表</w:t>
      </w:r>
      <w:r>
        <w:rPr>
          <w:rFonts w:ascii="Times New Roman" w:hAnsi="Calibri" w:eastAsia="方正仿宋_GBK" w:cs="Times New Roman"/>
          <w:sz w:val="28"/>
        </w:rPr>
        <w:tab/>
      </w:r>
      <w:r>
        <w:rPr>
          <w:rFonts w:hint="eastAsia" w:ascii="Times New Roman" w:cs="Times New Roman"/>
          <w:sz w:val="28"/>
          <w:lang w:val="en-US" w:eastAsia="zh-CN"/>
        </w:rPr>
        <w:t>8</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预算一般公共预算财政拨款支出表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2</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4</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7</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8</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eastAsia="方正仿宋_GBK" w:cs="Times New Roman"/>
          <w:sz w:val="28"/>
          <w:u w:val="none"/>
          <w:lang w:val="en-US" w:eastAsia="zh-CN"/>
        </w:rPr>
        <w:t>单位</w:t>
      </w:r>
      <w:r>
        <w:rPr>
          <w:rStyle w:val="9"/>
          <w:rFonts w:hint="eastAsia" w:ascii="Times New Roman" w:hAnsi="Calibri" w:eastAsia="方正仿宋_GBK" w:cs="Times New Roman"/>
          <w:sz w:val="28"/>
          <w:u w:val="none"/>
        </w:rPr>
        <w:t>预算财政拨款“三公”经费支出表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9</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eastAsia="方正楷体_GBK" w:cs="Times New Roman"/>
          <w:b/>
          <w:sz w:val="28"/>
          <w:lang w:val="en-US" w:eastAsia="zh-CN"/>
        </w:rPr>
        <w:t>单位</w:t>
      </w:r>
      <w:r>
        <w:rPr>
          <w:rFonts w:hint="eastAsia" w:ascii="方正楷体_GBK" w:hAnsi="Calibri" w:eastAsia="方正楷体_GBK" w:cs="Times New Roman"/>
          <w:b/>
          <w:sz w:val="28"/>
        </w:rPr>
        <w:t>预算信息公开情况说明</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一、</w:t>
      </w:r>
      <w:r>
        <w:rPr>
          <w:rStyle w:val="9"/>
          <w:rFonts w:hint="eastAsia" w:ascii="Times New Roman" w:hAnsi="黑体" w:eastAsia="方正仿宋_GBK" w:cs="Times New Roman"/>
          <w:sz w:val="28"/>
          <w:u w:val="none"/>
          <w:lang w:val="en-US" w:eastAsia="zh-CN"/>
        </w:rPr>
        <w:t>单位</w:t>
      </w:r>
      <w:r>
        <w:rPr>
          <w:rStyle w:val="9"/>
          <w:rFonts w:hint="eastAsia" w:ascii="Times New Roman" w:hAnsi="黑体" w:eastAsia="方正仿宋_GBK" w:cs="Times New Roman"/>
          <w:sz w:val="28"/>
          <w:u w:val="none"/>
        </w:rPr>
        <w:t>职责及机构设置情况</w:t>
      </w:r>
      <w:r>
        <w:rPr>
          <w:rFonts w:ascii="Times New Roman" w:hAnsi="Calibri" w:eastAsia="方正仿宋_GBK" w:cs="Times New Roman"/>
          <w:sz w:val="28"/>
        </w:rPr>
        <w:tab/>
      </w:r>
      <w:r>
        <w:rPr>
          <w:rFonts w:hint="eastAsia" w:ascii="Times New Roman"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0</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二、</w:t>
      </w:r>
      <w:r>
        <w:rPr>
          <w:rStyle w:val="9"/>
          <w:rFonts w:hint="eastAsia" w:ascii="Times New Roman" w:hAnsi="黑体" w:eastAsia="方正仿宋_GBK" w:cs="Times New Roman"/>
          <w:sz w:val="28"/>
          <w:u w:val="none"/>
          <w:lang w:val="en-US" w:eastAsia="zh-CN"/>
        </w:rPr>
        <w:t>单位</w:t>
      </w:r>
      <w:r>
        <w:rPr>
          <w:rStyle w:val="9"/>
          <w:rFonts w:hint="eastAsia" w:ascii="Times New Roman" w:hAnsi="黑体" w:eastAsia="方正仿宋_GBK" w:cs="Times New Roman"/>
          <w:sz w:val="28"/>
          <w:u w:val="none"/>
        </w:rPr>
        <w:t>预算安排的总体情况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1</w:t>
      </w:r>
    </w:p>
    <w:p>
      <w:pPr>
        <w:pStyle w:val="2"/>
        <w:tabs>
          <w:tab w:val="right" w:leader="dot" w:pos="14789"/>
        </w:tabs>
        <w:ind w:left="420" w:leftChars="200"/>
        <w:jc w:val="center"/>
        <w:rPr>
          <w:rStyle w:val="9"/>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2</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四、财政拨款</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三公</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2</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3</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3</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3</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3</w:t>
      </w:r>
      <w:r>
        <w:rPr>
          <w:rStyle w:val="9"/>
          <w:rFonts w:hint="eastAsia" w:ascii="Times New Roman" w:cs="Times New Roman"/>
          <w:sz w:val="28"/>
          <w:u w:val="none"/>
          <w:lang w:val="en-US" w:eastAsia="zh-CN"/>
        </w:rPr>
        <w:t>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5</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pStyle w:val="5"/>
        <w:tabs>
          <w:tab w:val="right" w:leader="dot" w:pos="14789"/>
        </w:tabs>
        <w:ind w:left="420" w:leftChars="200"/>
        <w:jc w:val="center"/>
        <w:rPr>
          <w:rFonts w:ascii="Times New Roman" w:hAnsi="Calibri" w:eastAsia="方正仿宋_GBK" w:cs="Times New Roman"/>
          <w:sz w:val="28"/>
        </w:rPr>
      </w:pPr>
    </w:p>
    <w:p>
      <w:pPr>
        <w:ind w:left="420" w:leftChars="200"/>
        <w:jc w:val="center"/>
        <w:rPr>
          <w:rFonts w:ascii="Times New Roman" w:hAnsi="宋体" w:eastAsia="宋体" w:cs="Times New Roman"/>
        </w:rPr>
      </w:pPr>
    </w:p>
    <w:p>
      <w:pPr>
        <w:ind w:left="420" w:leftChars="200"/>
        <w:jc w:val="center"/>
        <w:rPr>
          <w:rFonts w:ascii="Times New Roman" w:hAnsi="宋体"/>
        </w:rPr>
      </w:pP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9"/>
          <w:rFonts w:hint="eastAsia" w:ascii="宋体" w:hAnsi="宋体" w:cs="宋体"/>
          <w:color w:val="auto"/>
          <w:sz w:val="28"/>
          <w:u w:val="none"/>
        </w:rPr>
      </w:pPr>
    </w:p>
    <w:p>
      <w:pPr>
        <w:spacing w:line="560" w:lineRule="exact"/>
        <w:jc w:val="left"/>
        <w:rPr>
          <w:rStyle w:val="9"/>
          <w:rFonts w:hint="eastAsia" w:ascii="宋体" w:hAnsi="宋体" w:cs="宋体"/>
          <w:color w:val="auto"/>
          <w:sz w:val="28"/>
          <w:u w:val="none"/>
        </w:rPr>
        <w:sectPr>
          <w:headerReference r:id="rId4" w:type="default"/>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附表1-1</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预算收支总表</w:t>
      </w:r>
    </w:p>
    <w:p>
      <w:pPr>
        <w:spacing w:line="560" w:lineRule="exac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szCs w:val="28"/>
          <w:u w:val="none"/>
        </w:rPr>
        <w:t xml:space="preserve"> </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预算年度：2022</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790" w:type="dxa"/>
            <w:gridSpan w:val="2"/>
            <w:noWrap w:val="0"/>
            <w:vAlign w:val="center"/>
          </w:tcPr>
          <w:p>
            <w:pPr>
              <w:spacing w:line="560" w:lineRule="exact"/>
              <w:ind w:firstLine="1680" w:firstLineChars="6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7714" w:type="dxa"/>
            <w:gridSpan w:val="2"/>
            <w:noWrap w:val="0"/>
            <w:vAlign w:val="center"/>
          </w:tcPr>
          <w:p>
            <w:pPr>
              <w:spacing w:line="560" w:lineRule="exact"/>
              <w:ind w:firstLine="2240" w:firstLineChars="8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五、事业收入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七、上级补助收入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九、其他收入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2219" w:type="dxa"/>
            <w:noWrap w:val="0"/>
            <w:vAlign w:val="center"/>
          </w:tcPr>
          <w:p>
            <w:pPr>
              <w:jc w:val="center"/>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2219" w:type="dxa"/>
            <w:noWrap w:val="0"/>
            <w:vAlign w:val="center"/>
          </w:tcPr>
          <w:p>
            <w:pPr>
              <w:jc w:val="center"/>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2219" w:type="dxa"/>
            <w:noWrap w:val="0"/>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上年结转结余</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年终结转结余</w:t>
            </w:r>
          </w:p>
        </w:tc>
        <w:tc>
          <w:tcPr>
            <w:tcW w:w="2219" w:type="dxa"/>
            <w:noWrap w:val="0"/>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收入总计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支出总计</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r>
    </w:tbl>
    <w:p>
      <w:pPr>
        <w:spacing w:line="560" w:lineRule="exact"/>
        <w:jc w:val="left"/>
        <w:rPr>
          <w:rStyle w:val="9"/>
          <w:rFonts w:hint="eastAsia" w:ascii="宋体" w:hAnsi="宋体" w:cs="宋体"/>
          <w:color w:val="auto"/>
          <w:sz w:val="28"/>
          <w:u w:val="none"/>
        </w:rPr>
        <w:sectPr>
          <w:footerReference r:id="rId6" w:type="default"/>
          <w:pgSz w:w="16839" w:h="11907" w:orient="landscape"/>
          <w:pgMar w:top="454" w:right="1020" w:bottom="34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附表1-2</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预算收入总表</w:t>
      </w: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433"/>
        <w:gridCol w:w="2490"/>
        <w:gridCol w:w="1170"/>
        <w:gridCol w:w="1125"/>
        <w:gridCol w:w="1155"/>
        <w:gridCol w:w="777"/>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923"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17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8110" w:type="dxa"/>
            <w:gridSpan w:val="8"/>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w:t>
            </w:r>
          </w:p>
        </w:tc>
        <w:tc>
          <w:tcPr>
            <w:tcW w:w="87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10" w:hRule="exact"/>
          <w:tblHeader/>
          <w:jc w:val="center"/>
        </w:trPr>
        <w:tc>
          <w:tcPr>
            <w:tcW w:w="938"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43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功能科目编码</w:t>
            </w:r>
          </w:p>
        </w:tc>
        <w:tc>
          <w:tcPr>
            <w:tcW w:w="249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17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财政拨款收入</w:t>
            </w:r>
          </w:p>
        </w:tc>
        <w:tc>
          <w:tcPr>
            <w:tcW w:w="7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财政专户收入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经营收入</w:t>
            </w:r>
          </w:p>
        </w:tc>
        <w:tc>
          <w:tcPr>
            <w:tcW w:w="108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上级补助收入</w:t>
            </w:r>
          </w:p>
        </w:tc>
        <w:tc>
          <w:tcPr>
            <w:tcW w:w="134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附属单位上缴收入</w:t>
            </w:r>
          </w:p>
        </w:tc>
        <w:tc>
          <w:tcPr>
            <w:tcW w:w="9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其他收入</w:t>
            </w:r>
          </w:p>
        </w:tc>
        <w:tc>
          <w:tcPr>
            <w:tcW w:w="87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2" w:hRule="exact"/>
          <w:jc w:val="center"/>
        </w:trPr>
        <w:tc>
          <w:tcPr>
            <w:tcW w:w="93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433"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49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1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12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1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77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08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34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9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87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社会保障和就业支出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行政事业单位养老支出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9"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2080505</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5"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2080506</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机关事业单位职业年金缴费支出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卫生健康支出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4"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行政事业单位医疗</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7"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2101102</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事业单位医疗</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农林水支出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2"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林业和草原</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行政运行</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2130234</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林业草原防灾减灾</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1433"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2130205</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森林资源培育</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宋体" w:hAnsi="宋体" w:cs="宋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附表1-3</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预算支出总表</w:t>
      </w: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210"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45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84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455"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41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5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36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84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9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9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35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365"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4845"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合计</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858.29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183.00</w:t>
            </w:r>
          </w:p>
        </w:tc>
        <w:tc>
          <w:tcPr>
            <w:tcW w:w="960"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社会保障和就业支出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行政事业单位养老支出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2080505</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2080506</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机关事业单位职业年金缴费支出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卫生健康支出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行政事业单位医疗</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2101102</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事业单位医疗</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农林水支出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林业和草原</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行政运行</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Fonts w:ascii="方正仿宋简体" w:hAnsi="方正仿宋简体" w:eastAsia="方正仿宋简体" w:cs="方正仿宋简体"/>
                <w:sz w:val="28"/>
                <w:szCs w:val="28"/>
              </w:rPr>
            </w:pPr>
          </w:p>
        </w:tc>
        <w:tc>
          <w:tcPr>
            <w:tcW w:w="1354" w:type="dxa"/>
            <w:noWrap w:val="0"/>
            <w:vAlign w:val="center"/>
          </w:tcPr>
          <w:p>
            <w:pPr>
              <w:spacing w:line="560" w:lineRule="exact"/>
              <w:jc w:val="left"/>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2130234</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林业草原防灾减灾</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103.00</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36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2130205</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森林资源培育</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80.00</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附表1-4</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89"/>
        <w:gridCol w:w="956"/>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szCs w:val="28"/>
                <w:u w:val="none"/>
              </w:rPr>
              <w:t xml:space="preserve"> </w:t>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478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8854" w:type="dxa"/>
            <w:gridSpan w:val="5"/>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金额</w:t>
            </w: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一般公共预算财政拨款</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3525"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xml:space="preserve"> </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1170"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1189"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1170"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1189"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年初财政拨款结转和结余</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年末财政拨款结转和结余</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 xml:space="preserve">  </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w:t>
            </w: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sz w:val="24"/>
          <w:szCs w:val="24"/>
        </w:rPr>
      </w:pPr>
      <w:r>
        <w:rPr>
          <w:rStyle w:val="9"/>
          <w:rFonts w:hint="eastAsia" w:ascii="方正仿宋简体" w:hAnsi="方正仿宋简体" w:eastAsia="方正仿宋简体" w:cs="方正仿宋简体"/>
          <w:color w:val="auto"/>
          <w:sz w:val="28"/>
          <w:u w:val="none"/>
        </w:rPr>
        <w:t>附表1-5</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预算一般公共预算财政拨款支出表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4500"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53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60"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8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5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7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7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3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w:t>
            </w:r>
          </w:p>
        </w:tc>
        <w:tc>
          <w:tcPr>
            <w:tcW w:w="157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858.29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800.69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社会保障和就业支出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行政事业单位养老支出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2080506</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机关事业单位职业年金缴费支出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卫生健康支出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7</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行政事业单位医疗</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8</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事业单位医疗</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农林水支出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535.13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10</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林业和草原</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535.13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行政运行</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535.13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森林资源培育</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2130234</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林业草原防灾减灾</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附表1-6</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预算一般公共预算财政拨款基本支出表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16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7534"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65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6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32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4650" w:type="dxa"/>
            <w:noWrap w:val="0"/>
            <w:vAlign w:val="center"/>
          </w:tcPr>
          <w:p>
            <w:pPr>
              <w:spacing w:line="560" w:lineRule="exact"/>
              <w:ind w:firstLine="1400" w:firstLineChars="500"/>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合  计</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858.29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800.69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工资福利支出</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765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765</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基本工资</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460.16</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460.16</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津贴补贴</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39.28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39.28</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职业年金缴费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30110</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职工基本医疗保险缴费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商品和服务支出</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办公费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30206</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电费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邮电费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1.27</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取暖费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差旅费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30215</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会议费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30216</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培训费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公务接待费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30228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工会经费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30229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福利费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7.15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30231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公务用车运行维护费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21</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30239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其他交通费用</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22</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30299</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其他商品和服务支出</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23</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对个人和家庭的补助</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35.69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35.69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30302</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退休费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33.79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33.79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30304</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抚恤金</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1.85</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30309</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奖励金</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0.05</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附表1-7</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附表1-8</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 xml:space="preserve">       </w:t>
            </w:r>
            <w:r>
              <w:rPr>
                <w:rStyle w:val="9"/>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pPr>
    </w:p>
    <w:p>
      <w:pPr>
        <w:spacing w:line="560" w:lineRule="exac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附表1-9</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val="en-US" w:eastAsia="zh-CN"/>
        </w:rPr>
        <w:t>单位</w:t>
      </w:r>
      <w:r>
        <w:rPr>
          <w:rStyle w:val="9"/>
          <w:rFonts w:hint="eastAsia" w:ascii="方正小标宋简体" w:hAnsi="方正小标宋简体" w:eastAsia="方正小标宋简体" w:cs="方正小标宋简体"/>
          <w:color w:val="auto"/>
          <w:sz w:val="44"/>
          <w:szCs w:val="44"/>
          <w:u w:val="none"/>
        </w:rPr>
        <w:t>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合  计</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15.5</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15.5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一、因公出国（境）费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二、公务用车购置及运维费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其中：公务用车购置费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公务用车运行维护费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三、公务接待费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bl>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国营东陵林场</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预算信息公开情况说明</w:t>
      </w:r>
    </w:p>
    <w:p>
      <w:pPr>
        <w:pStyle w:val="11"/>
        <w:spacing w:line="620" w:lineRule="exact"/>
        <w:jc w:val="center"/>
        <w:rPr>
          <w:rFonts w:ascii="宋体" w:hAnsi="宋体" w:eastAsia="宋体" w:cs="方正小标宋简体"/>
          <w:b/>
          <w:sz w:val="44"/>
          <w:szCs w:val="44"/>
        </w:rPr>
      </w:pP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bookmarkStart w:id="9" w:name="_GoBack"/>
      <w:bookmarkEnd w:id="9"/>
      <w:r>
        <w:rPr>
          <w:rFonts w:hint="eastAsia" w:ascii="方正仿宋简体" w:hAnsi="方正仿宋简体" w:eastAsia="方正仿宋简体" w:cs="方正仿宋简体"/>
          <w:sz w:val="32"/>
          <w:szCs w:val="32"/>
        </w:rPr>
        <w:t>预算法》</w:t>
      </w:r>
      <w:r>
        <w:rPr>
          <w:rFonts w:hint="eastAsia" w:ascii="宋体" w:hAnsi="宋体" w:eastAsia="宋体" w:cs="方正小标宋简体"/>
          <w:sz w:val="32"/>
          <w:szCs w:val="32"/>
        </w:rPr>
        <w:t>、</w:t>
      </w:r>
      <w:r>
        <w:rPr>
          <w:rFonts w:hint="eastAsia" w:ascii="方正仿宋简体" w:hAnsi="方正仿宋简体" w:eastAsia="方正仿宋简体" w:cs="方正仿宋简体"/>
          <w:sz w:val="32"/>
          <w:szCs w:val="32"/>
        </w:rPr>
        <w:t>《地方预决算公开操作规程》和《河北省省级预算公开办法》规定，现将遵化市</w:t>
      </w:r>
      <w:r>
        <w:rPr>
          <w:rFonts w:hint="eastAsia" w:ascii="方正仿宋简体" w:hAnsi="方正仿宋简体" w:eastAsia="方正仿宋简体" w:cs="方正仿宋简体"/>
          <w:sz w:val="32"/>
          <w:szCs w:val="32"/>
          <w:lang w:val="en-US" w:eastAsia="zh-CN"/>
        </w:rPr>
        <w:t>国营东陵林场</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val="en-US" w:eastAsia="zh-CN"/>
        </w:rPr>
        <w:t>单位</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val="en-US" w:eastAsia="zh-CN"/>
        </w:rPr>
        <w:t>单位</w:t>
      </w:r>
      <w:r>
        <w:rPr>
          <w:rFonts w:hint="eastAsia" w:ascii="方正楷体简体" w:hAnsi="方正楷体简体" w:eastAsia="方正楷体简体" w:cs="方正楷体简体"/>
          <w:sz w:val="32"/>
          <w:szCs w:val="32"/>
        </w:rPr>
        <w:t>职责</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w:t>
      </w:r>
      <w:r>
        <w:rPr>
          <w:rFonts w:hint="eastAsia" w:ascii="方正仿宋简体" w:hAnsi="方正仿宋简体" w:eastAsia="方正仿宋简体" w:cs="方正仿宋简体"/>
          <w:sz w:val="32"/>
          <w:szCs w:val="32"/>
          <w:lang w:val="en-US" w:eastAsia="zh-CN"/>
        </w:rPr>
        <w:t>国营东陵林场</w:t>
      </w:r>
      <w:r>
        <w:rPr>
          <w:rFonts w:hint="eastAsia" w:ascii="方正仿宋简体" w:hAnsi="方正仿宋简体" w:eastAsia="方正仿宋简体" w:cs="方正仿宋简体"/>
          <w:sz w:val="32"/>
          <w:szCs w:val="32"/>
        </w:rPr>
        <w:t>职能配置、内设机构和人员编制规定》， 遵化市</w:t>
      </w:r>
      <w:r>
        <w:rPr>
          <w:rFonts w:hint="eastAsia" w:ascii="方正仿宋简体" w:hAnsi="方正仿宋简体" w:eastAsia="方正仿宋简体" w:cs="方正仿宋简体"/>
          <w:sz w:val="32"/>
          <w:szCs w:val="32"/>
          <w:lang w:val="en-US" w:eastAsia="zh-CN"/>
        </w:rPr>
        <w:t>国营东陵林场</w:t>
      </w:r>
      <w:r>
        <w:rPr>
          <w:rFonts w:hint="eastAsia" w:ascii="方正仿宋简体" w:hAnsi="方正仿宋简体" w:eastAsia="方正仿宋简体" w:cs="方正仿宋简体"/>
          <w:sz w:val="32"/>
          <w:szCs w:val="32"/>
        </w:rPr>
        <w:t>的主要职责是：</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1、组织全县造林绿化、退耕还林、防沙治沙、防治水土流失、应对气候变化等工作，组织沙尘暴灾害预测预报和应急处置。加强森林资源保护管理；</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2、组织全县林业及其生态建设的科技创新和技术示范推广，为林业生态发展和林产品生产提供公共支撑。</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3、组织、协调全县森林火灾的预防与扑救工作，承担全县森林防火指挥部的具体工作。组织开展林业有害生物的防治、检疫工作。               </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4、依法依规履行机关日常管理工作。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办公室负责林场文件材料起草、审核、印发；上报下达和信息工作；档案管理；职称评定、福利、保险、调资及工资管理；干部职工业务培训考核；劳动保护；老干部服务管理。</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产技术科负责林场基本建设、产业发展、专项贷款等项目的立项申报、咨询、论证等工作；负责林场国有资产的监督；负责制定林业管理有关规章制度的制定；对林区树木进行病虫害的防治工作；承担上级相关部门的专业技术课题研究工作。</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财务科负责林场财务预决算、财务信息、统计分析；年度财务预决算的编制、报表；工资福利的发放。</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森林消防队负责林区、陵区范围内的防火检查及一般火险的灭火工作；负责上级交办的其他森林消防有关工作。</w:t>
      </w:r>
    </w:p>
    <w:p>
      <w:p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国营东陵林场事业编制80名。其中场长1名，副场长2名，内设机构领导职数10名。</w:t>
      </w:r>
    </w:p>
    <w:p>
      <w:pPr>
        <w:pStyle w:val="11"/>
        <w:spacing w:line="62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机构设置情况</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39"/>
        <w:gridCol w:w="2025"/>
        <w:gridCol w:w="2238"/>
        <w:gridCol w:w="4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839" w:type="dxa"/>
            <w:shd w:val="clear" w:color="auto" w:fill="auto"/>
            <w:noWrap w:val="0"/>
            <w:vAlign w:val="center"/>
          </w:tcPr>
          <w:p>
            <w:pPr>
              <w:pStyle w:val="11"/>
              <w:spacing w:line="620" w:lineRule="exact"/>
              <w:jc w:val="center"/>
              <w:rPr>
                <w:rFonts w:ascii="宋体" w:hAnsi="宋体" w:eastAsia="宋体" w:cs="方正小标宋简体"/>
                <w:b/>
                <w:sz w:val="32"/>
                <w:szCs w:val="32"/>
              </w:rPr>
            </w:pPr>
            <w:r>
              <w:rPr>
                <w:rFonts w:hint="eastAsia" w:ascii="方正仿宋简体" w:hAnsi="方正仿宋简体" w:eastAsia="方正仿宋简体" w:cs="方正仿宋简体"/>
                <w:sz w:val="32"/>
                <w:szCs w:val="32"/>
              </w:rPr>
              <w:t>单位名称</w:t>
            </w:r>
          </w:p>
        </w:tc>
        <w:tc>
          <w:tcPr>
            <w:tcW w:w="2025"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238"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4638" w:type="dxa"/>
            <w:shd w:val="clear" w:color="auto" w:fill="auto"/>
            <w:noWrap w:val="0"/>
            <w:vAlign w:val="center"/>
          </w:tcPr>
          <w:p>
            <w:pPr>
              <w:pStyle w:val="11"/>
              <w:spacing w:line="62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39" w:type="dxa"/>
            <w:shd w:val="clear" w:color="auto" w:fill="auto"/>
            <w:noWrap w:val="0"/>
            <w:vAlign w:val="center"/>
          </w:tcPr>
          <w:p>
            <w:pPr>
              <w:pStyle w:val="11"/>
              <w:spacing w:line="620" w:lineRule="exact"/>
              <w:jc w:val="center"/>
              <w:rPr>
                <w:rFonts w:ascii="宋体" w:hAnsi="宋体" w:eastAsia="宋体" w:cs="方正小标宋简体"/>
                <w:sz w:val="32"/>
                <w:szCs w:val="32"/>
              </w:rPr>
            </w:pPr>
            <w:r>
              <w:rPr>
                <w:rFonts w:hint="eastAsia" w:ascii="方正仿宋简体" w:hAnsi="方正仿宋简体" w:eastAsia="方正仿宋简体" w:cs="方正仿宋简体"/>
                <w:sz w:val="32"/>
                <w:szCs w:val="32"/>
              </w:rPr>
              <w:t>遵化市国营东陵林场</w:t>
            </w:r>
          </w:p>
        </w:tc>
        <w:tc>
          <w:tcPr>
            <w:tcW w:w="2025"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238" w:type="dxa"/>
            <w:shd w:val="clear" w:color="auto" w:fill="auto"/>
            <w:noWrap w:val="0"/>
            <w:vAlign w:val="top"/>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4638"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val="en-US" w:eastAsia="zh-CN"/>
        </w:rPr>
        <w:t>单位</w:t>
      </w:r>
      <w:r>
        <w:rPr>
          <w:rFonts w:hint="eastAsia" w:ascii="方正黑体简体" w:hAnsi="方正黑体简体" w:eastAsia="方正黑体简体" w:cs="方正黑体简体"/>
          <w:sz w:val="32"/>
          <w:szCs w:val="32"/>
        </w:rPr>
        <w:t>预算安排的总体情况</w:t>
      </w:r>
      <w:bookmarkEnd w:id="1"/>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按照预算管理有关规定，目前我省预算的编制实行综合预算管理，即全部收入和支出都反映在预算中。遵化</w:t>
      </w:r>
      <w:r>
        <w:rPr>
          <w:rFonts w:hint="eastAsia" w:ascii="方正仿宋简体" w:hAnsi="方正仿宋简体" w:eastAsia="方正仿宋简体" w:cs="方正仿宋简体"/>
          <w:sz w:val="32"/>
          <w:szCs w:val="32"/>
          <w:lang w:val="en-US" w:eastAsia="zh-CN"/>
        </w:rPr>
        <w:t>市国营东陵林场</w:t>
      </w:r>
      <w:r>
        <w:rPr>
          <w:rFonts w:hint="eastAsia" w:ascii="方正仿宋简体" w:hAnsi="方正仿宋简体" w:eastAsia="方正仿宋简体" w:cs="方正仿宋简体"/>
          <w:sz w:val="32"/>
          <w:szCs w:val="32"/>
        </w:rPr>
        <w:t>的收支包含在</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预算中。</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当年全部收入。2022年预算收入1041.29万元，其中：一般公共预算收入1041.29万元，基金预算收入0万元，财政专户核拨收入0万元，其他来源收入0万元。</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val="en-US" w:eastAsia="zh-CN"/>
        </w:rPr>
        <w:t>遵化市国营东陵林场</w:t>
      </w:r>
      <w:r>
        <w:rPr>
          <w:rFonts w:hint="eastAsia" w:ascii="方正仿宋简体" w:hAnsi="方正仿宋简体" w:eastAsia="方正仿宋简体" w:cs="方正仿宋简体"/>
          <w:sz w:val="32"/>
          <w:szCs w:val="32"/>
        </w:rPr>
        <w:t>2022年度</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中支出预算的总体情况。2022年支出预算1041.29万元，其中基本支出858.29万元，包括人员经费800.69万元和日常公用经费57.6万元；项目支出183万元，包括本级专款83万元、上级专款100万元，主要为森林防火、病虫害防治、防火监控系统租赁费等。</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与上年</w:t>
      </w:r>
      <w:r>
        <w:rPr>
          <w:rFonts w:hint="eastAsia" w:ascii="方正仿宋简体" w:hAnsi="方正仿宋简体" w:eastAsia="方正仿宋简体" w:cs="方正仿宋简体"/>
          <w:sz w:val="32"/>
          <w:szCs w:val="32"/>
        </w:rPr>
        <w:t>比上年增减情况</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1041.29万元，较2021年预算减少124.55万元，其中：基本支出减少88.55万元，人员经费减少85.73万元，日常公用经费减少2.82万元；项目支出减少36万元，本级专款无增减、上级专款减少36万元。2022年纳入预算人员减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宋体" w:cs="方正小标宋简体"/>
          <w:sz w:val="32"/>
          <w:szCs w:val="32"/>
        </w:rPr>
      </w:pPr>
      <w:r>
        <w:rPr>
          <w:rFonts w:hint="eastAsia" w:ascii="方正仿宋简体" w:hAnsi="方正仿宋简体" w:eastAsia="方正仿宋简体" w:cs="方正仿宋简体"/>
          <w:sz w:val="32"/>
          <w:szCs w:val="32"/>
        </w:rPr>
        <w:t>2022年，我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机关运行经费共计安排57.6万元，主要用于办公区的日常费用、办公用房水电费、办公邮电费、办公用房取暖费、差旅费、会议费、培训费、公务接待费、工会经费及福利费、公务用车运行维护费、其他商品和服务支出</w:t>
      </w:r>
      <w:r>
        <w:rPr>
          <w:rFonts w:hint="eastAsia" w:ascii="方正仿宋简体" w:hAnsi="方正仿宋简体" w:eastAsia="方正仿宋简体" w:cs="方正仿宋简体"/>
          <w:sz w:val="32"/>
          <w:szCs w:val="32"/>
          <w:lang w:val="en-US" w:eastAsia="zh-CN"/>
        </w:rPr>
        <w:t>等支出</w:t>
      </w:r>
      <w:r>
        <w:rPr>
          <w:rFonts w:hint="eastAsia" w:ascii="方正仿宋简体" w:hAnsi="方正仿宋简体" w:eastAsia="方正仿宋简体" w:cs="方正仿宋简体"/>
          <w:sz w:val="32"/>
          <w:szCs w:val="32"/>
        </w:rPr>
        <w:t>。</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宋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2022年，我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15.5</w:t>
      </w:r>
      <w:r>
        <w:rPr>
          <w:rFonts w:hint="eastAsia" w:ascii="方正仿宋简体" w:hAnsi="方正仿宋简体" w:eastAsia="方正仿宋简体" w:cs="方正仿宋简体"/>
          <w:sz w:val="32"/>
          <w:szCs w:val="32"/>
        </w:rPr>
        <w:t>万元，2021年“三公经费”预算15.54万元。比2021年</w:t>
      </w:r>
      <w:r>
        <w:rPr>
          <w:rFonts w:hint="eastAsia" w:ascii="方正仿宋简体" w:hAnsi="方正仿宋简体" w:eastAsia="方正仿宋简体" w:cs="方正仿宋简体"/>
          <w:sz w:val="32"/>
          <w:szCs w:val="32"/>
          <w:lang w:val="en-US" w:eastAsia="zh-CN"/>
        </w:rPr>
        <w:t>减少0.04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kern w:val="2"/>
          <w:sz w:val="32"/>
          <w:szCs w:val="32"/>
          <w:lang w:eastAsia="zh-CN"/>
        </w:rPr>
        <w:t>按照统一定额标准计算，</w:t>
      </w:r>
      <w:r>
        <w:rPr>
          <w:rFonts w:hint="eastAsia" w:ascii="方正仿宋简体" w:hAnsi="方正仿宋简体" w:eastAsia="方正仿宋简体" w:cs="方正仿宋简体"/>
          <w:sz w:val="32"/>
          <w:szCs w:val="32"/>
        </w:rPr>
        <w:t>2022年纳入预算人员减少。</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具体安排情况为： </w:t>
      </w:r>
    </w:p>
    <w:p>
      <w:pPr>
        <w:pStyle w:val="12"/>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（一）公务用车购置及运行费14.35万元，①公务用车购置安排0万元。较上年预算增加0万元，与2021年持平。②公车运行维护经费安排14.35万元，较上年预算无变化。</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kern w:val="2"/>
          <w:sz w:val="32"/>
          <w:szCs w:val="32"/>
          <w:lang w:eastAsia="zh-CN"/>
        </w:rPr>
        <w:t>车辆运行维护费严格按照统一定额标准，公车数量未发生增减，</w:t>
      </w:r>
      <w:r>
        <w:rPr>
          <w:rFonts w:hint="eastAsia" w:ascii="方正仿宋简体" w:hAnsi="方正仿宋简体" w:eastAsia="方正仿宋简体" w:cs="方正仿宋简体"/>
          <w:kern w:val="2"/>
          <w:sz w:val="32"/>
          <w:szCs w:val="32"/>
          <w:lang w:val="en-US" w:eastAsia="zh-CN"/>
        </w:rPr>
        <w:t>故</w:t>
      </w:r>
      <w:r>
        <w:rPr>
          <w:rFonts w:hint="eastAsia" w:ascii="方正仿宋简体" w:hAnsi="方正仿宋简体" w:eastAsia="方正仿宋简体" w:cs="方正仿宋简体"/>
          <w:kern w:val="2"/>
          <w:sz w:val="32"/>
          <w:szCs w:val="32"/>
          <w:lang w:eastAsia="zh-CN"/>
        </w:rPr>
        <w:t>车辆运行维护费无变化。</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（二）公务接待费。安排1.15万元。较上年预算减少0.04万元。</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kern w:val="2"/>
          <w:sz w:val="32"/>
          <w:szCs w:val="32"/>
          <w:lang w:eastAsia="zh-CN"/>
        </w:rPr>
        <w:t>按照统一定额标准计算，</w:t>
      </w:r>
      <w:r>
        <w:rPr>
          <w:rFonts w:hint="eastAsia" w:ascii="方正仿宋简体" w:hAnsi="方正仿宋简体" w:eastAsia="方正仿宋简体" w:cs="方正仿宋简体"/>
          <w:sz w:val="32"/>
          <w:szCs w:val="32"/>
        </w:rPr>
        <w:t>2022年纳入预算人员减少。</w:t>
      </w:r>
    </w:p>
    <w:p>
      <w:pPr>
        <w:pStyle w:val="12"/>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highlight w:val="none"/>
          <w:lang w:eastAsia="zh-CN"/>
        </w:rPr>
      </w:pPr>
      <w:r>
        <w:rPr>
          <w:rFonts w:hint="eastAsia" w:ascii="方正仿宋简体" w:hAnsi="方正仿宋简体" w:eastAsia="方正仿宋简体" w:cs="方正仿宋简体"/>
          <w:sz w:val="32"/>
          <w:szCs w:val="32"/>
        </w:rPr>
        <w:t>（三）因公出国（境）费安排0万元，</w:t>
      </w:r>
      <w:r>
        <w:rPr>
          <w:rFonts w:ascii="方正仿宋简体" w:hAnsi="方正仿宋简体" w:eastAsia="方正仿宋简体" w:cs="方正仿宋简体"/>
          <w:kern w:val="2"/>
          <w:sz w:val="32"/>
          <w:szCs w:val="32"/>
          <w:highlight w:val="none"/>
          <w:lang w:eastAsia="zh-CN"/>
        </w:rPr>
        <w:t>与202</w:t>
      </w:r>
      <w:r>
        <w:rPr>
          <w:rFonts w:hint="eastAsia" w:ascii="方正仿宋简体" w:hAnsi="方正仿宋简体" w:eastAsia="方正仿宋简体" w:cs="方正仿宋简体"/>
          <w:kern w:val="2"/>
          <w:sz w:val="32"/>
          <w:szCs w:val="32"/>
          <w:highlight w:val="none"/>
          <w:lang w:val="en-US" w:eastAsia="zh-CN"/>
        </w:rPr>
        <w:t>1</w:t>
      </w:r>
      <w:r>
        <w:rPr>
          <w:rFonts w:ascii="方正仿宋简体" w:hAnsi="方正仿宋简体" w:eastAsia="方正仿宋简体" w:cs="方正仿宋简体"/>
          <w:kern w:val="2"/>
          <w:sz w:val="32"/>
          <w:szCs w:val="32"/>
          <w:highlight w:val="none"/>
          <w:lang w:eastAsia="zh-CN"/>
        </w:rPr>
        <w:t>年持平，无增减变化。</w:t>
      </w:r>
      <w:r>
        <w:rPr>
          <w:rFonts w:hint="eastAsia" w:ascii="方正仿宋简体" w:hAnsi="方正仿宋简体" w:eastAsia="方正仿宋简体" w:cs="方正仿宋简体"/>
          <w:kern w:val="2"/>
          <w:sz w:val="32"/>
          <w:szCs w:val="32"/>
          <w:highlight w:val="none"/>
          <w:lang w:eastAsia="zh-CN"/>
        </w:rPr>
        <w:t>没有因公出国安排，所以未安排因公出国费。</w:t>
      </w:r>
    </w:p>
    <w:p>
      <w:pPr>
        <w:pStyle w:val="12"/>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w:t>
      </w:r>
      <w:bookmarkStart w:id="4" w:name="_Toc68791549"/>
      <w:r>
        <w:rPr>
          <w:rFonts w:hint="eastAsia" w:ascii="方正黑体简体" w:hAnsi="方正黑体简体" w:eastAsia="方正黑体简体" w:cs="方正黑体简体"/>
          <w:sz w:val="32"/>
          <w:szCs w:val="32"/>
        </w:rPr>
        <w:t>五、预算绩效信息</w:t>
      </w:r>
      <w:bookmarkEnd w:id="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有效保护和发展清东陵森林资源，确保全市森林覆盖率、森林蓄积量和森林保有量、林地保有量稳步增长，推动林业又好又快的发展。实现森林资源稳步增长，改善生态环境。建立高效完备的森林资源保护体系，全面提升森林资源保护管理水平，实现森林资源稳步增长。保护好东陵国有林区森林资源，打防火隔离带、清理枯死树木、清理树下可燃物、加大防火宣传力度，最大限度减少森林资源损失，有效控制重大森林火灾发生，实现预防森林火灾的目的。变主动扑火为主动预防，确保东陵国有林区森林资源和生态安全。</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根据病虫害调查结果，按照防治方案的要求，在病虫害危害前和病虫害已经开始危害时（未形成大面积危害时）进行不同方式的防治工作。达到有虫无灾的良好局面，改善林木生长环境，促进林木健康生长，充分发挥生态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1、森林防火经费</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为保护好东陵国有林区森林资源安全，预防森林火灾的发生，在林区重点部位和重点地段（林边、道边、坟边、山脊等）开设防火隔离带，清理可燃物，降低森林火险，实现预防森林火灾的目的。</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2、林业有害生物防治经费</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根据病虫害调查结果，按照防治方案的要求，在病虫害危害前和病虫害已经开始危害时（未形成大面积危害时）进行不同方式的防治工作。达到有虫无灾的良好局面，保障林木健康生长。</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3、森林防火监控网络传输服务费</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实现全林区防火视频监控技防和人防对接，保护好东陵国有林区森林资源，有效控制重大森林火灾发生，最大限度减少森林资源损失，确保东陵国有林区森林资源和生态安全。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加强领导，提高认识，要明确责任定位，建立目标责任制，场委会为第一责任人，各林区区长为主要责任人，做好协调服务工作，确保目标责任制的认真执行。对任期内完成目标责任指标,保护森林资源增长的进行表彰和奖励;对任期内造成森林资源下降的,要通报批评,严重的要追究责任。</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靠实责任，加强宣传，场部森林巡逻队进行有目的，有部署，有声势的森林防火和严厉打击非法侵害森林资源的违法行为。充分利用标语、条幅、会议等各种宣传方式，广泛深入的开展保护和发展森林资源宣传活动，大力宣传保护和发展森林资源的重大意义、目标任务、政策措施和进展成效。通过加大舆论宣传，不断提高广大干部群众的保护和发展森林资源意识。</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3、高标准打造防火道。每年我场都打造高标准林区防火道60多万平方米，直接制止一般火情的发生与蔓延，有效控制较大火情、火险的发生。</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加强林业有害生物防控，打造健康森林。以保护和发展森林资源为核心，坚持“预防为主，科学防控，依法治林，促进健康”的方针，切实加强防治体系建设，每年做好虫害的调查工作，做好虫情统计，于第二年三月份对重点虫情区域进行喷毒环，秋季用机车喷雾方式进行有效治理，做好早发现早治理的方针，做好森林保护工作。</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5、我场建有遵化市第一支森林专业扑火队伍，大力开展扑火培训和实战演练。人员素质高，扑火技术过硬，拥有十分丰富的扑火经验，多次受到领导表彰。</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6、我场建有标准数字监控室，完善的管理制度，防火期内24小时监护，整个林区都被动态全天候监测中，为清东陵森林资源保驾护航。</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林区上山道口设置道杆，由专人负责在防火期内摆放在各个林区交通要道，上山路口设有上山人员登记表，火源收集箱，杜绝一切火源隐患上山。我场备有整个林区人民群众中聋、哑、痴、呆、精神失常等病人登记表，包括确切的监护人，林区内所有坟头数量、户主、数量登记表。</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充分发挥管护人员的“腿勤、眼勤、嘴勤”的方式，随时掌控管护区域的民情、林情、山情的动态，对危害森林资源的行为及突发事件做到及时发现、及时制止、及时上报，将不宜于森林资源的安全隐患，消灭在萌芽状态。</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9、我场购置一台森林消防车，在扑救山火中威力巨大。</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单位</w:t>
      </w:r>
      <w:r>
        <w:rPr>
          <w:rFonts w:hint="eastAsia" w:ascii="方正仿宋简体" w:hAnsi="方正仿宋简体" w:eastAsia="方正仿宋简体" w:cs="方正仿宋简体"/>
          <w:sz w:val="32"/>
          <w:szCs w:val="32"/>
        </w:rPr>
        <w:t>预算项目绩效目标</w:t>
      </w:r>
    </w:p>
    <w:p>
      <w:pPr>
        <w:pStyle w:val="11"/>
        <w:spacing w:line="620" w:lineRule="exact"/>
        <w:ind w:left="0" w:leftChars="0" w:firstLine="0" w:firstLineChars="0"/>
        <w:rPr>
          <w:rFonts w:hint="eastAsia" w:ascii="方正仿宋简体" w:hAnsi="方正仿宋简体" w:eastAsia="方正仿宋简体" w:cs="方正仿宋简体"/>
          <w:kern w:val="0"/>
          <w:sz w:val="24"/>
          <w:szCs w:val="24"/>
          <w:lang w:eastAsia="uk-UA"/>
        </w:rPr>
      </w:pPr>
      <w:r>
        <w:rPr>
          <w:rFonts w:ascii="方正小标宋简体" w:hAnsi="方正小标宋简体" w:eastAsia="方正小标宋简体" w:cs="方正小标宋简体"/>
          <w:sz w:val="44"/>
          <w:szCs w:val="44"/>
        </w:rPr>
        <w:br w:type="page"/>
      </w:r>
      <w:r>
        <w:rPr>
          <w:rFonts w:hint="eastAsia" w:ascii="方正仿宋简体" w:hAnsi="方正仿宋简体" w:eastAsia="方正仿宋简体" w:cs="方正仿宋简体"/>
          <w:color w:val="000000"/>
          <w:kern w:val="0"/>
          <w:sz w:val="24"/>
          <w:szCs w:val="24"/>
          <w:lang w:eastAsia="uk-UA"/>
        </w:rPr>
        <w:t>1.东陵林场病虫害防治经费绩效目标表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878"/>
        <w:gridCol w:w="1710"/>
        <w:gridCol w:w="3315"/>
        <w:gridCol w:w="2610"/>
        <w:gridCol w:w="1506"/>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89"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zh-CN"/>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2151"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588"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13028122P00336210001G</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6267"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东陵林场病虫害防治经费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87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71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15.00</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261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15.00</w:t>
            </w:r>
          </w:p>
        </w:tc>
        <w:tc>
          <w:tcPr>
            <w:tcW w:w="150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15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170" w:type="dxa"/>
            <w:gridSpan w:val="6"/>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预算数15万元。其中财政资金15万元，其他资金0万元。用途（简述）机车喷洒农药，农药采用机车高压树冠喷雾，125元/亩，1200亩。（机车50元/亩，人工50元/亩，农药25元/亩）</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588"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261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365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588"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3315"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60</w:t>
            </w:r>
            <w:r>
              <w:rPr>
                <w:rFonts w:hint="eastAsia" w:ascii="方正仿宋简体" w:hAnsi="方正仿宋简体" w:eastAsia="方正仿宋简体" w:cs="方正仿宋简体"/>
                <w:kern w:val="0"/>
                <w:sz w:val="24"/>
                <w:szCs w:val="24"/>
                <w:lang w:eastAsia="uk-UA"/>
              </w:rPr>
              <w:t>%</w:t>
            </w:r>
          </w:p>
        </w:tc>
        <w:tc>
          <w:tcPr>
            <w:tcW w:w="2610"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365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170"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1.目标内容1达到有虫无灾的良好局面，保障林木健康生长。达到有虫无灾的良好局面，保障林木健康生长。</w:t>
            </w:r>
            <w:r>
              <w:rPr>
                <w:rFonts w:hint="eastAsia" w:ascii="方正仿宋简体" w:hAnsi="方正仿宋简体" w:eastAsia="方正仿宋简体" w:cs="方正仿宋简体"/>
                <w:kern w:val="0"/>
                <w:sz w:val="24"/>
                <w:szCs w:val="24"/>
                <w:lang w:eastAsia="uk-UA"/>
              </w:rPr>
              <w:tab/>
            </w: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4"/>
        <w:gridCol w:w="1875"/>
        <w:gridCol w:w="2632"/>
        <w:gridCol w:w="3398"/>
        <w:gridCol w:w="2460"/>
        <w:gridCol w:w="2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87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2632"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39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46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281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林业有害生物防治面积</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当年完成的林业有害生物防治面积</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1200亩</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检疫工作完成率</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检疫工作完成面积占计划的比例</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对水源的涵养</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林业有害生物成灾率</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全省森林火灾中受害森林面积与森林总面积的比率　 </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≤0.1千分之</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保护和改善人类的生存条件</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bl>
    <w:p>
      <w:pPr>
        <w:widowControl/>
        <w:jc w:val="left"/>
        <w:rPr>
          <w:rFonts w:ascii="Times New Roman" w:hAnsi="Times New Roman"/>
          <w:kern w:val="0"/>
          <w:sz w:val="24"/>
          <w:szCs w:val="24"/>
          <w:lang w:eastAsia="uk-UA"/>
        </w:rPr>
        <w:sectPr>
          <w:footerReference r:id="rId7" w:type="default"/>
          <w:pgSz w:w="16840" w:h="11900" w:orient="landscape"/>
          <w:pgMar w:top="340" w:right="567" w:bottom="340" w:left="567" w:header="720" w:footer="720" w:gutter="0"/>
          <w:pgNumType w:fmt="decimal"/>
          <w:cols w:space="720" w:num="1"/>
          <w:docGrid w:linePitch="286" w:charSpace="0"/>
        </w:sectPr>
      </w:pPr>
    </w:p>
    <w:p>
      <w:pPr>
        <w:widowControl/>
        <w:jc w:val="both"/>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2.东陵林场监控系统租赁服务费绩效目标表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1824"/>
        <w:gridCol w:w="1659"/>
        <w:gridCol w:w="1976"/>
        <w:gridCol w:w="3481"/>
        <w:gridCol w:w="2355"/>
        <w:gridCol w:w="20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49"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2091"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483"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13028122P003360100015</w:t>
            </w:r>
          </w:p>
        </w:tc>
        <w:tc>
          <w:tcPr>
            <w:tcW w:w="19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927"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东陵林场监控系统租赁服务费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8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5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43.00</w:t>
            </w:r>
          </w:p>
        </w:tc>
        <w:tc>
          <w:tcPr>
            <w:tcW w:w="19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34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43.00</w:t>
            </w:r>
          </w:p>
        </w:tc>
        <w:tc>
          <w:tcPr>
            <w:tcW w:w="235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09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386" w:type="dxa"/>
            <w:gridSpan w:val="6"/>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预算数43万元。其中财政资金43万元，其他资金0万元。用途（简述）： 林火监测系统建设运营维护地点26处的点位服务费。防火监控全覆盖增加监控旋转点位、固定点位服务费。经核算需资金43万元。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483"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19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348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4446"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483"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1976"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w:t>
            </w:r>
            <w:r>
              <w:rPr>
                <w:rFonts w:hint="eastAsia" w:ascii="方正仿宋简体" w:hAnsi="方正仿宋简体" w:eastAsia="方正仿宋简体" w:cs="方正仿宋简体"/>
                <w:kern w:val="0"/>
                <w:sz w:val="24"/>
                <w:szCs w:val="24"/>
                <w:lang w:eastAsia="uk-UA"/>
              </w:rPr>
              <w:t>0%</w:t>
            </w:r>
          </w:p>
        </w:tc>
        <w:tc>
          <w:tcPr>
            <w:tcW w:w="3481"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4446"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386"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1.目标内容1实现全林区防火视频监控技防和人防对接，保护好东陵国有林区森林资源，有效控制重大森林火灾发生，最大限度减少森林资源损失，确保东陵国有林区森林资源和生态安全。降低了森林火险，实现了预防森林火灾的目的。</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9"/>
        <w:gridCol w:w="1695"/>
        <w:gridCol w:w="3824"/>
        <w:gridCol w:w="3195"/>
        <w:gridCol w:w="2026"/>
        <w:gridCol w:w="2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69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38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19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02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263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实现全林区防火视频监控技防和人防对接</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林火监测系统建设运营维护点位</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26</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可以获得全面的、清晰的、可录制并回放的多画面现场实时图像</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火灾发生点能精确定位的比率</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对水源的涵养</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森林火灾受害控制率（%） </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全省森林火灾中受害森林面积与森林总面积的比率　 </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保护和改善人类的生存环境</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群众满意度　 </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林区群众对森林生态效益满意度　 </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bl>
    <w:p>
      <w:pPr>
        <w:widowControl/>
        <w:jc w:val="left"/>
        <w:rPr>
          <w:rFonts w:ascii="Times New Roman" w:hAnsi="Times New Roman"/>
          <w:kern w:val="0"/>
          <w:sz w:val="24"/>
          <w:szCs w:val="24"/>
          <w:lang w:eastAsia="uk-UA"/>
        </w:rPr>
        <w:sectPr>
          <w:pgSz w:w="16840" w:h="11900" w:orient="landscape"/>
          <w:pgMar w:top="340" w:right="567" w:bottom="340" w:left="567" w:header="720" w:footer="720" w:gutter="0"/>
          <w:pgNumType w:fmt="decimal"/>
          <w:cols w:space="720" w:num="1"/>
          <w:docGrid w:linePitch="286" w:charSpace="0"/>
        </w:sectPr>
      </w:pPr>
    </w:p>
    <w:p>
      <w:pPr>
        <w:widowControl/>
        <w:jc w:val="center"/>
        <w:rPr>
          <w:rFonts w:ascii="Times New Roman" w:hAnsi="Times New Roman"/>
          <w:kern w:val="0"/>
          <w:sz w:val="24"/>
          <w:szCs w:val="24"/>
          <w:lang w:eastAsia="uk-UA"/>
        </w:rPr>
      </w:pPr>
      <w:r>
        <w:rPr>
          <w:rFonts w:ascii="方正仿宋_GBK" w:hAnsi="方正仿宋_GBK" w:eastAsia="方正仿宋_GBK" w:cs="方正仿宋_GBK"/>
          <w:color w:val="000000"/>
          <w:kern w:val="0"/>
          <w:sz w:val="28"/>
          <w:szCs w:val="28"/>
          <w:lang w:eastAsia="uk-UA"/>
        </w:rPr>
        <w:t xml:space="preserve"> </w:t>
      </w:r>
    </w:p>
    <w:p>
      <w:pPr>
        <w:widowControl/>
        <w:ind w:firstLine="560"/>
        <w:jc w:val="left"/>
        <w:outlineLvl w:val="3"/>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3.东陵林场森林防火经费绩效目标表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08"/>
        <w:gridCol w:w="1679"/>
        <w:gridCol w:w="2000"/>
        <w:gridCol w:w="2004"/>
        <w:gridCol w:w="3315"/>
        <w:gridCol w:w="25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14"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2526"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287"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13028122P00336110001T</w:t>
            </w:r>
          </w:p>
        </w:tc>
        <w:tc>
          <w:tcPr>
            <w:tcW w:w="200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845"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东陵林场森林防火经费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7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25.00</w:t>
            </w:r>
          </w:p>
        </w:tc>
        <w:tc>
          <w:tcPr>
            <w:tcW w:w="200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200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25.00</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5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5" w:hRule="exact"/>
          <w:jc w:val="center"/>
        </w:trPr>
        <w:tc>
          <w:tcPr>
            <w:tcW w:w="160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132" w:type="dxa"/>
            <w:gridSpan w:val="6"/>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预算数25万元。其中财政资金25万元，其他资金0万元。用途（简述）： 在七个林区林缘、路边、地边、坟边等地人工割除31.25万平方米防火隔离带，并把隔离带内可燃物清理干净，抑制林火蔓延，减免森林火灾发生，隔离带宽度10米-30米，每平米0.8元，需资金25万元，经核算，需经费25.00万元。</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lang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28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200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200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5841"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28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2000"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w:t>
            </w:r>
            <w:r>
              <w:rPr>
                <w:rFonts w:hint="eastAsia" w:ascii="方正仿宋简体" w:hAnsi="方正仿宋简体" w:eastAsia="方正仿宋简体" w:cs="方正仿宋简体"/>
                <w:kern w:val="0"/>
                <w:sz w:val="24"/>
                <w:szCs w:val="24"/>
                <w:lang w:eastAsia="uk-UA"/>
              </w:rPr>
              <w:t>0%</w:t>
            </w:r>
          </w:p>
        </w:tc>
        <w:tc>
          <w:tcPr>
            <w:tcW w:w="2004"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5841"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8"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132"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预防森林火灾的发生，降低森林火险。实现预防森林火灾的目的。实现林区无火险、火灾</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lang w:eastAsia="uk-UA"/>
              </w:rPr>
            </w:pP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08"/>
        <w:gridCol w:w="2296"/>
        <w:gridCol w:w="3417"/>
        <w:gridCol w:w="2535"/>
        <w:gridCol w:w="3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229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417"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53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32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打防火隔离带面积</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当年各林区打防火隔离带总面积</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312500平方米</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对水源的涵养</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森林火灾受害控制率（%） </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全省森林火灾中受害森林面积与森林总面积的比率　 </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保护和改善人类的生存环境</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bl>
    <w:p>
      <w:pPr>
        <w:widowControl/>
        <w:jc w:val="left"/>
        <w:rPr>
          <w:rFonts w:hint="eastAsia" w:ascii="方正仿宋简体" w:hAnsi="方正仿宋简体" w:eastAsia="方正仿宋简体" w:cs="方正仿宋简体"/>
          <w:kern w:val="0"/>
          <w:sz w:val="24"/>
          <w:szCs w:val="24"/>
          <w:lang w:eastAsia="uk-UA"/>
        </w:rPr>
        <w:sectPr>
          <w:pgSz w:w="16840" w:h="11900" w:orient="landscape"/>
          <w:pgMar w:top="340" w:right="567" w:bottom="340" w:left="567" w:header="720" w:footer="720" w:gutter="0"/>
          <w:pgNumType w:fmt="decimal"/>
          <w:cols w:space="720" w:num="1"/>
          <w:docGrid w:linePitch="286" w:charSpace="0"/>
        </w:sectPr>
      </w:pPr>
    </w:p>
    <w:p>
      <w:pPr>
        <w:widowControl/>
        <w:jc w:val="center"/>
        <w:rPr>
          <w:rFonts w:ascii="Times New Roman" w:hAnsi="Times New Roman"/>
          <w:kern w:val="0"/>
          <w:sz w:val="24"/>
          <w:szCs w:val="24"/>
          <w:lang w:eastAsia="uk-UA"/>
        </w:rPr>
      </w:pPr>
      <w:r>
        <w:rPr>
          <w:rFonts w:ascii="方正仿宋_GBK" w:hAnsi="方正仿宋_GBK" w:eastAsia="方正仿宋_GBK" w:cs="方正仿宋_GBK"/>
          <w:color w:val="000000"/>
          <w:kern w:val="0"/>
          <w:sz w:val="28"/>
          <w:szCs w:val="28"/>
          <w:lang w:eastAsia="uk-UA"/>
        </w:rPr>
        <w:t xml:space="preserve"> </w:t>
      </w:r>
    </w:p>
    <w:p>
      <w:pPr>
        <w:widowControl/>
        <w:ind w:firstLine="560"/>
        <w:jc w:val="left"/>
        <w:outlineLvl w:val="3"/>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4.冀财资环【2021】106号2022年中央财政林业改革发展资金绩效目标表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1628"/>
        <w:gridCol w:w="1699"/>
        <w:gridCol w:w="2429"/>
        <w:gridCol w:w="2550"/>
        <w:gridCol w:w="1770"/>
        <w:gridCol w:w="30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04"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3036"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327"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13028122P003366100017</w:t>
            </w:r>
          </w:p>
        </w:tc>
        <w:tc>
          <w:tcPr>
            <w:tcW w:w="242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356"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冀财资环【2021】106号2022年中央财政林业改革发展资金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62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9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20.00</w:t>
            </w:r>
          </w:p>
        </w:tc>
        <w:tc>
          <w:tcPr>
            <w:tcW w:w="242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25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20.00</w:t>
            </w:r>
          </w:p>
        </w:tc>
        <w:tc>
          <w:tcPr>
            <w:tcW w:w="177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303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112" w:type="dxa"/>
            <w:gridSpan w:val="6"/>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预算数20万元。其中财政资金20万元，其他资金0万元。用途（简述）购买无人机1架</w:t>
            </w:r>
            <w:r>
              <w:rPr>
                <w:rFonts w:hint="eastAsia" w:ascii="方正仿宋简体" w:hAnsi="方正仿宋简体" w:eastAsia="方正仿宋简体" w:cs="方正仿宋简体"/>
                <w:kern w:val="0"/>
                <w:sz w:val="24"/>
                <w:szCs w:val="24"/>
              </w:rPr>
              <w:t>16.5万元，</w:t>
            </w:r>
            <w:r>
              <w:rPr>
                <w:rFonts w:hint="eastAsia" w:ascii="方正仿宋简体" w:hAnsi="方正仿宋简体" w:eastAsia="方正仿宋简体" w:cs="方正仿宋简体"/>
                <w:kern w:val="0"/>
                <w:sz w:val="24"/>
                <w:szCs w:val="24"/>
                <w:lang w:eastAsia="uk-UA"/>
              </w:rPr>
              <w:t>用于病虫害防治、林地调查影像资料</w:t>
            </w:r>
            <w:r>
              <w:rPr>
                <w:rFonts w:hint="eastAsia" w:ascii="方正仿宋简体" w:hAnsi="方正仿宋简体" w:eastAsia="方正仿宋简体" w:cs="方正仿宋简体"/>
                <w:kern w:val="0"/>
                <w:sz w:val="24"/>
                <w:szCs w:val="24"/>
              </w:rPr>
              <w:t>3.5万元</w:t>
            </w:r>
            <w:r>
              <w:rPr>
                <w:rFonts w:hint="eastAsia" w:ascii="方正仿宋简体" w:hAnsi="方正仿宋简体" w:eastAsia="方正仿宋简体" w:cs="方正仿宋简体"/>
                <w:kern w:val="0"/>
                <w:sz w:val="24"/>
                <w:szCs w:val="24"/>
                <w:lang w:eastAsia="uk-UA"/>
              </w:rPr>
              <w:t>。</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32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242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255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10月底</w:t>
            </w:r>
          </w:p>
        </w:tc>
        <w:tc>
          <w:tcPr>
            <w:tcW w:w="4806"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32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25%</w:t>
            </w:r>
          </w:p>
        </w:tc>
        <w:tc>
          <w:tcPr>
            <w:tcW w:w="2429"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50%</w:t>
            </w:r>
          </w:p>
        </w:tc>
        <w:tc>
          <w:tcPr>
            <w:tcW w:w="2550"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75%</w:t>
            </w:r>
          </w:p>
        </w:tc>
        <w:tc>
          <w:tcPr>
            <w:tcW w:w="4806"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112"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达到有虫无灾的良好局面，保障林木健康生长。达到有虫无灾的良好局面，保障林木健康生长。</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4"/>
        <w:gridCol w:w="1624"/>
        <w:gridCol w:w="1696"/>
        <w:gridCol w:w="3681"/>
        <w:gridCol w:w="2884"/>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6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169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68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88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323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购买数量</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当年完成的购买数量</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1架</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检疫工作完成率</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检疫工作完成面积占计划的比例</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对水源的涵养</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林业有害生物成灾率</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全省林业有害生物灾害发生面积与森林面积的比率　 </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≤0.1千分之</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保护和改善人类的生存条件</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bl>
    <w:p>
      <w:pPr>
        <w:widowControl/>
        <w:jc w:val="left"/>
        <w:rPr>
          <w:rFonts w:ascii="Times New Roman" w:hAnsi="Times New Roman"/>
          <w:kern w:val="0"/>
          <w:sz w:val="24"/>
          <w:szCs w:val="24"/>
          <w:lang w:eastAsia="uk-UA"/>
        </w:rPr>
        <w:sectPr>
          <w:pgSz w:w="16840" w:h="11900" w:orient="landscape"/>
          <w:pgMar w:top="340" w:right="567" w:bottom="340" w:left="567" w:header="720" w:footer="720" w:gutter="0"/>
          <w:pgNumType w:fmt="decimal"/>
          <w:cols w:space="720" w:num="1"/>
          <w:docGrid w:linePitch="286" w:charSpace="0"/>
        </w:sectPr>
      </w:pPr>
    </w:p>
    <w:p>
      <w:pPr>
        <w:widowControl/>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5.冀财资环【2021】117号2022年度省级林业草原转移支付资金绩效目标表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8"/>
        <w:gridCol w:w="1782"/>
        <w:gridCol w:w="1619"/>
        <w:gridCol w:w="2419"/>
        <w:gridCol w:w="2646"/>
        <w:gridCol w:w="519"/>
        <w:gridCol w:w="2117"/>
        <w:gridCol w:w="23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84" w:type="dxa"/>
            <w:gridSpan w:val="5"/>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4956" w:type="dxa"/>
            <w:gridSpan w:val="3"/>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1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401"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13028122P00336810001J</w:t>
            </w:r>
          </w:p>
        </w:tc>
        <w:tc>
          <w:tcPr>
            <w:tcW w:w="241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602" w:type="dxa"/>
            <w:gridSpan w:val="4"/>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冀财资环【2021】117号2022年度省级林业草原转移支付资金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exact"/>
          <w:jc w:val="center"/>
        </w:trPr>
        <w:tc>
          <w:tcPr>
            <w:tcW w:w="131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782"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1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80.00</w:t>
            </w:r>
          </w:p>
        </w:tc>
        <w:tc>
          <w:tcPr>
            <w:tcW w:w="241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3165"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80.00</w:t>
            </w:r>
          </w:p>
        </w:tc>
        <w:tc>
          <w:tcPr>
            <w:tcW w:w="2117"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32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5" w:hRule="exact"/>
          <w:jc w:val="center"/>
        </w:trPr>
        <w:tc>
          <w:tcPr>
            <w:tcW w:w="131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422" w:type="dxa"/>
            <w:gridSpan w:val="7"/>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　 预算数80万元。其中财政资金80万元，其他资金0万元。主要用于：消防水车 1辆36万元、林区内修建消防通道需资金24万元（100元/平方米，宽3米，长800米）；病虫害防治10万元、监控增加5个点位10万元。</w:t>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exact"/>
          <w:jc w:val="center"/>
        </w:trPr>
        <w:tc>
          <w:tcPr>
            <w:tcW w:w="131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401"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241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3165"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443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131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401"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2419"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w:t>
            </w:r>
            <w:r>
              <w:rPr>
                <w:rFonts w:hint="eastAsia" w:ascii="方正仿宋简体" w:hAnsi="方正仿宋简体" w:eastAsia="方正仿宋简体" w:cs="方正仿宋简体"/>
                <w:kern w:val="0"/>
                <w:sz w:val="24"/>
                <w:szCs w:val="24"/>
                <w:lang w:eastAsia="uk-UA"/>
              </w:rPr>
              <w:t>0%</w:t>
            </w:r>
          </w:p>
        </w:tc>
        <w:tc>
          <w:tcPr>
            <w:tcW w:w="3165"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443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5" w:hRule="exact"/>
          <w:jc w:val="center"/>
        </w:trPr>
        <w:tc>
          <w:tcPr>
            <w:tcW w:w="1318"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422" w:type="dxa"/>
            <w:gridSpan w:val="7"/>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确保全市森林覆盖率、森林蓄积量和森林保有量、林地保有量稳步增长，推动林业又好又快的发展。建立高效完备的森林资源保护体系，全面提升森林资源保护管理水平，实现森林资源稳步增长，改善生态环境。</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lang w:eastAsia="uk-UA"/>
              </w:rPr>
            </w:pP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8"/>
        <w:gridCol w:w="1830"/>
        <w:gridCol w:w="1965"/>
        <w:gridCol w:w="3690"/>
        <w:gridCol w:w="2850"/>
        <w:gridCol w:w="3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83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196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69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85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3087"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3" w:hRule="atLeast"/>
          <w:jc w:val="center"/>
        </w:trPr>
        <w:tc>
          <w:tcPr>
            <w:tcW w:w="131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消防通道</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长800米，宽3米，厚0.2米，</w:t>
            </w:r>
            <w:r>
              <w:rPr>
                <w:rFonts w:hint="eastAsia" w:ascii="方正仿宋简体" w:hAnsi="方正仿宋简体" w:eastAsia="方正仿宋简体" w:cs="方正仿宋简体"/>
                <w:kern w:val="0"/>
                <w:sz w:val="24"/>
                <w:szCs w:val="24"/>
                <w:lang w:val="en-US" w:eastAsia="zh-CN"/>
              </w:rPr>
              <w:t>混凝土</w:t>
            </w:r>
            <w:r>
              <w:rPr>
                <w:rFonts w:hint="eastAsia" w:ascii="方正仿宋简体" w:hAnsi="方正仿宋简体" w:eastAsia="方正仿宋简体" w:cs="方正仿宋简体"/>
                <w:kern w:val="0"/>
                <w:sz w:val="24"/>
                <w:szCs w:val="24"/>
                <w:lang w:eastAsia="uk-UA"/>
              </w:rPr>
              <w:t>标号C30,含路基开拓整理</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2400平方米</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对水源的涵养</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林业有害生物成灾率</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全省林业有害生物灾害发生面积与森林面积的比率　 </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≤0.1千分之</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8"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保护和改善人类的生存条件</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bl>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5" w:name="_Toc66695133"/>
      <w:bookmarkStart w:id="6" w:name="_Toc66695134"/>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bookmarkEnd w:id="5"/>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2022年，遵化市国营东陵林场安排政府采购预算36万元。</w:t>
      </w:r>
    </w:p>
    <w:p>
      <w:pPr>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786"/>
        <w:gridCol w:w="1531"/>
        <w:gridCol w:w="1733"/>
        <w:gridCol w:w="690"/>
        <w:gridCol w:w="855"/>
        <w:gridCol w:w="776"/>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500" w:lineRule="exact"/>
              <w:jc w:val="left"/>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327003遵化市国营东陵林场</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500" w:lineRule="exact"/>
              <w:ind w:firstLine="4800" w:firstLineChars="15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政府采购项目来源</w:t>
            </w:r>
          </w:p>
        </w:tc>
        <w:tc>
          <w:tcPr>
            <w:tcW w:w="1531"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采购物品名称</w:t>
            </w:r>
          </w:p>
        </w:tc>
        <w:tc>
          <w:tcPr>
            <w:tcW w:w="1733"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政府采购目录序号</w:t>
            </w:r>
          </w:p>
        </w:tc>
        <w:tc>
          <w:tcPr>
            <w:tcW w:w="690"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计量  单位</w:t>
            </w:r>
          </w:p>
        </w:tc>
        <w:tc>
          <w:tcPr>
            <w:tcW w:w="855"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数量</w:t>
            </w:r>
          </w:p>
        </w:tc>
        <w:tc>
          <w:tcPr>
            <w:tcW w:w="776"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单价</w:t>
            </w:r>
          </w:p>
        </w:tc>
        <w:tc>
          <w:tcPr>
            <w:tcW w:w="6804" w:type="dxa"/>
            <w:gridSpan w:val="6"/>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2332"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项目名称</w:t>
            </w:r>
          </w:p>
        </w:tc>
        <w:tc>
          <w:tcPr>
            <w:tcW w:w="786"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w:t>
            </w:r>
          </w:p>
        </w:tc>
        <w:tc>
          <w:tcPr>
            <w:tcW w:w="1531"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733"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855"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776"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合计</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一般公共预算拨款</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基金预算拨款</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国有资本经营预算拨款</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财政专户核拨</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3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合  计</w:t>
            </w:r>
          </w:p>
        </w:tc>
        <w:tc>
          <w:tcPr>
            <w:tcW w:w="786" w:type="dxa"/>
            <w:shd w:val="clear" w:color="auto" w:fill="auto"/>
            <w:noWrap w:val="0"/>
            <w:vAlign w:val="center"/>
          </w:tcPr>
          <w:p>
            <w:pPr>
              <w:spacing w:line="500" w:lineRule="exact"/>
              <w:jc w:val="left"/>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531"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73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855"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776"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3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小  计</w:t>
            </w:r>
          </w:p>
        </w:tc>
        <w:tc>
          <w:tcPr>
            <w:tcW w:w="786"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531"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73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855"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776"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32"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冀财资环【2021】117号2022年度省级林业草原转移支付资金</w:t>
            </w:r>
          </w:p>
        </w:tc>
        <w:tc>
          <w:tcPr>
            <w:tcW w:w="786"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531"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消防水车</w:t>
            </w:r>
          </w:p>
        </w:tc>
        <w:tc>
          <w:tcPr>
            <w:tcW w:w="1733"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[A02030708]消防车</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shd w:val="clear" w:color="auto" w:fill="auto"/>
            <w:noWrap w:val="0"/>
            <w:vAlign w:val="center"/>
          </w:tcPr>
          <w:p>
            <w:pPr>
              <w:spacing w:line="500" w:lineRule="exact"/>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台</w:t>
            </w:r>
          </w:p>
        </w:tc>
        <w:tc>
          <w:tcPr>
            <w:tcW w:w="855" w:type="dxa"/>
            <w:shd w:val="clear" w:color="auto" w:fill="auto"/>
            <w:noWrap w:val="0"/>
            <w:vAlign w:val="center"/>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w:t>
            </w:r>
          </w:p>
        </w:tc>
        <w:tc>
          <w:tcPr>
            <w:tcW w:w="776" w:type="dxa"/>
            <w:shd w:val="clear" w:color="auto" w:fill="auto"/>
            <w:noWrap w:val="0"/>
            <w:vAlign w:val="center"/>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6"/>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遵化市遵化市国营东陵林场上年末固定资产金额为883.85万元（详见下表）。本年度拟购置固定资产总额为52.5万元，达到政府采购限额标准的36万元，已按要求列入政府采购预算，详见政府采购预算表。</w:t>
      </w:r>
    </w:p>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03"/>
        <w:gridCol w:w="1985"/>
        <w:gridCol w:w="4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3" w:type="dxa"/>
            <w:tcBorders>
              <w:top w:val="single" w:color="FFFFFF" w:sz="6" w:space="0"/>
              <w:left w:val="single" w:color="FFFFFF" w:sz="6" w:space="0"/>
              <w:right w:val="single" w:color="FFFFFF" w:sz="6" w:space="0"/>
            </w:tcBorders>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327003遵化市国营东陵林场 </w:t>
            </w:r>
          </w:p>
        </w:tc>
        <w:tc>
          <w:tcPr>
            <w:tcW w:w="6137" w:type="dxa"/>
            <w:gridSpan w:val="2"/>
            <w:tcBorders>
              <w:top w:val="single" w:color="FFFFFF" w:sz="6" w:space="0"/>
              <w:left w:val="single" w:color="FFFFFF" w:sz="6" w:space="0"/>
              <w:right w:val="single" w:color="FFFFFF" w:sz="6" w:space="0"/>
            </w:tcBorders>
            <w:shd w:val="clear" w:color="auto" w:fill="auto"/>
            <w:noWrap w:val="0"/>
            <w:vAlign w:val="center"/>
          </w:tcPr>
          <w:p>
            <w:pPr>
              <w:spacing w:line="500" w:lineRule="exact"/>
              <w:ind w:firstLine="2560" w:firstLineChars="8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项   目</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数量</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资产总额</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1、房屋（平方米）</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3610</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其中：办公用房（平方米）</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3610</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2、车辆（台、辆）</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3、单价在20万元以上的设备</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0</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0</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4、其他固定资产</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171</w:t>
            </w:r>
          </w:p>
        </w:tc>
        <w:tc>
          <w:tcPr>
            <w:tcW w:w="4152" w:type="dxa"/>
            <w:shd w:val="clear" w:color="auto" w:fill="auto"/>
            <w:noWrap w:val="0"/>
            <w:vAlign w:val="center"/>
          </w:tcPr>
          <w:p>
            <w:pPr>
              <w:spacing w:line="500" w:lineRule="exact"/>
              <w:ind w:firstLine="640" w:firstLineChars="200"/>
              <w:jc w:val="left"/>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586.20</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7" w:name="_Toc66695135"/>
      <w:r>
        <w:rPr>
          <w:rFonts w:hint="eastAsia" w:ascii="方正黑体简体" w:hAnsi="方正黑体简体" w:eastAsia="方正黑体简体" w:cs="方正黑体简体"/>
          <w:sz w:val="32"/>
          <w:szCs w:val="32"/>
        </w:rPr>
        <w:t>八、名词解释</w:t>
      </w:r>
      <w:bookmarkEnd w:id="7"/>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1、一般公共预算拨款收入：指省级财政当年拨付的资金。</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2、事业收入：指事业单位开展专业业务活动及辅助活动所取得的收入。</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3、其他收入：指除</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一般公共预算拨款收入</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事业收入</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等以外的收入。主要是按规定动用的租房收入、存款利息收入等。</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4、基本支出：指为保障机构正常运转、完成日常工作任务而发生的人员支出和公用支出。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5、项目支出：指在基本支出之外为完成特定行政任务和事业发展目标所发生的支出。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6、上缴上级支出：指下级单位上缴上级的支出。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三公</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经费：纳入省级财政预算管理的</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三公</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9、上年结转：指以前年度尚未完成、结转到本年仍按原规定用途继续使用的资金。</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8" w:name="_Toc66695136"/>
      <w:r>
        <w:rPr>
          <w:rFonts w:hint="eastAsia" w:ascii="方正黑体简体" w:hAnsi="方正黑体简体" w:eastAsia="方正黑体简体" w:cs="方正黑体简体"/>
          <w:sz w:val="32"/>
          <w:szCs w:val="32"/>
        </w:rPr>
        <w:t>九、其他需要说明的事项</w:t>
      </w:r>
      <w:bookmarkEnd w:id="8"/>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1、遵化市国营东陵林场2022年单位预算中未安排政府性基金预算，故政府性基金预算支出表为空。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2、遵化市国营东陵林场2022年单位预算中未安排资本经营预算，故国有资本经营预算支出表为空。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p>
      <w:pPr>
        <w:spacing w:line="560" w:lineRule="exact"/>
        <w:jc w:val="left"/>
        <w:rPr>
          <w:rFonts w:hint="eastAsia" w:ascii="仿宋" w:hAnsi="仿宋" w:eastAsia="仿宋" w:cs="仿宋"/>
          <w:szCs w:val="21"/>
        </w:rPr>
      </w:pPr>
    </w:p>
    <w:p/>
    <w:sectPr>
      <w:pgSz w:w="16838" w:h="11906" w:orient="landscape"/>
      <w:pgMar w:top="340" w:right="1440" w:bottom="3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3"/>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C8YgrzQEAAJY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TVkZWFjZTY2ZDNiNzc4MDdhNjc2NzAwNzEwYTUifQ=="/>
  </w:docVars>
  <w:rsids>
    <w:rsidRoot w:val="00172A27"/>
    <w:rsid w:val="037E7943"/>
    <w:rsid w:val="06690DB7"/>
    <w:rsid w:val="06FC0077"/>
    <w:rsid w:val="078E49D0"/>
    <w:rsid w:val="07E855C5"/>
    <w:rsid w:val="0AEB69C6"/>
    <w:rsid w:val="10C22B03"/>
    <w:rsid w:val="176160A3"/>
    <w:rsid w:val="190C75C5"/>
    <w:rsid w:val="1A2E7962"/>
    <w:rsid w:val="1DC153F3"/>
    <w:rsid w:val="20264F56"/>
    <w:rsid w:val="233F65FE"/>
    <w:rsid w:val="23E73A4C"/>
    <w:rsid w:val="2538190B"/>
    <w:rsid w:val="25C02F5D"/>
    <w:rsid w:val="25ED0053"/>
    <w:rsid w:val="283A32F8"/>
    <w:rsid w:val="286D241A"/>
    <w:rsid w:val="2B32276A"/>
    <w:rsid w:val="323100E5"/>
    <w:rsid w:val="331962E5"/>
    <w:rsid w:val="332F0517"/>
    <w:rsid w:val="344715F2"/>
    <w:rsid w:val="358C791B"/>
    <w:rsid w:val="3A9D133C"/>
    <w:rsid w:val="48902496"/>
    <w:rsid w:val="4AC34A43"/>
    <w:rsid w:val="4AF551FA"/>
    <w:rsid w:val="4BC10B1E"/>
    <w:rsid w:val="4C864942"/>
    <w:rsid w:val="4DAC6E4B"/>
    <w:rsid w:val="4FEF2060"/>
    <w:rsid w:val="52B83AB1"/>
    <w:rsid w:val="53880187"/>
    <w:rsid w:val="58C26F57"/>
    <w:rsid w:val="59B843B1"/>
    <w:rsid w:val="5BD81EC7"/>
    <w:rsid w:val="612059DB"/>
    <w:rsid w:val="63A53F65"/>
    <w:rsid w:val="663971F8"/>
    <w:rsid w:val="6A224212"/>
    <w:rsid w:val="6B7E7744"/>
    <w:rsid w:val="6D0A63C2"/>
    <w:rsid w:val="707D4598"/>
    <w:rsid w:val="70CF14AB"/>
    <w:rsid w:val="71A753A6"/>
    <w:rsid w:val="739B7C32"/>
    <w:rsid w:val="73AC72B8"/>
    <w:rsid w:val="777F121C"/>
    <w:rsid w:val="77E06CE0"/>
    <w:rsid w:val="7EFD3ED9"/>
    <w:rsid w:val="7F4D3340"/>
    <w:rsid w:val="7F8D76E9"/>
    <w:rsid w:val="7FF7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13">
    <w:name w:val="正文1"/>
    <w:basedOn w:val="1"/>
    <w:next w:val="14"/>
    <w:qFormat/>
    <w:uiPriority w:val="0"/>
    <w:pPr>
      <w:snapToGrid w:val="0"/>
      <w:spacing w:line="324" w:lineRule="auto"/>
      <w:ind w:firstLine="200" w:firstLineChars="200"/>
      <w:jc w:val="left"/>
    </w:pPr>
    <w:rPr>
      <w:rFonts w:cs="宋体"/>
      <w:snapToGrid w:val="0"/>
      <w:kern w:val="0"/>
    </w:rPr>
  </w:style>
  <w:style w:type="paragraph" w:customStyle="1" w:styleId="14">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10383</Words>
  <Characters>12443</Characters>
  <Lines>0</Lines>
  <Paragraphs>0</Paragraphs>
  <TotalTime>0</TotalTime>
  <ScaleCrop>false</ScaleCrop>
  <LinksUpToDate>false</LinksUpToDate>
  <CharactersWithSpaces>13241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2022-04-09T02:45:00Z</dcterms:created>
  <dc:creator>Administrator</dc:creator>
  <cp:lastModifiedBy>枫净</cp:lastModifiedBy>
  <dcterms:modified xsi:type="dcterms:W3CDTF">2024-03-20T00:01:15Z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E25D1DE8643F48A782385126932AF785</vt:lpwstr>
  </property>
</Properties>
</file>