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Times New Roman" w:hAnsi="Times New Roman" w:eastAsia="方正小标宋_GBK" w:cs="Times New Roman"/>
          <w:b/>
          <w:sz w:val="44"/>
          <w:szCs w:val="44"/>
        </w:rPr>
      </w:pPr>
      <w:r>
        <w:rPr>
          <w:rFonts w:hint="eastAsia" w:ascii="Times New Roman" w:hAnsi="Times New Roman" w:eastAsia="方正小标宋_GBK" w:cs="方正小标宋_GBK"/>
          <w:b/>
          <w:sz w:val="44"/>
          <w:szCs w:val="44"/>
        </w:rPr>
        <w:t>遵化市委老干部局</w:t>
      </w:r>
      <w:r>
        <w:rPr>
          <w:rFonts w:ascii="Times New Roman" w:hAnsi="Times New Roman" w:eastAsia="方正小标宋_GBK" w:cs="Times New Roman"/>
          <w:b/>
          <w:sz w:val="44"/>
          <w:szCs w:val="44"/>
        </w:rPr>
        <w:t>20</w:t>
      </w:r>
      <w:r>
        <w:rPr>
          <w:rFonts w:hint="eastAsia" w:ascii="Times New Roman" w:hAnsi="Times New Roman" w:eastAsia="方正小标宋_GBK" w:cs="Times New Roman"/>
          <w:b/>
          <w:sz w:val="44"/>
          <w:szCs w:val="44"/>
          <w:lang w:val="en-US" w:eastAsia="zh-CN"/>
        </w:rPr>
        <w:t>20</w:t>
      </w:r>
      <w:r>
        <w:rPr>
          <w:rFonts w:hint="eastAsia" w:ascii="Times New Roman" w:hAnsi="Times New Roman" w:eastAsia="方正小标宋_GBK" w:cs="方正小标宋_GBK"/>
          <w:b/>
          <w:sz w:val="44"/>
          <w:szCs w:val="44"/>
        </w:rPr>
        <w:t>年部门预算信息公开</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按照《</w:t>
      </w:r>
      <w:r>
        <w:rPr>
          <w:rFonts w:hint="eastAsia" w:ascii="Times New Roman" w:hAnsi="Times New Roman" w:eastAsia="方正仿宋_GBK" w:cs="方正仿宋_GBK"/>
          <w:sz w:val="32"/>
          <w:szCs w:val="32"/>
          <w:lang w:eastAsia="zh-CN"/>
        </w:rPr>
        <w:t>中华人民共和国</w:t>
      </w:r>
      <w:r>
        <w:rPr>
          <w:rFonts w:hint="eastAsia" w:ascii="Times New Roman" w:hAnsi="Times New Roman" w:eastAsia="方正仿宋_GBK" w:cs="方正仿宋_GBK"/>
          <w:sz w:val="32"/>
          <w:szCs w:val="32"/>
        </w:rPr>
        <w:t>预算法》、《地方预决算公开操作规程》和《河北省省级预算公开办法》规定，现将遵化市委老干部局</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方正仿宋_GBK"/>
          <w:sz w:val="32"/>
          <w:szCs w:val="32"/>
        </w:rPr>
        <w:t>年部门预算公开如下：</w:t>
      </w:r>
    </w:p>
    <w:p>
      <w:pPr>
        <w:ind w:firstLine="640"/>
        <w:rPr>
          <w:rFonts w:ascii="黑体" w:hAnsi="黑体" w:eastAsia="黑体" w:cs="Times New Roman"/>
          <w:b/>
          <w:bCs/>
          <w:sz w:val="32"/>
          <w:szCs w:val="32"/>
        </w:rPr>
      </w:pPr>
      <w:r>
        <w:rPr>
          <w:rFonts w:hint="eastAsia" w:ascii="黑体" w:hAnsi="黑体" w:eastAsia="黑体" w:cs="黑体"/>
          <w:b/>
          <w:bCs/>
          <w:sz w:val="32"/>
          <w:szCs w:val="32"/>
        </w:rPr>
        <w:t>一、部门职责及机构设置情况</w:t>
      </w:r>
    </w:p>
    <w:p>
      <w:pPr>
        <w:ind w:firstLine="643" w:firstLineChars="200"/>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部门职责：</w:t>
      </w:r>
    </w:p>
    <w:p>
      <w:pPr>
        <w:ind w:firstLine="640"/>
        <w:rPr>
          <w:rFonts w:ascii="Times New Roman" w:hAnsi="Times New Roman" w:eastAsia="方正仿宋_GBK" w:cs="方正仿宋_GBK"/>
          <w:sz w:val="32"/>
          <w:szCs w:val="32"/>
        </w:rPr>
      </w:pPr>
      <w:r>
        <w:rPr>
          <w:rFonts w:ascii="仿宋" w:hAnsi="仿宋" w:eastAsia="仿宋"/>
          <w:sz w:val="32"/>
          <w:szCs w:val="32"/>
        </w:rPr>
        <w:t xml:space="preserve">    </w:t>
      </w:r>
      <w:r>
        <w:rPr>
          <w:rFonts w:hint="eastAsia" w:ascii="Times New Roman" w:hAnsi="Times New Roman" w:eastAsia="方正仿宋_GBK" w:cs="方正仿宋_GBK"/>
          <w:sz w:val="32"/>
          <w:szCs w:val="32"/>
        </w:rPr>
        <w:t>根据</w:t>
      </w:r>
      <w:r>
        <w:rPr>
          <w:rFonts w:hint="eastAsia" w:ascii="Times New Roman" w:hAnsi="Times New Roman" w:eastAsia="方正仿宋_GBK" w:cs="方正仿宋_GBK"/>
          <w:sz w:val="32"/>
          <w:szCs w:val="32"/>
          <w:lang w:eastAsia="zh-CN"/>
        </w:rPr>
        <w:t>遵办字</w:t>
      </w:r>
      <w:r>
        <w:rPr>
          <w:rFonts w:hint="eastAsia" w:ascii="Times New Roman" w:hAnsi="Times New Roman" w:eastAsia="方正仿宋_GBK" w:cs="方正仿宋_GBK"/>
          <w:sz w:val="32"/>
          <w:szCs w:val="32"/>
          <w:lang w:val="en-US" w:eastAsia="zh-CN"/>
        </w:rPr>
        <w:t>[2020]29</w:t>
      </w:r>
      <w:r>
        <w:rPr>
          <w:rFonts w:hint="eastAsia" w:ascii="Times New Roman" w:hAnsi="Times New Roman" w:eastAsia="方正仿宋_GBK" w:cs="方正仿宋_GBK"/>
          <w:sz w:val="32"/>
          <w:szCs w:val="32"/>
        </w:rPr>
        <w:t>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遵机编字【</w:t>
      </w:r>
      <w:r>
        <w:rPr>
          <w:rFonts w:hint="eastAsia" w:ascii="Times New Roman" w:hAnsi="Times New Roman" w:eastAsia="方正仿宋_GBK" w:cs="方正仿宋_GBK"/>
          <w:sz w:val="32"/>
          <w:szCs w:val="32"/>
          <w:lang w:eastAsia="zh-CN"/>
        </w:rPr>
        <w:t>2020</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45</w:t>
      </w:r>
      <w:r>
        <w:rPr>
          <w:rFonts w:hint="eastAsia" w:ascii="Times New Roman" w:hAnsi="Times New Roman" w:eastAsia="方正仿宋_GBK" w:cs="方正仿宋_GBK"/>
          <w:sz w:val="32"/>
          <w:szCs w:val="32"/>
        </w:rPr>
        <w:t>号文件，我局主要职责是：</w:t>
      </w:r>
    </w:p>
    <w:p>
      <w:pPr>
        <w:spacing w:line="57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全面贯彻加强党对离退休干部工作集中统一领导要求。负责宣传贯彻落实党中央、国务院，省委、省政府、唐山市委、唐山市政府和遵化市委、遵化市政府关于离退休干部工作的方针政策；拟订或参与拟订全市离退休干部工作有关具体规定和办法；总结宣传全市离退休干部工作和先进典型。</w:t>
      </w:r>
    </w:p>
    <w:p>
      <w:pPr>
        <w:spacing w:line="57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（二）负责指导、督促、检查全市各单位、各部门离退休干部工作；组织和协调有关部门做好离退休干部工作。</w:t>
      </w:r>
    </w:p>
    <w:p>
      <w:pPr>
        <w:spacing w:line="57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负责督促检查全市各单位、各部门落实离退休干部的政治和生活待遇，做好走访慰问工作。抓好离休干部“两费”（离休费、医药费）的落实；调查研究离退休干部政治和生活待遇中存在的问题，协调有关部门提出解决办法。</w:t>
      </w:r>
    </w:p>
    <w:p>
      <w:pPr>
        <w:spacing w:line="57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加强对全市离退休干部的政治引领和教育管理。组织拟订和研究制定加强新形势下离退休干部党组织建设、做好离退休干部思想政治工作的制度办法和措施；指导加强对离退休干部党组织书记的教育培训工作。</w:t>
      </w:r>
    </w:p>
    <w:p>
      <w:pPr>
        <w:spacing w:line="57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（五）指导各级老干部活动中心（站、室）、老年大学（学校）和老干部门诊部等学习活动阵地建设与管理；指导离退休干部休养，开展各种文体活动。</w:t>
      </w:r>
    </w:p>
    <w:p>
      <w:pPr>
        <w:spacing w:line="57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（六）指导全市各单位、各部门组织离退休干部利用自身优势，在政治、经济、文化和青少年教育等各领域发挥作用，增添正能量。</w:t>
      </w:r>
    </w:p>
    <w:p>
      <w:pPr>
        <w:spacing w:line="57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（七）了解离退休干部对医疗保健方面的意见和要求。组织指导离退休干部开展健康科学的文化健身、保健讲座、健康疗养、参观学习等活动。</w:t>
      </w:r>
    </w:p>
    <w:p>
      <w:pPr>
        <w:spacing w:line="57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（八）负责易地安置离休干部服务管理工作；代办离休荣誉证。</w:t>
      </w:r>
    </w:p>
    <w:p>
      <w:pPr>
        <w:spacing w:line="57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（九）负责回市老干部探亲访友和各省区市老干部工作部门到遵的联络接待工作。</w:t>
      </w:r>
    </w:p>
    <w:p>
      <w:pPr>
        <w:spacing w:line="57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（十）会同有关部门拟订离退休干部去世治丧办法。指导逝世老干部的善后工作，协助承办市委交办的丧葬事宜。</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（十一）承担市老干部工作领导小组的日常工作。</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(十二）完成市委交办的其他任务。</w:t>
      </w:r>
    </w:p>
    <w:p>
      <w:pPr>
        <w:ind w:firstLine="643" w:firstLineChars="200"/>
        <w:rPr>
          <w:rFonts w:ascii="Times New Roman" w:hAnsi="Times New Roman" w:eastAsia="方正仿宋_GBK" w:cs="方正仿宋_GBK"/>
          <w:b/>
          <w:bCs/>
          <w:sz w:val="32"/>
          <w:szCs w:val="32"/>
        </w:rPr>
      </w:pPr>
    </w:p>
    <w:p>
      <w:pPr>
        <w:ind w:firstLine="643" w:firstLineChars="200"/>
        <w:rPr>
          <w:rFonts w:ascii="Times New Roman" w:hAnsi="Times New Roman" w:eastAsia="方正仿宋_GBK" w:cs="方正仿宋_GBK"/>
          <w:b/>
          <w:bCs/>
          <w:sz w:val="32"/>
          <w:szCs w:val="32"/>
        </w:rPr>
      </w:pPr>
    </w:p>
    <w:p>
      <w:pPr>
        <w:ind w:firstLine="643" w:firstLineChars="200"/>
        <w:rPr>
          <w:rFonts w:ascii="Times New Roman" w:hAnsi="Times New Roman" w:eastAsia="方正仿宋_GBK" w:cs="方正仿宋_GBK"/>
          <w:b/>
          <w:bCs/>
          <w:sz w:val="32"/>
          <w:szCs w:val="32"/>
        </w:rPr>
      </w:pPr>
    </w:p>
    <w:p>
      <w:pPr>
        <w:ind w:firstLine="643" w:firstLineChars="200"/>
        <w:rPr>
          <w:rFonts w:ascii="Times New Roman" w:hAnsi="Times New Roman" w:eastAsia="方正仿宋_GBK" w:cs="方正仿宋_GBK"/>
          <w:b/>
          <w:bCs/>
          <w:sz w:val="32"/>
          <w:szCs w:val="32"/>
        </w:rPr>
      </w:pPr>
    </w:p>
    <w:p>
      <w:pPr>
        <w:autoSpaceDE w:val="0"/>
        <w:autoSpaceDN w:val="0"/>
        <w:adjustRightInd w:val="0"/>
        <w:ind w:left="198" w:firstLine="643" w:firstLineChars="200"/>
        <w:jc w:val="left"/>
        <w:rPr>
          <w:rFonts w:ascii="方正仿宋_GBK" w:hAnsi="Times New Roman" w:eastAsia="方正仿宋_GBK" w:cs="Times New Roman"/>
          <w:b/>
          <w:bCs/>
          <w:sz w:val="32"/>
          <w:szCs w:val="32"/>
        </w:rPr>
      </w:pPr>
      <w:r>
        <w:rPr>
          <w:rFonts w:hint="eastAsia" w:ascii="方正仿宋_GBK" w:hAnsi="Times New Roman" w:eastAsia="方正仿宋_GBK" w:cs="方正仿宋_GBK"/>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w:t>
            </w:r>
            <w:r>
              <w:rPr>
                <w:rFonts w:ascii="方正书宋_GBK" w:eastAsia="方正书宋_GBK" w:cs="方正书宋_GBK"/>
                <w:b/>
                <w:bCs/>
              </w:rPr>
              <w:t xml:space="preserve">    </w:t>
            </w:r>
            <w:r>
              <w:rPr>
                <w:rFonts w:hint="eastAsia" w:ascii="方正书宋_GBK" w:eastAsia="方正书宋_GBK" w:cs="方正书宋_GBK"/>
                <w:b/>
                <w:bCs/>
              </w:rPr>
              <w:t>计</w:t>
            </w:r>
          </w:p>
        </w:tc>
        <w:tc>
          <w:tcPr>
            <w:tcW w:w="1134" w:type="dxa"/>
            <w:vAlign w:val="center"/>
          </w:tcPr>
          <w:p>
            <w:pPr>
              <w:spacing w:line="300" w:lineRule="exact"/>
              <w:jc w:val="center"/>
              <w:rPr>
                <w:rFonts w:ascii="方正书宋_GBK" w:eastAsia="方正书宋_GBK" w:cs="Times New Roman"/>
                <w:b/>
                <w:bCs/>
              </w:rPr>
            </w:pPr>
          </w:p>
        </w:tc>
        <w:tc>
          <w:tcPr>
            <w:tcW w:w="1276" w:type="dxa"/>
            <w:vAlign w:val="center"/>
          </w:tcPr>
          <w:p>
            <w:pPr>
              <w:spacing w:line="300" w:lineRule="exact"/>
              <w:jc w:val="center"/>
              <w:rPr>
                <w:rFonts w:ascii="方正书宋_GBK" w:eastAsia="方正书宋_GBK" w:cs="Times New Roman"/>
                <w:b/>
                <w:bCs/>
              </w:rPr>
            </w:pPr>
          </w:p>
        </w:tc>
        <w:tc>
          <w:tcPr>
            <w:tcW w:w="2902" w:type="dxa"/>
            <w:vAlign w:val="center"/>
          </w:tcPr>
          <w:p>
            <w:pPr>
              <w:spacing w:line="300" w:lineRule="exact"/>
              <w:jc w:val="center"/>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遵化市委老干部局机关</w:t>
            </w:r>
          </w:p>
        </w:tc>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行政</w:t>
            </w:r>
          </w:p>
        </w:tc>
        <w:tc>
          <w:tcPr>
            <w:tcW w:w="127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正科级</w:t>
            </w:r>
          </w:p>
        </w:tc>
        <w:tc>
          <w:tcPr>
            <w:tcW w:w="290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遵化市委老干部局办公室</w:t>
            </w:r>
          </w:p>
        </w:tc>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行政</w:t>
            </w:r>
          </w:p>
        </w:tc>
        <w:tc>
          <w:tcPr>
            <w:tcW w:w="127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遵化市委老干部局安置科</w:t>
            </w:r>
          </w:p>
        </w:tc>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行政</w:t>
            </w:r>
          </w:p>
        </w:tc>
        <w:tc>
          <w:tcPr>
            <w:tcW w:w="127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遵化市委老干部局保健科</w:t>
            </w:r>
          </w:p>
        </w:tc>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遵化市委老干部局老教办</w:t>
            </w:r>
          </w:p>
        </w:tc>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遵化市委老干部局关工办</w:t>
            </w:r>
          </w:p>
        </w:tc>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bl>
    <w:p>
      <w:pPr>
        <w:ind w:firstLine="640"/>
        <w:rPr>
          <w:rFonts w:ascii="黑体" w:hAnsi="黑体" w:eastAsia="黑体" w:cs="黑体"/>
          <w:b/>
          <w:bCs/>
          <w:sz w:val="32"/>
          <w:szCs w:val="32"/>
        </w:rPr>
      </w:pPr>
    </w:p>
    <w:p>
      <w:pPr>
        <w:ind w:firstLine="640"/>
        <w:rPr>
          <w:rFonts w:ascii="黑体" w:hAnsi="黑体" w:eastAsia="黑体" w:cs="Times New Roman"/>
          <w:b/>
          <w:bCs/>
          <w:sz w:val="32"/>
          <w:szCs w:val="32"/>
        </w:rPr>
      </w:pPr>
      <w:r>
        <w:rPr>
          <w:rFonts w:hint="eastAsia" w:ascii="黑体" w:hAnsi="黑体" w:eastAsia="黑体" w:cs="黑体"/>
          <w:b/>
          <w:bCs/>
          <w:sz w:val="32"/>
          <w:szCs w:val="32"/>
        </w:rPr>
        <w:t>二、部门预算安排的总体情况</w:t>
      </w:r>
    </w:p>
    <w:p>
      <w:pPr>
        <w:ind w:firstLine="64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按照预算管理有关规定，目前我市部门预算的编制实行综合预算制度，即全部收入和支出都反映在预算中。</w:t>
      </w:r>
    </w:p>
    <w:p>
      <w:pPr>
        <w:ind w:firstLine="64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1</w:t>
      </w:r>
      <w:r>
        <w:rPr>
          <w:rFonts w:hint="eastAsia" w:ascii="Times New Roman" w:hAnsi="Times New Roman" w:eastAsia="方正仿宋_GBK" w:cs="方正仿宋_GBK"/>
          <w:b/>
          <w:sz w:val="32"/>
          <w:szCs w:val="32"/>
        </w:rPr>
        <w:t>、收入说明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反映本部门当年全部收入。</w:t>
      </w:r>
      <w:r>
        <w:rPr>
          <w:rFonts w:hint="eastAsia" w:ascii="Times New Roman" w:hAnsi="Times New Roman" w:eastAsia="方正仿宋_GBK" w:cs="Times New Roman"/>
          <w:sz w:val="32"/>
          <w:szCs w:val="32"/>
          <w:lang w:eastAsia="zh-CN"/>
        </w:rPr>
        <w:t>2020</w:t>
      </w:r>
      <w:r>
        <w:rPr>
          <w:rFonts w:hint="eastAsia" w:ascii="Times New Roman" w:hAnsi="Times New Roman" w:eastAsia="方正仿宋_GBK" w:cs="方正仿宋_GBK"/>
          <w:sz w:val="32"/>
          <w:szCs w:val="32"/>
        </w:rPr>
        <w:t>年预算收入</w:t>
      </w:r>
      <w:r>
        <w:rPr>
          <w:rFonts w:hint="eastAsia" w:ascii="仿宋" w:hAnsi="仿宋" w:eastAsia="仿宋"/>
          <w:sz w:val="32"/>
          <w:szCs w:val="32"/>
          <w:lang w:eastAsia="zh-CN"/>
        </w:rPr>
        <w:t>1028.51</w:t>
      </w:r>
      <w:r>
        <w:rPr>
          <w:rFonts w:hint="eastAsia" w:ascii="Times New Roman" w:hAnsi="Times New Roman" w:eastAsia="方正仿宋_GBK" w:cs="方正仿宋_GBK"/>
          <w:sz w:val="32"/>
          <w:szCs w:val="32"/>
        </w:rPr>
        <w:t>万元，其中：一般公共预算收入</w:t>
      </w:r>
      <w:r>
        <w:rPr>
          <w:rFonts w:hint="eastAsia" w:ascii="仿宋" w:hAnsi="仿宋" w:eastAsia="仿宋"/>
          <w:sz w:val="32"/>
          <w:szCs w:val="32"/>
          <w:lang w:eastAsia="zh-CN"/>
        </w:rPr>
        <w:t>1028.51</w:t>
      </w:r>
      <w:r>
        <w:rPr>
          <w:rFonts w:hint="eastAsia" w:ascii="Times New Roman" w:hAnsi="Times New Roman" w:eastAsia="方正仿宋_GBK" w:cs="方正仿宋_GBK"/>
          <w:sz w:val="32"/>
          <w:szCs w:val="32"/>
        </w:rPr>
        <w:t>万元，基金预算收入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万元，财政专户核拨收入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万元，其他来源收入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w:t>
      </w:r>
    </w:p>
    <w:p>
      <w:pPr>
        <w:ind w:firstLine="64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2</w:t>
      </w:r>
      <w:r>
        <w:rPr>
          <w:rFonts w:hint="eastAsia" w:ascii="Times New Roman" w:hAnsi="Times New Roman" w:eastAsia="方正仿宋_GBK" w:cs="方正仿宋_GBK"/>
          <w:b/>
          <w:bCs/>
          <w:sz w:val="32"/>
          <w:szCs w:val="32"/>
        </w:rPr>
        <w:t>、支出说明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收支预算总表支出栏、基本支出表、项目支出表按经济分类和支出功能分类科目编制，反映遵化市委老干部局</w:t>
      </w:r>
      <w:r>
        <w:rPr>
          <w:rFonts w:hint="eastAsia" w:ascii="Times New Roman" w:hAnsi="Times New Roman" w:eastAsia="方正仿宋_GBK" w:cs="Times New Roman"/>
          <w:sz w:val="32"/>
          <w:szCs w:val="32"/>
          <w:lang w:eastAsia="zh-CN"/>
        </w:rPr>
        <w:t>2020</w:t>
      </w:r>
      <w:r>
        <w:rPr>
          <w:rFonts w:hint="eastAsia" w:ascii="Times New Roman" w:hAnsi="Times New Roman" w:eastAsia="方正仿宋_GBK" w:cs="方正仿宋_GBK"/>
          <w:sz w:val="32"/>
          <w:szCs w:val="32"/>
        </w:rPr>
        <w:t>年度部门预算中支出预算的总体情况。</w:t>
      </w:r>
      <w:r>
        <w:rPr>
          <w:rFonts w:hint="eastAsia" w:ascii="Times New Roman" w:hAnsi="Times New Roman" w:eastAsia="方正仿宋_GBK" w:cs="Times New Roman"/>
          <w:sz w:val="32"/>
          <w:szCs w:val="32"/>
          <w:lang w:eastAsia="zh-CN"/>
        </w:rPr>
        <w:t>2020</w:t>
      </w:r>
      <w:r>
        <w:rPr>
          <w:rFonts w:hint="eastAsia" w:ascii="Times New Roman" w:hAnsi="Times New Roman" w:eastAsia="方正仿宋_GBK" w:cs="方正仿宋_GBK"/>
          <w:sz w:val="32"/>
          <w:szCs w:val="32"/>
        </w:rPr>
        <w:t>年支出预算</w:t>
      </w:r>
      <w:r>
        <w:rPr>
          <w:rFonts w:hint="eastAsia" w:ascii="仿宋" w:hAnsi="仿宋" w:eastAsia="仿宋"/>
          <w:sz w:val="32"/>
          <w:szCs w:val="32"/>
          <w:lang w:eastAsia="zh-CN"/>
        </w:rPr>
        <w:t>1028.51</w:t>
      </w:r>
      <w:r>
        <w:rPr>
          <w:rFonts w:hint="eastAsia" w:ascii="Times New Roman" w:hAnsi="Times New Roman" w:eastAsia="方正仿宋_GBK" w:cs="方正仿宋_GBK"/>
          <w:sz w:val="32"/>
          <w:szCs w:val="32"/>
        </w:rPr>
        <w:t>万元，其中基本支出</w:t>
      </w:r>
      <w:r>
        <w:rPr>
          <w:rFonts w:hint="eastAsia" w:ascii="Times New Roman" w:hAnsi="Times New Roman" w:eastAsia="方正仿宋_GBK" w:cs="Times New Roman"/>
          <w:sz w:val="32"/>
          <w:szCs w:val="32"/>
          <w:lang w:val="en-US" w:eastAsia="zh-CN"/>
        </w:rPr>
        <w:t>688.51</w:t>
      </w:r>
      <w:r>
        <w:rPr>
          <w:rFonts w:hint="eastAsia" w:ascii="Times New Roman" w:hAnsi="Times New Roman" w:eastAsia="方正仿宋_GBK" w:cs="方正仿宋_GBK"/>
          <w:sz w:val="32"/>
          <w:szCs w:val="32"/>
        </w:rPr>
        <w:t>万元，包括人员经费</w:t>
      </w:r>
      <w:r>
        <w:rPr>
          <w:rFonts w:hint="eastAsia" w:ascii="Times New Roman" w:hAnsi="Times New Roman" w:eastAsia="方正仿宋_GBK" w:cs="Times New Roman"/>
          <w:sz w:val="32"/>
          <w:szCs w:val="32"/>
          <w:lang w:val="en-US" w:eastAsia="zh-CN"/>
        </w:rPr>
        <w:t>203.35</w:t>
      </w:r>
      <w:r>
        <w:rPr>
          <w:rFonts w:hint="eastAsia" w:ascii="Times New Roman" w:hAnsi="Times New Roman" w:eastAsia="方正仿宋_GBK" w:cs="方正仿宋_GBK"/>
          <w:sz w:val="32"/>
          <w:szCs w:val="32"/>
        </w:rPr>
        <w:t>万元和日常公用经费</w:t>
      </w:r>
      <w:r>
        <w:rPr>
          <w:rFonts w:hint="eastAsia" w:ascii="Times New Roman" w:hAnsi="Times New Roman" w:eastAsia="方正仿宋_GBK" w:cs="Times New Roman"/>
          <w:sz w:val="32"/>
          <w:szCs w:val="32"/>
          <w:lang w:val="en-US" w:eastAsia="zh-CN"/>
        </w:rPr>
        <w:t>485.16</w:t>
      </w:r>
      <w:r>
        <w:rPr>
          <w:rFonts w:hint="eastAsia" w:ascii="Times New Roman" w:hAnsi="Times New Roman" w:eastAsia="方正仿宋_GBK" w:cs="方正仿宋_GBK"/>
          <w:sz w:val="32"/>
          <w:szCs w:val="32"/>
        </w:rPr>
        <w:t>万元；项目支出</w:t>
      </w:r>
      <w:r>
        <w:rPr>
          <w:rFonts w:hint="eastAsia" w:ascii="Times New Roman" w:hAnsi="Times New Roman" w:eastAsia="方正仿宋_GBK" w:cs="Times New Roman"/>
          <w:sz w:val="32"/>
          <w:szCs w:val="32"/>
          <w:lang w:val="en-US" w:eastAsia="zh-CN"/>
        </w:rPr>
        <w:t>340</w:t>
      </w:r>
      <w:r>
        <w:rPr>
          <w:rFonts w:hint="eastAsia" w:ascii="Times New Roman" w:hAnsi="Times New Roman" w:eastAsia="方正仿宋_GBK" w:cs="方正仿宋_GBK"/>
          <w:sz w:val="32"/>
          <w:szCs w:val="32"/>
        </w:rPr>
        <w:t>万元，包括本级支出，主要为老促会帮扶资金、慰问经费、</w:t>
      </w:r>
      <w:r>
        <w:rPr>
          <w:rFonts w:hint="eastAsia" w:ascii="Times New Roman" w:hAnsi="Times New Roman" w:eastAsia="方正仿宋_GBK" w:cs="Times New Roman"/>
          <w:sz w:val="32"/>
          <w:szCs w:val="32"/>
        </w:rPr>
        <w:t>关心下一代经费</w:t>
      </w:r>
      <w:r>
        <w:rPr>
          <w:rFonts w:hint="eastAsia" w:ascii="Times New Roman" w:hAnsi="Times New Roman" w:eastAsia="方正仿宋_GBK" w:cs="方正仿宋_GBK"/>
          <w:sz w:val="32"/>
          <w:szCs w:val="32"/>
        </w:rPr>
        <w:t>、老体协经费、老干部支部书记补助等。</w:t>
      </w:r>
    </w:p>
    <w:p>
      <w:pPr>
        <w:ind w:firstLine="64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3</w:t>
      </w:r>
      <w:r>
        <w:rPr>
          <w:rFonts w:hint="eastAsia" w:ascii="Times New Roman" w:hAnsi="Times New Roman" w:eastAsia="方正仿宋_GBK" w:cs="方正仿宋_GBK"/>
          <w:b/>
          <w:bCs/>
          <w:sz w:val="32"/>
          <w:szCs w:val="32"/>
        </w:rPr>
        <w:t>、比上年增减情况</w:t>
      </w:r>
    </w:p>
    <w:p>
      <w:pPr>
        <w:ind w:firstLine="640"/>
        <w:rPr>
          <w:rFonts w:ascii="仿宋_GB2312" w:hAnsi="黑体" w:eastAsia="仿宋_GB2312" w:cs="Times New Roman"/>
          <w:sz w:val="32"/>
          <w:szCs w:val="32"/>
        </w:rPr>
      </w:pPr>
      <w:r>
        <w:rPr>
          <w:rFonts w:hint="eastAsia" w:ascii="Times New Roman" w:hAnsi="Times New Roman" w:eastAsia="方正仿宋_GBK" w:cs="Times New Roman"/>
          <w:sz w:val="32"/>
          <w:szCs w:val="32"/>
          <w:lang w:eastAsia="zh-CN"/>
        </w:rPr>
        <w:t>2020</w:t>
      </w:r>
      <w:r>
        <w:rPr>
          <w:rFonts w:hint="eastAsia" w:ascii="Times New Roman" w:hAnsi="Times New Roman" w:eastAsia="方正仿宋_GBK" w:cs="方正仿宋_GBK"/>
          <w:sz w:val="32"/>
          <w:szCs w:val="32"/>
        </w:rPr>
        <w:t>年预算收支安排</w:t>
      </w:r>
      <w:r>
        <w:rPr>
          <w:rFonts w:hint="eastAsia" w:ascii="仿宋" w:hAnsi="仿宋" w:eastAsia="仿宋"/>
          <w:sz w:val="32"/>
          <w:szCs w:val="32"/>
          <w:lang w:eastAsia="zh-CN"/>
        </w:rPr>
        <w:t>1028.51</w:t>
      </w:r>
      <w:r>
        <w:rPr>
          <w:rFonts w:hint="eastAsia" w:ascii="Times New Roman" w:hAnsi="Times New Roman" w:eastAsia="方正仿宋_GBK" w:cs="方正仿宋_GBK"/>
          <w:sz w:val="32"/>
          <w:szCs w:val="32"/>
        </w:rPr>
        <w:t>万元，较</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方正仿宋_GBK"/>
          <w:sz w:val="32"/>
          <w:szCs w:val="32"/>
        </w:rPr>
        <w:t>年预算增加</w:t>
      </w:r>
      <w:r>
        <w:rPr>
          <w:rFonts w:hint="eastAsia" w:ascii="Times New Roman" w:hAnsi="Times New Roman" w:eastAsia="方正仿宋_GBK" w:cs="Times New Roman"/>
          <w:sz w:val="32"/>
          <w:szCs w:val="32"/>
          <w:lang w:val="en-US" w:eastAsia="zh-CN"/>
        </w:rPr>
        <w:t>251.89</w:t>
      </w:r>
      <w:r>
        <w:rPr>
          <w:rFonts w:hint="eastAsia" w:ascii="Times New Roman" w:hAnsi="Times New Roman" w:eastAsia="方正仿宋_GBK" w:cs="方正仿宋_GBK"/>
          <w:sz w:val="32"/>
          <w:szCs w:val="32"/>
        </w:rPr>
        <w:t>万元，其中：基本支出</w:t>
      </w:r>
      <w:r>
        <w:rPr>
          <w:rFonts w:hint="eastAsia" w:ascii="Times New Roman" w:hAnsi="Times New Roman" w:eastAsia="方正仿宋_GBK" w:cs="方正仿宋_GBK"/>
          <w:sz w:val="32"/>
          <w:szCs w:val="32"/>
          <w:lang w:eastAsia="zh-CN"/>
        </w:rPr>
        <w:t>增加</w:t>
      </w:r>
      <w:r>
        <w:rPr>
          <w:rFonts w:hint="eastAsia" w:ascii="Times New Roman" w:hAnsi="Times New Roman" w:eastAsia="方正仿宋_GBK" w:cs="方正仿宋_GBK"/>
          <w:sz w:val="32"/>
          <w:szCs w:val="32"/>
          <w:lang w:val="en-US" w:eastAsia="zh-CN"/>
        </w:rPr>
        <w:t>239.08</w:t>
      </w:r>
      <w:r>
        <w:rPr>
          <w:rFonts w:hint="eastAsia" w:ascii="Times New Roman" w:hAnsi="Times New Roman" w:eastAsia="方正仿宋_GBK" w:cs="方正仿宋_GBK"/>
          <w:sz w:val="32"/>
          <w:szCs w:val="32"/>
        </w:rPr>
        <w:t>万元，主要因为</w:t>
      </w:r>
      <w:r>
        <w:rPr>
          <w:rFonts w:hint="eastAsia" w:ascii="Times New Roman" w:hAnsi="Times New Roman" w:eastAsia="方正仿宋_GBK" w:cs="方正仿宋_GBK"/>
          <w:sz w:val="32"/>
          <w:szCs w:val="32"/>
          <w:lang w:eastAsia="zh-CN"/>
        </w:rPr>
        <w:t>离退休干部</w:t>
      </w:r>
      <w:r>
        <w:rPr>
          <w:rFonts w:hint="eastAsia" w:ascii="Times New Roman" w:hAnsi="Times New Roman" w:eastAsia="方正仿宋_GBK" w:cs="方正仿宋_GBK"/>
          <w:sz w:val="32"/>
          <w:szCs w:val="32"/>
        </w:rPr>
        <w:t>人员</w:t>
      </w:r>
      <w:r>
        <w:rPr>
          <w:rFonts w:hint="eastAsia" w:ascii="Times New Roman" w:hAnsi="Times New Roman" w:eastAsia="方正仿宋_GBK" w:cs="方正仿宋_GBK"/>
          <w:sz w:val="32"/>
          <w:szCs w:val="32"/>
          <w:lang w:eastAsia="zh-CN"/>
        </w:rPr>
        <w:t>公用及特需</w:t>
      </w:r>
      <w:r>
        <w:rPr>
          <w:rFonts w:hint="eastAsia" w:ascii="Times New Roman" w:hAnsi="Times New Roman" w:eastAsia="方正仿宋_GBK" w:cs="方正仿宋_GBK"/>
          <w:sz w:val="32"/>
          <w:szCs w:val="32"/>
        </w:rPr>
        <w:t>经费</w:t>
      </w:r>
      <w:r>
        <w:rPr>
          <w:rFonts w:hint="eastAsia" w:ascii="Times New Roman" w:hAnsi="Times New Roman" w:eastAsia="方正仿宋_GBK" w:cs="方正仿宋_GBK"/>
          <w:sz w:val="32"/>
          <w:szCs w:val="32"/>
          <w:lang w:eastAsia="zh-CN"/>
        </w:rPr>
        <w:t>增加</w:t>
      </w:r>
      <w:r>
        <w:rPr>
          <w:rFonts w:hint="eastAsia" w:ascii="Times New Roman" w:hAnsi="Times New Roman" w:eastAsia="方正仿宋_GBK" w:cs="方正仿宋_GBK"/>
          <w:sz w:val="32"/>
          <w:szCs w:val="32"/>
          <w:lang w:val="en-US" w:eastAsia="zh-CN"/>
        </w:rPr>
        <w:t>249.44万元</w:t>
      </w:r>
      <w:r>
        <w:rPr>
          <w:rFonts w:hint="eastAsia" w:ascii="Times New Roman" w:hAnsi="Times New Roman" w:eastAsia="方正仿宋_GBK" w:cs="方正仿宋_GBK"/>
          <w:sz w:val="32"/>
          <w:szCs w:val="32"/>
        </w:rPr>
        <w:t>支出；项目支出增加</w:t>
      </w:r>
      <w:r>
        <w:rPr>
          <w:rFonts w:hint="eastAsia" w:ascii="Times New Roman" w:hAnsi="Times New Roman" w:eastAsia="方正仿宋_GBK" w:cs="Times New Roman"/>
          <w:sz w:val="32"/>
          <w:szCs w:val="32"/>
          <w:lang w:val="en-US" w:eastAsia="zh-CN"/>
        </w:rPr>
        <w:t>12.81</w:t>
      </w:r>
      <w:r>
        <w:rPr>
          <w:rFonts w:hint="eastAsia" w:ascii="Times New Roman" w:hAnsi="Times New Roman" w:eastAsia="方正仿宋_GBK" w:cs="方正仿宋_GBK"/>
          <w:sz w:val="32"/>
          <w:szCs w:val="32"/>
        </w:rPr>
        <w:t>万元，主要增加为</w:t>
      </w:r>
      <w:r>
        <w:rPr>
          <w:rFonts w:hint="eastAsia" w:ascii="Times New Roman" w:hAnsi="Times New Roman" w:eastAsia="方正仿宋_GBK" w:cs="方正仿宋_GBK"/>
          <w:sz w:val="32"/>
          <w:szCs w:val="32"/>
          <w:lang w:eastAsia="zh-CN"/>
        </w:rPr>
        <w:t>老干部双节慰问</w:t>
      </w:r>
      <w:r>
        <w:rPr>
          <w:rFonts w:hint="eastAsia" w:ascii="Times New Roman" w:hAnsi="Times New Roman" w:eastAsia="方正仿宋_GBK" w:cs="方正仿宋_GBK"/>
          <w:sz w:val="32"/>
          <w:szCs w:val="32"/>
        </w:rPr>
        <w:t>经费、全市老干部体检费及老</w:t>
      </w:r>
      <w:r>
        <w:rPr>
          <w:rFonts w:hint="eastAsia" w:ascii="Times New Roman" w:hAnsi="Times New Roman" w:eastAsia="方正仿宋_GBK" w:cs="方正仿宋_GBK"/>
          <w:sz w:val="32"/>
          <w:szCs w:val="32"/>
          <w:lang w:eastAsia="zh-CN"/>
        </w:rPr>
        <w:t>体协</w:t>
      </w:r>
      <w:r>
        <w:rPr>
          <w:rFonts w:hint="eastAsia" w:ascii="Times New Roman" w:hAnsi="Times New Roman" w:eastAsia="方正仿宋_GBK" w:cs="方正仿宋_GBK"/>
          <w:sz w:val="32"/>
          <w:szCs w:val="32"/>
        </w:rPr>
        <w:t>经费等资金。</w:t>
      </w:r>
    </w:p>
    <w:p>
      <w:pPr>
        <w:autoSpaceDE w:val="0"/>
        <w:autoSpaceDN w:val="0"/>
        <w:adjustRightInd w:val="0"/>
        <w:ind w:left="198"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2020</w:t>
      </w:r>
      <w:r>
        <w:rPr>
          <w:rFonts w:hint="eastAsia" w:ascii="Times New Roman" w:hAnsi="Times New Roman" w:eastAsia="方正仿宋_GBK" w:cs="方正仿宋_GBK"/>
          <w:sz w:val="32"/>
          <w:szCs w:val="32"/>
        </w:rPr>
        <w:t>年，我局机关运行经费共计安排</w:t>
      </w:r>
      <w:r>
        <w:rPr>
          <w:rFonts w:ascii="Times New Roman" w:hAnsi="Times New Roman" w:eastAsia="方正仿宋_GBK" w:cs="Times New Roman"/>
          <w:sz w:val="32"/>
          <w:szCs w:val="32"/>
        </w:rPr>
        <w:t>17.09</w:t>
      </w:r>
      <w:r>
        <w:rPr>
          <w:rFonts w:hint="eastAsia" w:ascii="Times New Roman" w:hAnsi="Times New Roman" w:eastAsia="方正仿宋_GBK" w:cs="方正仿宋_GBK"/>
          <w:sz w:val="32"/>
          <w:szCs w:val="32"/>
        </w:rPr>
        <w:t>万元，主要用于办公区的日常费用</w:t>
      </w:r>
      <w:r>
        <w:rPr>
          <w:rFonts w:ascii="Times New Roman" w:hAnsi="Times New Roman" w:eastAsia="方正仿宋_GBK" w:cs="方正仿宋_GBK"/>
          <w:sz w:val="32"/>
          <w:szCs w:val="32"/>
        </w:rPr>
        <w:t>10.23</w:t>
      </w:r>
      <w:r>
        <w:rPr>
          <w:rFonts w:hint="eastAsia" w:ascii="Times New Roman" w:hAnsi="Times New Roman" w:eastAsia="方正仿宋_GBK" w:cs="方正仿宋_GBK"/>
          <w:sz w:val="32"/>
          <w:szCs w:val="32"/>
        </w:rPr>
        <w:t>万元、办公用房水电费</w:t>
      </w:r>
      <w:r>
        <w:rPr>
          <w:rFonts w:ascii="Times New Roman" w:hAnsi="Times New Roman" w:eastAsia="方正仿宋_GBK" w:cs="方正仿宋_GBK"/>
          <w:sz w:val="32"/>
          <w:szCs w:val="32"/>
        </w:rPr>
        <w:t>0.28</w:t>
      </w:r>
      <w:r>
        <w:rPr>
          <w:rFonts w:hint="eastAsia" w:ascii="Times New Roman" w:hAnsi="Times New Roman" w:eastAsia="方正仿宋_GBK" w:cs="方正仿宋_GBK"/>
          <w:sz w:val="32"/>
          <w:szCs w:val="32"/>
        </w:rPr>
        <w:t>万元、办公用房取暖费</w:t>
      </w:r>
      <w:r>
        <w:rPr>
          <w:rFonts w:ascii="Times New Roman" w:hAnsi="Times New Roman" w:eastAsia="方正仿宋_GBK" w:cs="方正仿宋_GBK"/>
          <w:sz w:val="32"/>
          <w:szCs w:val="32"/>
        </w:rPr>
        <w:t>6.07</w:t>
      </w:r>
      <w:r>
        <w:rPr>
          <w:rFonts w:hint="eastAsia" w:ascii="Times New Roman" w:hAnsi="Times New Roman" w:eastAsia="方正仿宋_GBK" w:cs="方正仿宋_GBK"/>
          <w:sz w:val="32"/>
          <w:szCs w:val="32"/>
        </w:rPr>
        <w:t>万元、办公用房邮电费等日常运行支出</w:t>
      </w:r>
      <w:r>
        <w:rPr>
          <w:rFonts w:ascii="Times New Roman" w:hAnsi="Times New Roman" w:eastAsia="方正仿宋_GBK" w:cs="方正仿宋_GBK"/>
          <w:sz w:val="32"/>
          <w:szCs w:val="32"/>
        </w:rPr>
        <w:t>0.51</w:t>
      </w:r>
      <w:r>
        <w:rPr>
          <w:rFonts w:hint="eastAsia" w:ascii="Times New Roman" w:hAnsi="Times New Roman" w:eastAsia="方正仿宋_GBK" w:cs="方正仿宋_GBK"/>
          <w:sz w:val="32"/>
          <w:szCs w:val="32"/>
        </w:rPr>
        <w:t>万元。</w:t>
      </w:r>
    </w:p>
    <w:p>
      <w:pPr>
        <w:autoSpaceDE w:val="0"/>
        <w:autoSpaceDN w:val="0"/>
        <w:adjustRightInd w:val="0"/>
        <w:ind w:left="198"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Times New Roman"/>
          <w:sz w:val="32"/>
          <w:szCs w:val="32"/>
          <w:lang w:eastAsia="zh-CN"/>
        </w:rPr>
        <w:t>2020</w:t>
      </w:r>
      <w:r>
        <w:rPr>
          <w:rFonts w:hint="eastAsia" w:ascii="Times New Roman" w:hAnsi="Times New Roman" w:eastAsia="方正仿宋_GBK" w:cs="方正仿宋_GBK"/>
          <w:sz w:val="32"/>
          <w:szCs w:val="32"/>
        </w:rPr>
        <w:t>年，我局财政拨款</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三公</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经费预算安排</w:t>
      </w:r>
      <w:r>
        <w:rPr>
          <w:rFonts w:ascii="Times New Roman" w:hAnsi="Times New Roman" w:eastAsia="方正仿宋_GBK" w:cs="Times New Roman"/>
          <w:sz w:val="32"/>
          <w:szCs w:val="32"/>
        </w:rPr>
        <w:t>2. 47</w:t>
      </w:r>
      <w:r>
        <w:rPr>
          <w:rFonts w:hint="eastAsia" w:ascii="Times New Roman" w:hAnsi="Times New Roman" w:eastAsia="方正仿宋_GBK" w:cs="方正仿宋_GBK"/>
          <w:sz w:val="32"/>
          <w:szCs w:val="32"/>
        </w:rPr>
        <w:t>万元，与</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方正仿宋_GBK"/>
          <w:sz w:val="32"/>
          <w:szCs w:val="32"/>
        </w:rPr>
        <w:t>年相比</w:t>
      </w:r>
      <w:r>
        <w:rPr>
          <w:rFonts w:hint="eastAsia" w:ascii="Times New Roman" w:hAnsi="Times New Roman" w:eastAsia="方正仿宋_GBK" w:cs="方正仿宋_GBK"/>
          <w:sz w:val="32"/>
          <w:szCs w:val="32"/>
          <w:lang w:eastAsia="zh-CN"/>
        </w:rPr>
        <w:t>持平</w:t>
      </w:r>
      <w:r>
        <w:rPr>
          <w:rFonts w:hint="eastAsia" w:ascii="Times New Roman" w:hAnsi="Times New Roman" w:eastAsia="方正仿宋_GBK" w:cs="方正仿宋_GBK"/>
          <w:sz w:val="32"/>
          <w:szCs w:val="32"/>
        </w:rPr>
        <w:t>。具体安排情况为：</w:t>
      </w:r>
    </w:p>
    <w:p>
      <w:pPr>
        <w:numPr>
          <w:ilvl w:val="0"/>
          <w:numId w:val="1"/>
        </w:numPr>
        <w:autoSpaceDE w:val="0"/>
        <w:autoSpaceDN w:val="0"/>
        <w:adjustRightInd w:val="0"/>
        <w:ind w:left="198" w:firstLine="643"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公务用车购置及运行费。</w:t>
      </w:r>
      <w:r>
        <w:rPr>
          <w:rFonts w:hint="eastAsia" w:ascii="Times New Roman" w:hAnsi="Times New Roman" w:eastAsia="方正仿宋_GBK" w:cs="方正仿宋_GBK"/>
          <w:sz w:val="32"/>
          <w:szCs w:val="32"/>
        </w:rPr>
        <w:t>共计安排</w:t>
      </w:r>
      <w:r>
        <w:rPr>
          <w:rFonts w:ascii="Times New Roman" w:hAnsi="Times New Roman" w:eastAsia="方正仿宋_GBK" w:cs="Times New Roman"/>
          <w:sz w:val="32"/>
          <w:szCs w:val="32"/>
        </w:rPr>
        <w:t>2.05</w:t>
      </w:r>
      <w:r>
        <w:rPr>
          <w:rFonts w:hint="eastAsia" w:ascii="Times New Roman" w:hAnsi="Times New Roman" w:eastAsia="方正仿宋_GBK" w:cs="方正仿宋_GBK"/>
          <w:sz w:val="32"/>
          <w:szCs w:val="32"/>
        </w:rPr>
        <w:t>万元，与</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方正仿宋_GBK"/>
          <w:sz w:val="32"/>
          <w:szCs w:val="32"/>
        </w:rPr>
        <w:t>年相比持平，无增减变化。其中：（</w:t>
      </w:r>
      <w:r>
        <w:rPr>
          <w:rFonts w:ascii="Times New Roman" w:hAnsi="Times New Roman" w:eastAsia="方正仿宋_GBK" w:cs="方正仿宋_GBK"/>
          <w:sz w:val="32"/>
          <w:szCs w:val="32"/>
        </w:rPr>
        <w:t>1</w:t>
      </w:r>
      <w:r>
        <w:rPr>
          <w:rFonts w:hint="eastAsia" w:ascii="Times New Roman" w:hAnsi="Times New Roman" w:eastAsia="方正仿宋_GBK" w:cs="方正仿宋_GBK"/>
          <w:sz w:val="32"/>
          <w:szCs w:val="32"/>
        </w:rPr>
        <w:t>）公务用车购置费安排</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万元，与</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方正仿宋_GBK"/>
          <w:sz w:val="32"/>
          <w:szCs w:val="32"/>
        </w:rPr>
        <w:t>年相比持平，无增减变化；（</w:t>
      </w: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）公务用车运行费</w:t>
      </w:r>
      <w:r>
        <w:rPr>
          <w:rFonts w:ascii="Times New Roman" w:hAnsi="Times New Roman" w:eastAsia="方正仿宋_GBK" w:cs="Times New Roman"/>
          <w:sz w:val="32"/>
          <w:szCs w:val="32"/>
        </w:rPr>
        <w:t>2.05</w:t>
      </w:r>
      <w:r>
        <w:rPr>
          <w:rFonts w:hint="eastAsia" w:ascii="Times New Roman" w:hAnsi="Times New Roman" w:eastAsia="方正仿宋_GBK" w:cs="方正仿宋_GBK"/>
          <w:sz w:val="32"/>
          <w:szCs w:val="32"/>
        </w:rPr>
        <w:t>万元，与</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方正仿宋_GBK"/>
          <w:sz w:val="32"/>
          <w:szCs w:val="32"/>
        </w:rPr>
        <w:t>年相比持平，无增减变化。</w:t>
      </w:r>
    </w:p>
    <w:p>
      <w:pPr>
        <w:numPr>
          <w:ilvl w:val="0"/>
          <w:numId w:val="1"/>
        </w:num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公务接待费安排</w:t>
      </w:r>
      <w:r>
        <w:rPr>
          <w:rFonts w:ascii="Times New Roman" w:hAnsi="Times New Roman" w:eastAsia="方正仿宋_GBK" w:cs="Times New Roman"/>
          <w:sz w:val="32"/>
          <w:szCs w:val="32"/>
        </w:rPr>
        <w:t>0.42</w:t>
      </w:r>
      <w:r>
        <w:rPr>
          <w:rFonts w:hint="eastAsia" w:ascii="Times New Roman" w:hAnsi="Times New Roman" w:eastAsia="方正仿宋_GBK" w:cs="方正仿宋_GBK"/>
          <w:sz w:val="32"/>
          <w:szCs w:val="32"/>
        </w:rPr>
        <w:t>万元，与</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方正仿宋_GBK"/>
          <w:sz w:val="32"/>
          <w:szCs w:val="32"/>
        </w:rPr>
        <w:t>年相比</w:t>
      </w:r>
      <w:r>
        <w:rPr>
          <w:rFonts w:hint="eastAsia" w:ascii="Times New Roman" w:hAnsi="Times New Roman" w:eastAsia="方正仿宋_GBK" w:cs="方正仿宋_GBK"/>
          <w:sz w:val="32"/>
          <w:szCs w:val="32"/>
          <w:lang w:eastAsia="zh-CN"/>
        </w:rPr>
        <w:t>持平</w:t>
      </w:r>
      <w:r>
        <w:rPr>
          <w:rFonts w:hint="eastAsia" w:ascii="Times New Roman" w:hAnsi="Times New Roman" w:eastAsia="方正仿宋_GBK" w:cs="方正仿宋_GBK"/>
          <w:sz w:val="32"/>
          <w:szCs w:val="32"/>
        </w:rPr>
        <w:t>。</w:t>
      </w:r>
    </w:p>
    <w:p>
      <w:pPr>
        <w:numPr>
          <w:ilvl w:val="0"/>
          <w:numId w:val="1"/>
        </w:numPr>
        <w:autoSpaceDE w:val="0"/>
        <w:autoSpaceDN w:val="0"/>
        <w:adjustRightInd w:val="0"/>
        <w:ind w:left="198" w:firstLine="640" w:firstLineChars="200"/>
        <w:jc w:val="left"/>
        <w:rPr>
          <w:rFonts w:ascii="黑体" w:hAnsi="黑体" w:eastAsia="黑体" w:cs="Times New Roman"/>
          <w:b/>
          <w:bCs/>
          <w:sz w:val="32"/>
          <w:szCs w:val="32"/>
        </w:rPr>
      </w:pPr>
      <w:r>
        <w:rPr>
          <w:rFonts w:hint="eastAsia" w:ascii="Times New Roman" w:hAnsi="Times New Roman" w:eastAsia="方正仿宋_GBK" w:cs="方正仿宋_GBK"/>
          <w:sz w:val="32"/>
          <w:szCs w:val="32"/>
        </w:rPr>
        <w:t>因公出国（境）费安排</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万元，与</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方正仿宋_GBK"/>
          <w:sz w:val="32"/>
          <w:szCs w:val="32"/>
        </w:rPr>
        <w:t>年相比持平，无增减变化。</w:t>
      </w:r>
    </w:p>
    <w:p>
      <w:pPr>
        <w:autoSpaceDE w:val="0"/>
        <w:autoSpaceDN w:val="0"/>
        <w:adjustRightInd w:val="0"/>
        <w:ind w:firstLine="964" w:firstLineChars="300"/>
        <w:jc w:val="left"/>
        <w:rPr>
          <w:rFonts w:ascii="黑体" w:hAnsi="黑体" w:eastAsia="黑体" w:cs="Times New Roman"/>
          <w:b/>
          <w:bCs/>
          <w:sz w:val="32"/>
          <w:szCs w:val="32"/>
        </w:rPr>
      </w:pPr>
      <w:r>
        <w:rPr>
          <w:rFonts w:hint="eastAsia" w:ascii="黑体" w:hAnsi="黑体" w:eastAsia="黑体" w:cs="黑体"/>
          <w:b/>
          <w:bCs/>
          <w:sz w:val="32"/>
          <w:szCs w:val="32"/>
        </w:rPr>
        <w:t>五、绩效预算信息</w:t>
      </w:r>
    </w:p>
    <w:p>
      <w:pPr>
        <w:spacing w:line="560" w:lineRule="exact"/>
        <w:ind w:firstLine="643" w:firstLineChars="200"/>
        <w:rPr>
          <w:rFonts w:ascii="Times New Roman" w:hAnsi="Times New Roman" w:eastAsia="方正仿宋_GBK" w:cs="方正仿宋_GBK"/>
          <w:b/>
          <w:bCs/>
          <w:sz w:val="32"/>
          <w:szCs w:val="32"/>
        </w:rPr>
      </w:pPr>
      <w:bookmarkStart w:id="0" w:name="_Toc471398463"/>
      <w:r>
        <w:rPr>
          <w:rFonts w:hint="eastAsia" w:ascii="Times New Roman" w:hAnsi="Times New Roman" w:eastAsia="方正仿宋_GBK" w:cs="方正仿宋_GBK"/>
          <w:b/>
          <w:bCs/>
          <w:sz w:val="32"/>
          <w:szCs w:val="32"/>
        </w:rPr>
        <w:t>（一）总体绩效目标：</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）让每位老干部感受到政治上的关心，生活上的爱护。</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）老干部日常生活、活动丰富充实。</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）健全完善与经济社会发展相适应的老年教育体系，充分发挥老干部传帮带作用，传承优良作风，让下一代健康成长。</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）为老干部各项活动的顺利进行做好保障工作。</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）帮扶老区村促进老区村经济建设发展。</w:t>
      </w:r>
    </w:p>
    <w:p>
      <w:pPr>
        <w:autoSpaceDE w:val="0"/>
        <w:autoSpaceDN w:val="0"/>
        <w:adjustRightInd w:val="0"/>
        <w:ind w:firstLine="643" w:firstLineChars="200"/>
        <w:jc w:val="left"/>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（二）职责分类绩效目标：</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遵化市委老干部局按职责分类绩效目标情况说明</w:t>
      </w:r>
    </w:p>
    <w:p>
      <w:pPr>
        <w:pStyle w:val="16"/>
        <w:spacing w:line="560" w:lineRule="exact"/>
        <w:ind w:firstLine="560"/>
        <w:rPr>
          <w:rFonts w:ascii="Times New Roman" w:hAnsi="Times New Roman" w:eastAsia="方正仿宋_GBK" w:cs="Times New Roman"/>
          <w:kern w:val="2"/>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w:t>
      </w:r>
      <w:r>
        <w:rPr>
          <w:rFonts w:hint="eastAsia" w:ascii="Times New Roman" w:hAnsi="Times New Roman" w:eastAsia="方正仿宋_GBK" w:cs="Times New Roman"/>
          <w:kern w:val="2"/>
          <w:sz w:val="32"/>
          <w:szCs w:val="32"/>
        </w:rPr>
        <w:t>贯彻落实国家关于离退休干部的方针政策，组织落实离退休干部的政治、生活待遇。</w:t>
      </w:r>
    </w:p>
    <w:p>
      <w:pPr>
        <w:pStyle w:val="16"/>
        <w:spacing w:line="560" w:lineRule="exact"/>
        <w:ind w:firstLine="560"/>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2</w:t>
      </w:r>
      <w:r>
        <w:rPr>
          <w:rFonts w:hint="eastAsia" w:ascii="Times New Roman" w:hAnsi="Times New Roman" w:eastAsia="方正仿宋_GBK" w:cs="Times New Roman"/>
          <w:kern w:val="2"/>
          <w:sz w:val="32"/>
          <w:szCs w:val="32"/>
        </w:rPr>
        <w:t>）建设、管理、使用好老年活动阵地，并指导全县阵地建设。</w:t>
      </w:r>
    </w:p>
    <w:p>
      <w:pPr>
        <w:pStyle w:val="16"/>
        <w:spacing w:line="560" w:lineRule="exact"/>
        <w:ind w:firstLine="560"/>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3</w:t>
      </w:r>
      <w:r>
        <w:rPr>
          <w:rFonts w:hint="eastAsia" w:ascii="Times New Roman" w:hAnsi="Times New Roman" w:eastAsia="方正仿宋_GBK" w:cs="Times New Roman"/>
          <w:kern w:val="2"/>
          <w:sz w:val="32"/>
          <w:szCs w:val="32"/>
        </w:rPr>
        <w:t>）老干部管理服务设施维修改造、后勤保障、日常运转。</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）帮扶老区村促进老区村经济建设发展。</w:t>
      </w:r>
    </w:p>
    <w:p>
      <w:pPr>
        <w:ind w:firstLine="560"/>
        <w:rPr>
          <w:rFonts w:ascii="楷体_GB2312" w:hAnsi="Times New Roman" w:eastAsia="楷体_GB2312" w:cs="Times New Roman"/>
          <w:b/>
          <w:bCs/>
          <w:sz w:val="32"/>
          <w:szCs w:val="32"/>
        </w:rPr>
      </w:pPr>
      <w:r>
        <w:rPr>
          <w:rFonts w:hint="eastAsia" w:ascii="楷体_GB2312" w:hAnsi="黑体" w:eastAsia="楷体_GB2312" w:cs="楷体_GB2312"/>
          <w:b/>
          <w:bCs/>
          <w:sz w:val="32"/>
          <w:szCs w:val="32"/>
        </w:rPr>
        <w:t>部门职责及工作活动绩效目标指标：</w:t>
      </w:r>
    </w:p>
    <w:bookmarkEnd w:id="0"/>
    <w:p>
      <w:pPr>
        <w:jc w:val="center"/>
        <w:outlineLvl w:val="0"/>
        <w:rPr>
          <w:rFonts w:ascii="方正小标宋_GBK" w:eastAsia="方正小标宋_GBK"/>
          <w:sz w:val="32"/>
        </w:rPr>
      </w:pPr>
      <w:bookmarkStart w:id="1" w:name="_Toc506337861"/>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287</w:t>
            </w:r>
            <w:r>
              <w:rPr>
                <w:rFonts w:hint="eastAsia" w:ascii="方正小标宋_GBK" w:eastAsia="方正小标宋_GBK"/>
                <w:sz w:val="24"/>
              </w:rPr>
              <w:t>遵化市老干部局部门</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一、离退休干部政策及服务</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174</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贯彻落实国家关于离退休干部</w:t>
            </w:r>
            <w:bookmarkStart w:id="4" w:name="_GoBack"/>
            <w:bookmarkEnd w:id="4"/>
            <w:r>
              <w:rPr>
                <w:rFonts w:hint="eastAsia" w:ascii="方正书宋_GBK" w:eastAsia="方正书宋_GBK"/>
                <w:lang w:eastAsia="zh-CN"/>
              </w:rPr>
              <w:t>的</w:t>
            </w:r>
            <w:r>
              <w:rPr>
                <w:rFonts w:hint="eastAsia" w:ascii="方正书宋_GBK" w:eastAsia="方正书宋_GBK"/>
              </w:rPr>
              <w:t>方针政策，组织落实离退休干部的政治、生活待遇</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老干部政治生活待遇保障率</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、落实老干部政治、生活待遇，服务管理离退休干部</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150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全面落实两项待遇，加强管理，提高服务水平</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老干部政治生活待遇保障率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已落实的政治生活待遇与应享受的政治生活待遇的比例</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、落实老干部政治、生活待遇，服务管理离退休干部</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全面落实两项待遇，加强管理，提高服务水平</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老干部满意率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通过调查、抽查，了解老干部满意度</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、老干部活动、组织建设</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val="en-US" w:eastAsia="zh-CN"/>
              </w:rPr>
              <w:t>24</w:t>
            </w:r>
            <w:r>
              <w:rPr>
                <w:rFonts w:ascii="方正书宋_GBK" w:eastAsia="方正书宋_GBK"/>
              </w:rPr>
              <w:t>.00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组织老干部参加社会、文体及各项活动，加强老干部基层组织和党支部建设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老干部满意率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老干部对组织活动情况的反馈。</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二、老年活动阵地建设</w:t>
            </w:r>
          </w:p>
        </w:tc>
        <w:tc>
          <w:tcPr>
            <w:tcW w:w="1276" w:type="dxa"/>
            <w:vAlign w:val="center"/>
          </w:tcPr>
          <w:p>
            <w:pPr>
              <w:spacing w:line="300" w:lineRule="exact"/>
              <w:jc w:val="left"/>
              <w:rPr>
                <w:rFonts w:ascii="方正书宋_GBK" w:eastAsia="方正书宋_GBK"/>
              </w:rPr>
            </w:pPr>
            <w:r>
              <w:rPr>
                <w:rFonts w:ascii="方正书宋_GBK" w:eastAsia="方正书宋_GBK"/>
              </w:rPr>
              <w:t>23.00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建设、管理、使用好老年活动阵地，并指导全县阵地建设。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老干部满意率</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、老年教育及关心下一代</w:t>
            </w:r>
          </w:p>
        </w:tc>
        <w:tc>
          <w:tcPr>
            <w:tcW w:w="1276" w:type="dxa"/>
            <w:vAlign w:val="center"/>
          </w:tcPr>
          <w:p>
            <w:pPr>
              <w:spacing w:line="300" w:lineRule="exact"/>
              <w:jc w:val="left"/>
              <w:rPr>
                <w:rFonts w:ascii="方正书宋_GBK" w:eastAsia="方正书宋_GBK"/>
              </w:rPr>
            </w:pPr>
            <w:r>
              <w:rPr>
                <w:rFonts w:ascii="方正书宋_GBK" w:eastAsia="方正书宋_GBK"/>
              </w:rPr>
              <w:t>15.00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贯彻执行老年教育和老干部工作方针，构建终身教育体系；开展全县关心下一代工作，组织老同志参加青少年教育工作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老干部满意率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通过调查、抽查，了解老干部满意度</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、老年教育及关心下一代</w:t>
            </w:r>
          </w:p>
        </w:tc>
        <w:tc>
          <w:tcPr>
            <w:tcW w:w="1276" w:type="dxa"/>
            <w:vAlign w:val="center"/>
          </w:tcPr>
          <w:p>
            <w:pPr>
              <w:spacing w:line="300" w:lineRule="exact"/>
              <w:jc w:val="left"/>
              <w:rPr>
                <w:rFonts w:ascii="方正书宋_GBK" w:eastAsia="方正书宋_GBK"/>
              </w:rPr>
            </w:pPr>
            <w:r>
              <w:rPr>
                <w:rFonts w:ascii="方正书宋_GBK" w:eastAsia="方正书宋_GBK"/>
              </w:rPr>
              <w:t>8.00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贯彻执行老年教育和老干部工作方针，构建终身教育体系；开展全县关心下一代工作，组织老同志参加青少年教育工作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老干部满意率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开展青少年教育活动次数</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三、综合事务管理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老干部管理服务设施维修改造、后勤保障、日常运转</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保障完成率</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离退休干部管理服务机构设施维修改造、后勤保障、日常运转</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保障完成率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考核综合事务保障工作的开展情况</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四、老促会帮扶资金及办公经费</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val="en-US" w:eastAsia="zh-CN"/>
              </w:rPr>
              <w:t>143</w:t>
            </w:r>
            <w:r>
              <w:rPr>
                <w:rFonts w:ascii="方正书宋_GBK" w:eastAsia="方正书宋_GBK"/>
              </w:rPr>
              <w:t>.00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帮扶老区村促进老区村经济建设发展</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拨付帮扶资金，检查验收帮扶项目</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、拨付帮扶资金</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lang w:val="en-US" w:eastAsia="zh-CN"/>
              </w:rPr>
              <w:t>4</w:t>
            </w:r>
            <w:r>
              <w:rPr>
                <w:rFonts w:ascii="方正书宋_GBK" w:eastAsia="方正书宋_GBK"/>
              </w:rPr>
              <w:t>3.00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拨付帮扶资金，检查验收帮扶项目</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拨付帮扶资金，检查验收帮扶项目</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完成当年的帮扶项目</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bl>
    <w:p>
      <w:pPr>
        <w:autoSpaceDE w:val="0"/>
        <w:autoSpaceDN w:val="0"/>
        <w:adjustRightInd w:val="0"/>
        <w:ind w:firstLine="643" w:firstLineChars="200"/>
        <w:jc w:val="left"/>
        <w:rPr>
          <w:rFonts w:ascii="黑体" w:hAnsi="黑体" w:eastAsia="黑体" w:cs="黑体"/>
          <w:b/>
          <w:bCs/>
          <w:sz w:val="32"/>
          <w:szCs w:val="32"/>
        </w:rPr>
      </w:pPr>
    </w:p>
    <w:p>
      <w:pPr>
        <w:autoSpaceDE w:val="0"/>
        <w:autoSpaceDN w:val="0"/>
        <w:adjustRightInd w:val="0"/>
        <w:ind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六、政府采购预算情况</w:t>
      </w:r>
    </w:p>
    <w:p>
      <w:pPr>
        <w:ind w:firstLine="630"/>
        <w:outlineLvl w:val="0"/>
        <w:rPr>
          <w:rFonts w:ascii="Times New Roman" w:hAnsi="Times New Roman" w:eastAsia="方正仿宋_GBK" w:cs="Times New Roman"/>
          <w:sz w:val="32"/>
          <w:szCs w:val="32"/>
        </w:rPr>
      </w:pPr>
      <w:bookmarkStart w:id="2" w:name="_Toc471398468"/>
      <w:r>
        <w:rPr>
          <w:rFonts w:hint="eastAsia" w:ascii="Times New Roman" w:hAnsi="Times New Roman" w:eastAsia="方正仿宋_GBK" w:cs="Times New Roman"/>
          <w:sz w:val="32"/>
          <w:szCs w:val="32"/>
          <w:lang w:eastAsia="zh-CN"/>
        </w:rPr>
        <w:t>2020</w:t>
      </w:r>
      <w:r>
        <w:rPr>
          <w:rFonts w:hint="eastAsia" w:ascii="Times New Roman" w:hAnsi="Times New Roman" w:eastAsia="方正仿宋_GBK" w:cs="Times New Roman"/>
          <w:sz w:val="32"/>
          <w:szCs w:val="32"/>
        </w:rPr>
        <w:t>年，我局安排政府采购预算</w:t>
      </w:r>
      <w:r>
        <w:rPr>
          <w:rFonts w:ascii="Times New Roman" w:hAnsi="Times New Roman" w:eastAsia="方正仿宋_GBK" w:cs="Times New Roman"/>
          <w:sz w:val="32"/>
          <w:szCs w:val="32"/>
        </w:rPr>
        <w:t>1.35</w:t>
      </w:r>
      <w:r>
        <w:rPr>
          <w:rFonts w:hint="eastAsia" w:ascii="Times New Roman" w:hAnsi="Times New Roman" w:eastAsia="方正仿宋_GBK" w:cs="Times New Roman"/>
          <w:sz w:val="32"/>
          <w:szCs w:val="32"/>
        </w:rPr>
        <w:t>万元，较</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年同比持平。具体内容见下表。</w:t>
      </w:r>
    </w:p>
    <w:p>
      <w:pPr>
        <w:jc w:val="center"/>
        <w:outlineLvl w:val="0"/>
        <w:rPr>
          <w:rFonts w:ascii="方正黑体简体" w:eastAsia="方正黑体简体" w:cs="Times New Roman"/>
          <w:sz w:val="32"/>
          <w:szCs w:val="32"/>
        </w:rPr>
      </w:pPr>
      <w:bookmarkStart w:id="3" w:name="_Toc504489153"/>
      <w:r>
        <w:rPr>
          <w:rFonts w:hint="eastAsia" w:ascii="方正黑体简体" w:eastAsia="方正黑体简体" w:cs="方正小标宋_GBK"/>
          <w:sz w:val="32"/>
          <w:szCs w:val="32"/>
        </w:rPr>
        <w:t>部门政府采购预算</w:t>
      </w:r>
      <w:bookmarkEnd w:id="3"/>
    </w:p>
    <w:p>
      <w:pPr>
        <w:ind w:firstLine="630"/>
        <w:outlineLvl w:val="0"/>
        <w:rPr>
          <w:rFonts w:ascii="Times New Roman" w:hAnsi="Times New Roman" w:eastAsia="方正仿宋_GBK" w:cs="Times New Roman"/>
          <w:sz w:val="32"/>
          <w:szCs w:val="32"/>
        </w:rPr>
      </w:pPr>
    </w:p>
    <w:bookmarkEnd w:id="2"/>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44"/>
        <w:gridCol w:w="742"/>
        <w:gridCol w:w="2071"/>
        <w:gridCol w:w="1371"/>
        <w:gridCol w:w="829"/>
        <w:gridCol w:w="946"/>
        <w:gridCol w:w="741"/>
        <w:gridCol w:w="1045"/>
        <w:gridCol w:w="947"/>
        <w:gridCol w:w="994"/>
        <w:gridCol w:w="656"/>
        <w:gridCol w:w="472"/>
        <w:gridCol w:w="583"/>
        <w:gridCol w:w="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444"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151</w:t>
            </w:r>
            <w:r>
              <w:rPr>
                <w:rFonts w:hint="eastAsia" w:ascii="方正小标宋_GBK" w:eastAsia="方正小标宋_GBK" w:cs="方正小标宋_GBK"/>
                <w:sz w:val="24"/>
                <w:szCs w:val="24"/>
              </w:rPr>
              <w:t>遵化市委老干部局部门</w:t>
            </w:r>
          </w:p>
        </w:tc>
        <w:tc>
          <w:tcPr>
            <w:tcW w:w="5124"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8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207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37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82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4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74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5124" w:type="dxa"/>
            <w:gridSpan w:val="7"/>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4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742"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2071" w:type="dxa"/>
            <w:vMerge w:val="continue"/>
            <w:vAlign w:val="center"/>
          </w:tcPr>
          <w:p>
            <w:pPr>
              <w:spacing w:line="300" w:lineRule="exact"/>
              <w:jc w:val="left"/>
              <w:outlineLvl w:val="0"/>
              <w:rPr>
                <w:rFonts w:cs="Times New Roman"/>
              </w:rPr>
            </w:pPr>
          </w:p>
        </w:tc>
        <w:tc>
          <w:tcPr>
            <w:tcW w:w="1371" w:type="dxa"/>
            <w:vMerge w:val="continue"/>
            <w:vAlign w:val="center"/>
          </w:tcPr>
          <w:p>
            <w:pPr>
              <w:spacing w:line="300" w:lineRule="exact"/>
              <w:jc w:val="left"/>
              <w:outlineLvl w:val="0"/>
              <w:rPr>
                <w:rFonts w:cs="Times New Roman"/>
              </w:rPr>
            </w:pPr>
          </w:p>
        </w:tc>
        <w:tc>
          <w:tcPr>
            <w:tcW w:w="829" w:type="dxa"/>
            <w:vMerge w:val="continue"/>
            <w:vAlign w:val="center"/>
          </w:tcPr>
          <w:p>
            <w:pPr>
              <w:spacing w:line="300" w:lineRule="exact"/>
              <w:jc w:val="left"/>
              <w:outlineLvl w:val="0"/>
              <w:rPr>
                <w:rFonts w:cs="Times New Roman"/>
              </w:rPr>
            </w:pPr>
          </w:p>
        </w:tc>
        <w:tc>
          <w:tcPr>
            <w:tcW w:w="946" w:type="dxa"/>
            <w:vMerge w:val="continue"/>
            <w:vAlign w:val="center"/>
          </w:tcPr>
          <w:p>
            <w:pPr>
              <w:spacing w:line="300" w:lineRule="exact"/>
              <w:jc w:val="left"/>
              <w:outlineLvl w:val="0"/>
              <w:rPr>
                <w:rFonts w:cs="Times New Roman"/>
              </w:rPr>
            </w:pPr>
          </w:p>
        </w:tc>
        <w:tc>
          <w:tcPr>
            <w:tcW w:w="741" w:type="dxa"/>
            <w:vMerge w:val="continue"/>
            <w:vAlign w:val="center"/>
          </w:tcPr>
          <w:p>
            <w:pPr>
              <w:spacing w:line="300" w:lineRule="exact"/>
              <w:jc w:val="left"/>
              <w:outlineLvl w:val="0"/>
              <w:rPr>
                <w:rFonts w:cs="Times New Roman"/>
              </w:rPr>
            </w:pPr>
          </w:p>
        </w:tc>
        <w:tc>
          <w:tcPr>
            <w:tcW w:w="1045"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总计</w:t>
            </w:r>
          </w:p>
        </w:tc>
        <w:tc>
          <w:tcPr>
            <w:tcW w:w="3652"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当年部门预算安排资金</w:t>
            </w:r>
          </w:p>
        </w:tc>
        <w:tc>
          <w:tcPr>
            <w:tcW w:w="42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1" w:hRule="atLeast"/>
          <w:tblHeader/>
          <w:jc w:val="center"/>
        </w:trPr>
        <w:tc>
          <w:tcPr>
            <w:tcW w:w="2744" w:type="dxa"/>
            <w:vMerge w:val="continue"/>
            <w:vAlign w:val="center"/>
          </w:tcPr>
          <w:p>
            <w:pPr>
              <w:spacing w:line="300" w:lineRule="exact"/>
              <w:jc w:val="left"/>
              <w:outlineLvl w:val="0"/>
              <w:rPr>
                <w:rFonts w:cs="Times New Roman"/>
              </w:rPr>
            </w:pPr>
          </w:p>
        </w:tc>
        <w:tc>
          <w:tcPr>
            <w:tcW w:w="742" w:type="dxa"/>
            <w:vMerge w:val="continue"/>
            <w:vAlign w:val="center"/>
          </w:tcPr>
          <w:p>
            <w:pPr>
              <w:spacing w:line="300" w:lineRule="exact"/>
              <w:jc w:val="left"/>
              <w:outlineLvl w:val="0"/>
              <w:rPr>
                <w:rFonts w:cs="Times New Roman"/>
              </w:rPr>
            </w:pPr>
          </w:p>
        </w:tc>
        <w:tc>
          <w:tcPr>
            <w:tcW w:w="2071" w:type="dxa"/>
            <w:vMerge w:val="continue"/>
            <w:vAlign w:val="center"/>
          </w:tcPr>
          <w:p>
            <w:pPr>
              <w:spacing w:line="300" w:lineRule="exact"/>
              <w:jc w:val="left"/>
              <w:outlineLvl w:val="0"/>
              <w:rPr>
                <w:rFonts w:cs="Times New Roman"/>
              </w:rPr>
            </w:pPr>
          </w:p>
        </w:tc>
        <w:tc>
          <w:tcPr>
            <w:tcW w:w="1371" w:type="dxa"/>
            <w:vMerge w:val="continue"/>
            <w:vAlign w:val="center"/>
          </w:tcPr>
          <w:p>
            <w:pPr>
              <w:spacing w:line="300" w:lineRule="exact"/>
              <w:jc w:val="left"/>
              <w:outlineLvl w:val="0"/>
              <w:rPr>
                <w:rFonts w:cs="Times New Roman"/>
              </w:rPr>
            </w:pPr>
          </w:p>
        </w:tc>
        <w:tc>
          <w:tcPr>
            <w:tcW w:w="829" w:type="dxa"/>
            <w:vMerge w:val="continue"/>
            <w:vAlign w:val="center"/>
          </w:tcPr>
          <w:p>
            <w:pPr>
              <w:spacing w:line="300" w:lineRule="exact"/>
              <w:jc w:val="left"/>
              <w:outlineLvl w:val="0"/>
              <w:rPr>
                <w:rFonts w:cs="Times New Roman"/>
              </w:rPr>
            </w:pPr>
          </w:p>
        </w:tc>
        <w:tc>
          <w:tcPr>
            <w:tcW w:w="946" w:type="dxa"/>
            <w:vMerge w:val="continue"/>
            <w:vAlign w:val="center"/>
          </w:tcPr>
          <w:p>
            <w:pPr>
              <w:spacing w:line="300" w:lineRule="exact"/>
              <w:jc w:val="left"/>
              <w:outlineLvl w:val="0"/>
              <w:rPr>
                <w:rFonts w:cs="Times New Roman"/>
              </w:rPr>
            </w:pPr>
          </w:p>
        </w:tc>
        <w:tc>
          <w:tcPr>
            <w:tcW w:w="741" w:type="dxa"/>
            <w:vMerge w:val="continue"/>
            <w:vAlign w:val="center"/>
          </w:tcPr>
          <w:p>
            <w:pPr>
              <w:spacing w:line="300" w:lineRule="exact"/>
              <w:jc w:val="left"/>
              <w:outlineLvl w:val="0"/>
              <w:rPr>
                <w:rFonts w:cs="Times New Roman"/>
              </w:rPr>
            </w:pPr>
          </w:p>
        </w:tc>
        <w:tc>
          <w:tcPr>
            <w:tcW w:w="1045" w:type="dxa"/>
            <w:vMerge w:val="continue"/>
            <w:vAlign w:val="center"/>
          </w:tcPr>
          <w:p>
            <w:pPr>
              <w:spacing w:line="300" w:lineRule="exact"/>
              <w:jc w:val="left"/>
              <w:outlineLvl w:val="0"/>
              <w:rPr>
                <w:rFonts w:cs="Times New Roman"/>
              </w:rPr>
            </w:pPr>
          </w:p>
        </w:tc>
        <w:tc>
          <w:tcPr>
            <w:tcW w:w="94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9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65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47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58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c>
          <w:tcPr>
            <w:tcW w:w="427" w:type="dxa"/>
            <w:vMerge w:val="continue"/>
            <w:vAlign w:val="center"/>
          </w:tcPr>
          <w:p>
            <w:pPr>
              <w:spacing w:line="300" w:lineRule="exact"/>
              <w:jc w:val="left"/>
              <w:outlineLvl w:val="0"/>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4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　计</w:t>
            </w:r>
          </w:p>
        </w:tc>
        <w:tc>
          <w:tcPr>
            <w:tcW w:w="742" w:type="dxa"/>
            <w:vAlign w:val="center"/>
          </w:tcPr>
          <w:p>
            <w:pPr>
              <w:spacing w:line="300" w:lineRule="exact"/>
              <w:jc w:val="right"/>
              <w:rPr>
                <w:rFonts w:ascii="方正书宋_GBK" w:eastAsia="方正书宋_GBK" w:cs="Times New Roman"/>
                <w:b/>
                <w:bCs/>
              </w:rPr>
            </w:pPr>
          </w:p>
        </w:tc>
        <w:tc>
          <w:tcPr>
            <w:tcW w:w="2071" w:type="dxa"/>
            <w:vAlign w:val="center"/>
          </w:tcPr>
          <w:p>
            <w:pPr>
              <w:spacing w:line="300" w:lineRule="exact"/>
              <w:jc w:val="left"/>
              <w:rPr>
                <w:rFonts w:ascii="方正书宋_GBK" w:eastAsia="方正书宋_GBK" w:cs="Times New Roman"/>
                <w:b/>
                <w:bCs/>
              </w:rPr>
            </w:pPr>
          </w:p>
        </w:tc>
        <w:tc>
          <w:tcPr>
            <w:tcW w:w="1371" w:type="dxa"/>
            <w:vAlign w:val="center"/>
          </w:tcPr>
          <w:p>
            <w:pPr>
              <w:spacing w:line="300" w:lineRule="exact"/>
              <w:jc w:val="left"/>
              <w:rPr>
                <w:rFonts w:ascii="方正书宋_GBK" w:eastAsia="方正书宋_GBK" w:cs="Times New Roman"/>
                <w:b/>
                <w:bCs/>
              </w:rPr>
            </w:pPr>
          </w:p>
        </w:tc>
        <w:tc>
          <w:tcPr>
            <w:tcW w:w="829" w:type="dxa"/>
            <w:vAlign w:val="center"/>
          </w:tcPr>
          <w:p>
            <w:pPr>
              <w:spacing w:line="300" w:lineRule="exact"/>
              <w:jc w:val="left"/>
              <w:rPr>
                <w:rFonts w:ascii="方正书宋_GBK" w:eastAsia="方正书宋_GBK" w:cs="Times New Roman"/>
                <w:b/>
                <w:bCs/>
              </w:rPr>
            </w:pPr>
          </w:p>
        </w:tc>
        <w:tc>
          <w:tcPr>
            <w:tcW w:w="946" w:type="dxa"/>
            <w:vAlign w:val="center"/>
          </w:tcPr>
          <w:p>
            <w:pPr>
              <w:spacing w:line="300" w:lineRule="exact"/>
              <w:jc w:val="right"/>
              <w:rPr>
                <w:rFonts w:ascii="方正书宋_GBK" w:eastAsia="方正书宋_GBK" w:cs="Times New Roman"/>
                <w:b/>
                <w:bCs/>
              </w:rPr>
            </w:pPr>
          </w:p>
        </w:tc>
        <w:tc>
          <w:tcPr>
            <w:tcW w:w="741" w:type="dxa"/>
            <w:vAlign w:val="center"/>
          </w:tcPr>
          <w:p>
            <w:pPr>
              <w:spacing w:line="300" w:lineRule="exact"/>
              <w:jc w:val="right"/>
              <w:rPr>
                <w:rFonts w:ascii="方正书宋_GBK" w:eastAsia="方正书宋_GBK" w:cs="Times New Roman"/>
                <w:b/>
                <w:bCs/>
              </w:rPr>
            </w:pPr>
          </w:p>
        </w:tc>
        <w:tc>
          <w:tcPr>
            <w:tcW w:w="1045"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1.35</w:t>
            </w:r>
          </w:p>
        </w:tc>
        <w:tc>
          <w:tcPr>
            <w:tcW w:w="947"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1.35</w:t>
            </w:r>
          </w:p>
        </w:tc>
        <w:tc>
          <w:tcPr>
            <w:tcW w:w="99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1.35</w:t>
            </w:r>
          </w:p>
        </w:tc>
        <w:tc>
          <w:tcPr>
            <w:tcW w:w="65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0</w:t>
            </w:r>
          </w:p>
        </w:tc>
        <w:tc>
          <w:tcPr>
            <w:tcW w:w="472"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0</w:t>
            </w:r>
          </w:p>
        </w:tc>
        <w:tc>
          <w:tcPr>
            <w:tcW w:w="583"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0</w:t>
            </w:r>
          </w:p>
        </w:tc>
        <w:tc>
          <w:tcPr>
            <w:tcW w:w="427"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4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遵化市委老干部局小计</w:t>
            </w:r>
          </w:p>
        </w:tc>
        <w:tc>
          <w:tcPr>
            <w:tcW w:w="742" w:type="dxa"/>
            <w:vAlign w:val="center"/>
          </w:tcPr>
          <w:p>
            <w:pPr>
              <w:spacing w:line="300" w:lineRule="exact"/>
              <w:jc w:val="right"/>
              <w:rPr>
                <w:rFonts w:ascii="方正书宋_GBK" w:eastAsia="方正书宋_GBK" w:cs="Times New Roman"/>
                <w:b/>
                <w:bCs/>
              </w:rPr>
            </w:pPr>
          </w:p>
        </w:tc>
        <w:tc>
          <w:tcPr>
            <w:tcW w:w="2071" w:type="dxa"/>
            <w:vAlign w:val="center"/>
          </w:tcPr>
          <w:p>
            <w:pPr>
              <w:spacing w:line="300" w:lineRule="exact"/>
              <w:jc w:val="left"/>
              <w:rPr>
                <w:rFonts w:ascii="方正书宋_GBK" w:eastAsia="方正书宋_GBK" w:cs="Times New Roman"/>
                <w:b/>
                <w:bCs/>
              </w:rPr>
            </w:pPr>
          </w:p>
        </w:tc>
        <w:tc>
          <w:tcPr>
            <w:tcW w:w="1371" w:type="dxa"/>
            <w:vAlign w:val="center"/>
          </w:tcPr>
          <w:p>
            <w:pPr>
              <w:spacing w:line="300" w:lineRule="exact"/>
              <w:jc w:val="left"/>
              <w:rPr>
                <w:rFonts w:ascii="方正书宋_GBK" w:eastAsia="方正书宋_GBK" w:cs="Times New Roman"/>
                <w:b/>
                <w:bCs/>
              </w:rPr>
            </w:pPr>
          </w:p>
        </w:tc>
        <w:tc>
          <w:tcPr>
            <w:tcW w:w="829" w:type="dxa"/>
            <w:vAlign w:val="center"/>
          </w:tcPr>
          <w:p>
            <w:pPr>
              <w:spacing w:line="300" w:lineRule="exact"/>
              <w:jc w:val="left"/>
              <w:rPr>
                <w:rFonts w:ascii="方正书宋_GBK" w:eastAsia="方正书宋_GBK" w:cs="Times New Roman"/>
                <w:b/>
                <w:bCs/>
              </w:rPr>
            </w:pPr>
          </w:p>
        </w:tc>
        <w:tc>
          <w:tcPr>
            <w:tcW w:w="946" w:type="dxa"/>
            <w:vAlign w:val="center"/>
          </w:tcPr>
          <w:p>
            <w:pPr>
              <w:spacing w:line="300" w:lineRule="exact"/>
              <w:jc w:val="right"/>
              <w:rPr>
                <w:rFonts w:ascii="方正书宋_GBK" w:eastAsia="方正书宋_GBK" w:cs="Times New Roman"/>
                <w:b/>
                <w:bCs/>
              </w:rPr>
            </w:pPr>
          </w:p>
        </w:tc>
        <w:tc>
          <w:tcPr>
            <w:tcW w:w="741" w:type="dxa"/>
            <w:vAlign w:val="center"/>
          </w:tcPr>
          <w:p>
            <w:pPr>
              <w:spacing w:line="300" w:lineRule="exact"/>
              <w:jc w:val="right"/>
              <w:rPr>
                <w:rFonts w:ascii="方正书宋_GBK" w:eastAsia="方正书宋_GBK" w:cs="Times New Roman"/>
                <w:b/>
                <w:bCs/>
              </w:rPr>
            </w:pPr>
          </w:p>
        </w:tc>
        <w:tc>
          <w:tcPr>
            <w:tcW w:w="1045" w:type="dxa"/>
            <w:vAlign w:val="center"/>
          </w:tcPr>
          <w:p>
            <w:pPr>
              <w:spacing w:line="300" w:lineRule="exact"/>
              <w:jc w:val="right"/>
              <w:rPr>
                <w:rFonts w:ascii="方正书宋_GBK" w:eastAsia="方正书宋_GBK" w:cs="Times New Roman"/>
                <w:b/>
                <w:bCs/>
              </w:rPr>
            </w:pPr>
          </w:p>
        </w:tc>
        <w:tc>
          <w:tcPr>
            <w:tcW w:w="947" w:type="dxa"/>
            <w:vAlign w:val="center"/>
          </w:tcPr>
          <w:p>
            <w:pPr>
              <w:spacing w:line="300" w:lineRule="exact"/>
              <w:jc w:val="right"/>
              <w:rPr>
                <w:rFonts w:ascii="方正书宋_GBK" w:eastAsia="方正书宋_GBK" w:cs="方正书宋_GBK"/>
                <w:b/>
                <w:bCs/>
              </w:rPr>
            </w:pPr>
          </w:p>
        </w:tc>
        <w:tc>
          <w:tcPr>
            <w:tcW w:w="994" w:type="dxa"/>
            <w:vAlign w:val="center"/>
          </w:tcPr>
          <w:p>
            <w:pPr>
              <w:spacing w:line="300" w:lineRule="exact"/>
              <w:jc w:val="right"/>
              <w:rPr>
                <w:rFonts w:ascii="方正书宋_GBK" w:eastAsia="方正书宋_GBK" w:cs="方正书宋_GBK"/>
                <w:b/>
                <w:bCs/>
              </w:rPr>
            </w:pPr>
          </w:p>
        </w:tc>
        <w:tc>
          <w:tcPr>
            <w:tcW w:w="656" w:type="dxa"/>
            <w:vAlign w:val="center"/>
          </w:tcPr>
          <w:p>
            <w:pPr>
              <w:spacing w:line="300" w:lineRule="exact"/>
              <w:jc w:val="right"/>
              <w:rPr>
                <w:rFonts w:ascii="方正书宋_GBK" w:eastAsia="方正书宋_GBK" w:cs="方正书宋_GBK"/>
                <w:b/>
                <w:bCs/>
              </w:rPr>
            </w:pPr>
          </w:p>
        </w:tc>
        <w:tc>
          <w:tcPr>
            <w:tcW w:w="472" w:type="dxa"/>
            <w:vAlign w:val="center"/>
          </w:tcPr>
          <w:p>
            <w:pPr>
              <w:spacing w:line="300" w:lineRule="exact"/>
              <w:jc w:val="right"/>
              <w:rPr>
                <w:rFonts w:ascii="方正书宋_GBK" w:eastAsia="方正书宋_GBK" w:cs="方正书宋_GBK"/>
                <w:b/>
                <w:bCs/>
              </w:rPr>
            </w:pPr>
          </w:p>
        </w:tc>
        <w:tc>
          <w:tcPr>
            <w:tcW w:w="583" w:type="dxa"/>
            <w:vAlign w:val="center"/>
          </w:tcPr>
          <w:p>
            <w:pPr>
              <w:spacing w:line="300" w:lineRule="exact"/>
              <w:jc w:val="right"/>
              <w:rPr>
                <w:rFonts w:ascii="方正书宋_GBK" w:eastAsia="方正书宋_GBK" w:cs="方正书宋_GBK"/>
                <w:b/>
                <w:bCs/>
              </w:rPr>
            </w:pPr>
          </w:p>
        </w:tc>
        <w:tc>
          <w:tcPr>
            <w:tcW w:w="427"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44" w:type="dxa"/>
            <w:vAlign w:val="center"/>
          </w:tcPr>
          <w:p>
            <w:pPr>
              <w:spacing w:line="300" w:lineRule="exact"/>
              <w:jc w:val="left"/>
              <w:rPr>
                <w:rFonts w:ascii="宋体" w:cs="Times New Roman"/>
                <w:sz w:val="18"/>
                <w:szCs w:val="18"/>
              </w:rPr>
            </w:pPr>
            <w:r>
              <w:rPr>
                <w:rFonts w:hint="eastAsia" w:ascii="方正书宋_GBK" w:eastAsia="方正书宋_GBK" w:cs="方正书宋_GBK"/>
              </w:rPr>
              <w:t>汽车维修费</w:t>
            </w:r>
          </w:p>
        </w:tc>
        <w:tc>
          <w:tcPr>
            <w:tcW w:w="742" w:type="dxa"/>
            <w:vAlign w:val="center"/>
          </w:tcPr>
          <w:p>
            <w:pPr>
              <w:spacing w:line="300" w:lineRule="exact"/>
              <w:jc w:val="right"/>
              <w:rPr>
                <w:rFonts w:ascii="方正书宋_GBK" w:eastAsia="方正书宋_GBK" w:cs="Times New Roman"/>
              </w:rPr>
            </w:pPr>
            <w:r>
              <w:rPr>
                <w:rFonts w:ascii="方正书宋_GBK" w:eastAsia="方正书宋_GBK" w:cs="方正书宋_GBK"/>
              </w:rPr>
              <w:t>1.00</w:t>
            </w:r>
          </w:p>
        </w:tc>
        <w:tc>
          <w:tcPr>
            <w:tcW w:w="207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车辆设备维修和保养服务</w:t>
            </w:r>
          </w:p>
        </w:tc>
        <w:tc>
          <w:tcPr>
            <w:tcW w:w="1371" w:type="dxa"/>
            <w:vAlign w:val="center"/>
          </w:tcPr>
          <w:p>
            <w:pPr>
              <w:spacing w:line="300" w:lineRule="exact"/>
              <w:jc w:val="left"/>
              <w:rPr>
                <w:rFonts w:ascii="方正书宋_GBK" w:eastAsia="方正书宋_GBK" w:cs="Times New Roman"/>
              </w:rPr>
            </w:pPr>
            <w:r>
              <w:rPr>
                <w:rFonts w:ascii="方正书宋_GBK" w:eastAsia="方正书宋_GBK" w:cs="方正书宋_GBK"/>
              </w:rPr>
              <w:t>C0503</w:t>
            </w:r>
          </w:p>
        </w:tc>
        <w:tc>
          <w:tcPr>
            <w:tcW w:w="829" w:type="dxa"/>
            <w:vAlign w:val="center"/>
          </w:tcPr>
          <w:p>
            <w:pPr>
              <w:spacing w:line="300" w:lineRule="exact"/>
              <w:jc w:val="left"/>
              <w:rPr>
                <w:rFonts w:ascii="方正书宋_GBK" w:eastAsia="方正书宋_GBK" w:cs="Times New Roman"/>
              </w:rPr>
            </w:pPr>
          </w:p>
        </w:tc>
        <w:tc>
          <w:tcPr>
            <w:tcW w:w="946"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741" w:type="dxa"/>
            <w:vAlign w:val="center"/>
          </w:tcPr>
          <w:p>
            <w:pPr>
              <w:spacing w:line="300" w:lineRule="exact"/>
              <w:jc w:val="right"/>
              <w:rPr>
                <w:rFonts w:ascii="方正书宋_GBK" w:eastAsia="方正书宋_GBK" w:cs="Times New Roman"/>
              </w:rPr>
            </w:pPr>
            <w:r>
              <w:rPr>
                <w:rFonts w:ascii="方正书宋_GBK" w:eastAsia="方正书宋_GBK" w:cs="方正书宋_GBK"/>
              </w:rPr>
              <w:t>1</w:t>
            </w:r>
          </w:p>
        </w:tc>
        <w:tc>
          <w:tcPr>
            <w:tcW w:w="1045" w:type="dxa"/>
            <w:vAlign w:val="center"/>
          </w:tcPr>
          <w:p>
            <w:pPr>
              <w:spacing w:line="300" w:lineRule="exact"/>
              <w:jc w:val="right"/>
              <w:rPr>
                <w:rFonts w:ascii="方正书宋_GBK" w:eastAsia="方正书宋_GBK" w:cs="Times New Roman"/>
              </w:rPr>
            </w:pPr>
            <w:r>
              <w:rPr>
                <w:rFonts w:ascii="方正书宋_GBK" w:eastAsia="方正书宋_GBK" w:cs="方正书宋_GBK"/>
              </w:rPr>
              <w:t>1</w:t>
            </w:r>
          </w:p>
        </w:tc>
        <w:tc>
          <w:tcPr>
            <w:tcW w:w="947" w:type="dxa"/>
            <w:vAlign w:val="center"/>
          </w:tcPr>
          <w:p>
            <w:pPr>
              <w:spacing w:line="300" w:lineRule="exact"/>
              <w:jc w:val="right"/>
              <w:rPr>
                <w:rFonts w:ascii="方正书宋_GBK" w:eastAsia="方正书宋_GBK" w:cs="Times New Roman"/>
              </w:rPr>
            </w:pPr>
            <w:r>
              <w:rPr>
                <w:rFonts w:ascii="方正书宋_GBK" w:eastAsia="方正书宋_GBK" w:cs="方正书宋_GBK"/>
              </w:rPr>
              <w:t>1</w:t>
            </w:r>
          </w:p>
        </w:tc>
        <w:tc>
          <w:tcPr>
            <w:tcW w:w="994" w:type="dxa"/>
            <w:vAlign w:val="center"/>
          </w:tcPr>
          <w:p>
            <w:pPr>
              <w:spacing w:line="300" w:lineRule="exact"/>
              <w:jc w:val="right"/>
              <w:rPr>
                <w:rFonts w:ascii="方正书宋_GBK" w:eastAsia="方正书宋_GBK" w:cs="Times New Roman"/>
              </w:rPr>
            </w:pPr>
            <w:r>
              <w:rPr>
                <w:rFonts w:ascii="方正书宋_GBK" w:eastAsia="方正书宋_GBK" w:cs="方正书宋_GBK"/>
              </w:rPr>
              <w:t>1</w:t>
            </w:r>
          </w:p>
        </w:tc>
        <w:tc>
          <w:tcPr>
            <w:tcW w:w="656" w:type="dxa"/>
            <w:vAlign w:val="center"/>
          </w:tcPr>
          <w:p>
            <w:pPr>
              <w:spacing w:line="300" w:lineRule="exact"/>
              <w:jc w:val="right"/>
              <w:rPr>
                <w:rFonts w:ascii="方正书宋_GBK" w:eastAsia="方正书宋_GBK" w:cs="Times New Roman"/>
              </w:rPr>
            </w:pPr>
          </w:p>
        </w:tc>
        <w:tc>
          <w:tcPr>
            <w:tcW w:w="472" w:type="dxa"/>
            <w:vAlign w:val="center"/>
          </w:tcPr>
          <w:p>
            <w:pPr>
              <w:spacing w:line="300" w:lineRule="exact"/>
              <w:jc w:val="right"/>
              <w:rPr>
                <w:rFonts w:ascii="方正书宋_GBK" w:eastAsia="方正书宋_GBK" w:cs="Times New Roman"/>
              </w:rPr>
            </w:pPr>
          </w:p>
        </w:tc>
        <w:tc>
          <w:tcPr>
            <w:tcW w:w="583" w:type="dxa"/>
            <w:vAlign w:val="center"/>
          </w:tcPr>
          <w:p>
            <w:pPr>
              <w:spacing w:line="300" w:lineRule="exact"/>
              <w:jc w:val="right"/>
              <w:rPr>
                <w:rFonts w:ascii="方正书宋_GBK" w:eastAsia="方正书宋_GBK" w:cs="Times New Roman"/>
              </w:rPr>
            </w:pPr>
          </w:p>
        </w:tc>
        <w:tc>
          <w:tcPr>
            <w:tcW w:w="427"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44" w:type="dxa"/>
            <w:vAlign w:val="center"/>
          </w:tcPr>
          <w:p>
            <w:pPr>
              <w:spacing w:line="300" w:lineRule="exact"/>
              <w:jc w:val="left"/>
              <w:rPr>
                <w:rFonts w:ascii="宋体" w:cs="Times New Roman"/>
                <w:sz w:val="18"/>
                <w:szCs w:val="18"/>
              </w:rPr>
            </w:pPr>
            <w:r>
              <w:rPr>
                <w:rFonts w:hint="eastAsia" w:ascii="方正书宋_GBK" w:eastAsia="方正书宋_GBK" w:cs="方正书宋_GBK"/>
              </w:rPr>
              <w:t>汽车保险费</w:t>
            </w:r>
          </w:p>
        </w:tc>
        <w:tc>
          <w:tcPr>
            <w:tcW w:w="742" w:type="dxa"/>
            <w:vAlign w:val="center"/>
          </w:tcPr>
          <w:p>
            <w:pPr>
              <w:spacing w:line="300" w:lineRule="exact"/>
              <w:jc w:val="right"/>
              <w:rPr>
                <w:rFonts w:ascii="方正书宋_GBK" w:eastAsia="方正书宋_GBK" w:cs="Times New Roman"/>
              </w:rPr>
            </w:pPr>
            <w:r>
              <w:rPr>
                <w:rFonts w:ascii="方正书宋_GBK" w:eastAsia="方正书宋_GBK" w:cs="方正书宋_GBK"/>
              </w:rPr>
              <w:t>0.35</w:t>
            </w:r>
          </w:p>
        </w:tc>
        <w:tc>
          <w:tcPr>
            <w:tcW w:w="207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保险服务</w:t>
            </w:r>
          </w:p>
        </w:tc>
        <w:tc>
          <w:tcPr>
            <w:tcW w:w="1371" w:type="dxa"/>
            <w:vAlign w:val="center"/>
          </w:tcPr>
          <w:p>
            <w:pPr>
              <w:spacing w:line="300" w:lineRule="exact"/>
              <w:jc w:val="left"/>
              <w:rPr>
                <w:rFonts w:ascii="方正书宋_GBK" w:eastAsia="方正书宋_GBK" w:cs="Times New Roman"/>
              </w:rPr>
            </w:pPr>
            <w:r>
              <w:rPr>
                <w:rFonts w:ascii="方正书宋_GBK" w:eastAsia="方正书宋_GBK" w:cs="方正书宋_GBK"/>
              </w:rPr>
              <w:t>C1504</w:t>
            </w:r>
          </w:p>
        </w:tc>
        <w:tc>
          <w:tcPr>
            <w:tcW w:w="829" w:type="dxa"/>
            <w:vAlign w:val="center"/>
          </w:tcPr>
          <w:p>
            <w:pPr>
              <w:spacing w:line="300" w:lineRule="exact"/>
              <w:jc w:val="left"/>
              <w:rPr>
                <w:rFonts w:ascii="方正书宋_GBK" w:eastAsia="方正书宋_GBK" w:cs="Times New Roman"/>
              </w:rPr>
            </w:pPr>
          </w:p>
        </w:tc>
        <w:tc>
          <w:tcPr>
            <w:tcW w:w="946" w:type="dxa"/>
            <w:vAlign w:val="center"/>
          </w:tcPr>
          <w:p>
            <w:pPr>
              <w:spacing w:line="300" w:lineRule="exact"/>
              <w:jc w:val="right"/>
              <w:rPr>
                <w:rFonts w:ascii="方正书宋_GBK" w:eastAsia="方正书宋_GBK" w:cs="Times New Roman"/>
              </w:rPr>
            </w:pPr>
            <w:r>
              <w:rPr>
                <w:rFonts w:ascii="方正书宋_GBK" w:eastAsia="方正书宋_GBK" w:cs="方正书宋_GBK"/>
              </w:rPr>
              <w:t>1</w:t>
            </w:r>
          </w:p>
        </w:tc>
        <w:tc>
          <w:tcPr>
            <w:tcW w:w="741" w:type="dxa"/>
            <w:vAlign w:val="center"/>
          </w:tcPr>
          <w:p>
            <w:pPr>
              <w:spacing w:line="300" w:lineRule="exact"/>
              <w:jc w:val="right"/>
              <w:rPr>
                <w:rFonts w:ascii="方正书宋_GBK" w:eastAsia="方正书宋_GBK" w:cs="Times New Roman"/>
              </w:rPr>
            </w:pPr>
            <w:r>
              <w:rPr>
                <w:rFonts w:ascii="方正书宋_GBK" w:eastAsia="方正书宋_GBK" w:cs="方正书宋_GBK"/>
              </w:rPr>
              <w:t>0.35</w:t>
            </w:r>
          </w:p>
        </w:tc>
        <w:tc>
          <w:tcPr>
            <w:tcW w:w="1045" w:type="dxa"/>
            <w:vAlign w:val="center"/>
          </w:tcPr>
          <w:p>
            <w:pPr>
              <w:spacing w:line="300" w:lineRule="exact"/>
              <w:jc w:val="right"/>
              <w:rPr>
                <w:rFonts w:ascii="方正书宋_GBK" w:eastAsia="方正书宋_GBK" w:cs="Times New Roman"/>
              </w:rPr>
            </w:pPr>
            <w:r>
              <w:rPr>
                <w:rFonts w:ascii="方正书宋_GBK" w:eastAsia="方正书宋_GBK" w:cs="方正书宋_GBK"/>
              </w:rPr>
              <w:t>0.35</w:t>
            </w:r>
          </w:p>
        </w:tc>
        <w:tc>
          <w:tcPr>
            <w:tcW w:w="947" w:type="dxa"/>
            <w:vAlign w:val="center"/>
          </w:tcPr>
          <w:p>
            <w:pPr>
              <w:spacing w:line="300" w:lineRule="exact"/>
              <w:jc w:val="right"/>
              <w:rPr>
                <w:rFonts w:ascii="方正书宋_GBK" w:eastAsia="方正书宋_GBK" w:cs="Times New Roman"/>
              </w:rPr>
            </w:pPr>
            <w:r>
              <w:rPr>
                <w:rFonts w:ascii="方正书宋_GBK" w:eastAsia="方正书宋_GBK" w:cs="方正书宋_GBK"/>
              </w:rPr>
              <w:t>0.35</w:t>
            </w:r>
          </w:p>
        </w:tc>
        <w:tc>
          <w:tcPr>
            <w:tcW w:w="994" w:type="dxa"/>
            <w:vAlign w:val="center"/>
          </w:tcPr>
          <w:p>
            <w:pPr>
              <w:spacing w:line="300" w:lineRule="exact"/>
              <w:jc w:val="right"/>
              <w:rPr>
                <w:rFonts w:ascii="方正书宋_GBK" w:eastAsia="方正书宋_GBK" w:cs="Times New Roman"/>
              </w:rPr>
            </w:pPr>
            <w:r>
              <w:rPr>
                <w:rFonts w:ascii="方正书宋_GBK" w:eastAsia="方正书宋_GBK" w:cs="方正书宋_GBK"/>
              </w:rPr>
              <w:t>0.35</w:t>
            </w:r>
          </w:p>
        </w:tc>
        <w:tc>
          <w:tcPr>
            <w:tcW w:w="656" w:type="dxa"/>
            <w:vAlign w:val="center"/>
          </w:tcPr>
          <w:p>
            <w:pPr>
              <w:spacing w:line="300" w:lineRule="exact"/>
              <w:jc w:val="right"/>
              <w:rPr>
                <w:rFonts w:ascii="方正书宋_GBK" w:eastAsia="方正书宋_GBK" w:cs="Times New Roman"/>
              </w:rPr>
            </w:pPr>
          </w:p>
        </w:tc>
        <w:tc>
          <w:tcPr>
            <w:tcW w:w="472" w:type="dxa"/>
            <w:vAlign w:val="center"/>
          </w:tcPr>
          <w:p>
            <w:pPr>
              <w:spacing w:line="300" w:lineRule="exact"/>
              <w:jc w:val="right"/>
              <w:rPr>
                <w:rFonts w:ascii="方正书宋_GBK" w:eastAsia="方正书宋_GBK" w:cs="Times New Roman"/>
              </w:rPr>
            </w:pPr>
          </w:p>
        </w:tc>
        <w:tc>
          <w:tcPr>
            <w:tcW w:w="583" w:type="dxa"/>
            <w:vAlign w:val="center"/>
          </w:tcPr>
          <w:p>
            <w:pPr>
              <w:spacing w:line="300" w:lineRule="exact"/>
              <w:jc w:val="right"/>
              <w:rPr>
                <w:rFonts w:ascii="方正书宋_GBK" w:eastAsia="方正书宋_GBK" w:cs="Times New Roman"/>
              </w:rPr>
            </w:pPr>
          </w:p>
        </w:tc>
        <w:tc>
          <w:tcPr>
            <w:tcW w:w="427" w:type="dxa"/>
            <w:vAlign w:val="center"/>
          </w:tcPr>
          <w:p>
            <w:pPr>
              <w:spacing w:line="300" w:lineRule="exact"/>
              <w:jc w:val="right"/>
              <w:rPr>
                <w:rFonts w:ascii="方正书宋_GBK" w:eastAsia="方正书宋_GBK" w:cs="Times New Roman"/>
              </w:rPr>
            </w:pPr>
          </w:p>
        </w:tc>
      </w:tr>
    </w:tbl>
    <w:p>
      <w:pPr>
        <w:autoSpaceDE w:val="0"/>
        <w:autoSpaceDN w:val="0"/>
        <w:adjustRightInd w:val="0"/>
        <w:ind w:firstLine="643" w:firstLineChars="200"/>
        <w:jc w:val="left"/>
        <w:rPr>
          <w:rFonts w:ascii="黑体" w:hAnsi="黑体" w:eastAsia="黑体" w:cs="黑体"/>
          <w:b/>
          <w:bCs/>
          <w:sz w:val="32"/>
          <w:szCs w:val="32"/>
        </w:rPr>
      </w:pPr>
    </w:p>
    <w:p>
      <w:pPr>
        <w:autoSpaceDE w:val="0"/>
        <w:autoSpaceDN w:val="0"/>
        <w:adjustRightInd w:val="0"/>
        <w:ind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七、国有资产信息</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遵化市委老干部局上年末固定资产金额为</w:t>
      </w:r>
      <w:r>
        <w:rPr>
          <w:rFonts w:hint="eastAsia" w:ascii="Times New Roman" w:hAnsi="Times New Roman" w:eastAsia="方正仿宋_GBK" w:cs="Times New Roman"/>
          <w:sz w:val="32"/>
          <w:szCs w:val="32"/>
          <w:lang w:val="en-US" w:eastAsia="zh-CN"/>
        </w:rPr>
        <w:t>240.05</w:t>
      </w:r>
      <w:r>
        <w:rPr>
          <w:rFonts w:hint="eastAsia" w:ascii="Times New Roman" w:hAnsi="Times New Roman" w:eastAsia="方正仿宋_GBK" w:cs="Times New Roman"/>
          <w:sz w:val="32"/>
          <w:szCs w:val="32"/>
        </w:rPr>
        <w:t>万元（详见下表）</w:t>
      </w:r>
    </w:p>
    <w:p>
      <w:pPr>
        <w:ind w:firstLine="640"/>
        <w:rPr>
          <w:rFonts w:ascii="Times New Roman" w:hAnsi="Times New Roman" w:eastAsia="方正仿宋_GBK" w:cs="Times New Roman"/>
          <w:sz w:val="32"/>
          <w:szCs w:val="32"/>
        </w:rPr>
      </w:pPr>
    </w:p>
    <w:tbl>
      <w:tblPr>
        <w:tblStyle w:val="8"/>
        <w:tblW w:w="13482" w:type="dxa"/>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Times New Roman"/>
                <w:b/>
                <w:bCs/>
                <w:kern w:val="0"/>
                <w:sz w:val="32"/>
                <w:szCs w:val="32"/>
              </w:rPr>
            </w:pPr>
            <w:r>
              <w:rPr>
                <w:rFonts w:hint="eastAsia" w:ascii="宋体" w:hAnsi="宋体" w:cs="宋体"/>
                <w:b/>
                <w:bCs/>
                <w:kern w:val="0"/>
                <w:sz w:val="32"/>
                <w:szCs w:val="32"/>
              </w:rPr>
              <w:t>遵化市委老干部局部门固定资产占用情况表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s="Times New Roman"/>
                <w:kern w:val="0"/>
                <w:sz w:val="22"/>
              </w:rPr>
            </w:pPr>
            <w:r>
              <w:rPr>
                <w:rFonts w:hint="eastAsia" w:ascii="宋体" w:hAnsi="宋体" w:cs="宋体"/>
                <w:kern w:val="0"/>
                <w:sz w:val="22"/>
                <w:szCs w:val="22"/>
              </w:rPr>
              <w:t>编制部门：遵化市委老干部局</w:t>
            </w:r>
          </w:p>
        </w:tc>
        <w:tc>
          <w:tcPr>
            <w:tcW w:w="5103" w:type="dxa"/>
            <w:tcBorders>
              <w:top w:val="nil"/>
              <w:left w:val="nil"/>
              <w:bottom w:val="nil"/>
              <w:right w:val="nil"/>
            </w:tcBorders>
            <w:vAlign w:val="center"/>
          </w:tcPr>
          <w:p>
            <w:pPr>
              <w:widowControl/>
              <w:jc w:val="left"/>
              <w:rPr>
                <w:rFonts w:ascii="宋体" w:cs="Times New Roman"/>
                <w:kern w:val="0"/>
                <w:sz w:val="22"/>
              </w:rPr>
            </w:pPr>
            <w:r>
              <w:rPr>
                <w:rFonts w:hint="eastAsia" w:ascii="宋体" w:hAnsi="宋体" w:cs="宋体"/>
                <w:kern w:val="0"/>
                <w:sz w:val="22"/>
                <w:szCs w:val="22"/>
              </w:rPr>
              <w:t>截止时间：</w:t>
            </w:r>
            <w:r>
              <w:rPr>
                <w:rFonts w:ascii="宋体" w:hAnsi="宋体" w:cs="宋体"/>
                <w:kern w:val="0"/>
                <w:sz w:val="22"/>
                <w:szCs w:val="22"/>
              </w:rPr>
              <w:t>201</w:t>
            </w:r>
            <w:r>
              <w:rPr>
                <w:rFonts w:hint="eastAsia" w:ascii="宋体" w:hAnsi="宋体" w:cs="宋体"/>
                <w:kern w:val="0"/>
                <w:sz w:val="22"/>
                <w:szCs w:val="22"/>
                <w:lang w:val="en-US" w:eastAsia="zh-CN"/>
              </w:rPr>
              <w:t>9</w:t>
            </w:r>
            <w:r>
              <w:rPr>
                <w:rFonts w:hint="eastAsia" w:ascii="宋体" w:hAnsi="宋体" w:cs="宋体"/>
                <w:kern w:val="0"/>
                <w:sz w:val="22"/>
                <w:szCs w:val="22"/>
              </w:rPr>
              <w:t>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r>
              <w:rPr>
                <w:rFonts w:ascii="宋体" w:hAnsi="宋体" w:cs="宋体"/>
                <w:kern w:val="0"/>
                <w:sz w:val="22"/>
                <w:szCs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项</w:t>
            </w:r>
            <w:r>
              <w:rPr>
                <w:rFonts w:ascii="宋体" w:hAnsi="宋体" w:cs="宋体"/>
                <w:b/>
                <w:bCs/>
                <w:kern w:val="0"/>
                <w:sz w:val="22"/>
                <w:szCs w:val="22"/>
              </w:rPr>
              <w:t xml:space="preserve">   </w:t>
            </w:r>
            <w:r>
              <w:rPr>
                <w:rFonts w:hint="eastAsia" w:ascii="宋体" w:hAnsi="宋体" w:cs="宋体"/>
                <w:b/>
                <w:bCs/>
                <w:kern w:val="0"/>
                <w:sz w:val="22"/>
                <w:szCs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资产总额</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ascii="方正仿宋简体" w:eastAsia="方正仿宋简体"/>
                <w:sz w:val="22"/>
                <w:szCs w:val="22"/>
              </w:rPr>
              <w:t>——</w:t>
            </w:r>
          </w:p>
        </w:tc>
        <w:tc>
          <w:tcPr>
            <w:tcW w:w="5103" w:type="dxa"/>
            <w:tcBorders>
              <w:top w:val="nil"/>
              <w:left w:val="nil"/>
              <w:bottom w:val="single" w:color="auto" w:sz="4" w:space="0"/>
              <w:right w:val="single" w:color="auto" w:sz="4" w:space="0"/>
            </w:tcBorders>
            <w:vAlign w:val="center"/>
          </w:tcPr>
          <w:p>
            <w:pPr>
              <w:jc w:val="center"/>
              <w:rPr>
                <w:rFonts w:hint="default" w:ascii="方正仿宋简体" w:eastAsia="方正仿宋简体" w:cs="Times New Roman"/>
                <w:sz w:val="22"/>
                <w:lang w:val="en-US" w:eastAsia="zh-CN"/>
              </w:rPr>
            </w:pPr>
            <w:r>
              <w:rPr>
                <w:rFonts w:hint="eastAsia" w:ascii="方正仿宋简体" w:eastAsia="方正仿宋简体" w:cs="Times New Roman"/>
                <w:sz w:val="22"/>
                <w:lang w:val="en-US" w:eastAsia="zh-CN"/>
              </w:rPr>
              <w:t>240.05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3155" w:type="dxa"/>
            <w:tcBorders>
              <w:top w:val="nil"/>
              <w:left w:val="nil"/>
              <w:bottom w:val="single" w:color="auto" w:sz="4" w:space="0"/>
              <w:right w:val="single" w:color="auto" w:sz="4" w:space="0"/>
            </w:tcBorders>
            <w:vAlign w:val="center"/>
          </w:tcPr>
          <w:p>
            <w:pPr>
              <w:jc w:val="center"/>
              <w:rPr>
                <w:rFonts w:hint="default" w:ascii="方正仿宋简体" w:eastAsia="方正仿宋简体" w:cs="Times New Roman"/>
                <w:sz w:val="22"/>
                <w:lang w:val="en-US" w:eastAsia="zh-CN"/>
              </w:rPr>
            </w:pPr>
            <w:r>
              <w:rPr>
                <w:rFonts w:hint="eastAsia" w:ascii="方正仿宋简体" w:eastAsia="方正仿宋简体" w:cs="Times New Roman"/>
                <w:sz w:val="22"/>
                <w:lang w:val="en-US" w:eastAsia="zh-CN"/>
              </w:rPr>
              <w:t>3426.6</w:t>
            </w:r>
          </w:p>
        </w:tc>
        <w:tc>
          <w:tcPr>
            <w:tcW w:w="5103" w:type="dxa"/>
            <w:tcBorders>
              <w:top w:val="nil"/>
              <w:left w:val="nil"/>
              <w:bottom w:val="single" w:color="auto" w:sz="4" w:space="0"/>
              <w:right w:val="single" w:color="auto" w:sz="4" w:space="0"/>
            </w:tcBorders>
            <w:vAlign w:val="center"/>
          </w:tcPr>
          <w:p>
            <w:pPr>
              <w:jc w:val="center"/>
              <w:rPr>
                <w:rFonts w:hint="default" w:ascii="方正仿宋简体" w:eastAsia="方正仿宋简体" w:cs="Times New Roman"/>
                <w:sz w:val="22"/>
                <w:lang w:val="en-US" w:eastAsia="zh-CN"/>
              </w:rPr>
            </w:pPr>
            <w:r>
              <w:rPr>
                <w:rFonts w:ascii="方正仿宋简体" w:eastAsia="方正仿宋简体" w:cs="方正仿宋简体"/>
                <w:sz w:val="22"/>
                <w:szCs w:val="22"/>
              </w:rPr>
              <w:t>1</w:t>
            </w:r>
            <w:r>
              <w:rPr>
                <w:rFonts w:hint="eastAsia" w:ascii="方正仿宋简体" w:eastAsia="方正仿宋简体" w:cs="方正仿宋简体"/>
                <w:sz w:val="22"/>
                <w:szCs w:val="22"/>
                <w:lang w:val="en-US" w:eastAsia="zh-CN"/>
              </w:rPr>
              <w:t>45.34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 xml:space="preserve">   </w:t>
            </w:r>
            <w:r>
              <w:rPr>
                <w:rFonts w:hint="eastAsia" w:ascii="宋体" w:hAnsi="宋体" w:cs="宋体"/>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jc w:val="center"/>
              <w:rPr>
                <w:rFonts w:hint="default" w:ascii="方正仿宋简体" w:eastAsia="方正仿宋简体" w:cs="Times New Roman"/>
                <w:sz w:val="22"/>
                <w:lang w:val="en-US" w:eastAsia="zh-CN"/>
              </w:rPr>
            </w:pPr>
            <w:r>
              <w:rPr>
                <w:rFonts w:hint="eastAsia" w:ascii="方正仿宋简体" w:eastAsia="方正仿宋简体" w:cs="方正仿宋简体"/>
                <w:sz w:val="22"/>
                <w:szCs w:val="22"/>
                <w:lang w:val="en-US" w:eastAsia="zh-CN"/>
              </w:rPr>
              <w:t>3128</w:t>
            </w:r>
          </w:p>
        </w:tc>
        <w:tc>
          <w:tcPr>
            <w:tcW w:w="5103" w:type="dxa"/>
            <w:tcBorders>
              <w:top w:val="nil"/>
              <w:left w:val="nil"/>
              <w:bottom w:val="single" w:color="auto" w:sz="4" w:space="0"/>
              <w:right w:val="single" w:color="auto" w:sz="4" w:space="0"/>
            </w:tcBorders>
            <w:vAlign w:val="center"/>
          </w:tcPr>
          <w:p>
            <w:pPr>
              <w:jc w:val="center"/>
              <w:rPr>
                <w:rFonts w:hint="default" w:ascii="方正仿宋简体" w:eastAsia="方正仿宋简体" w:cs="Times New Roman"/>
                <w:sz w:val="22"/>
                <w:lang w:val="en-US" w:eastAsia="zh-CN"/>
              </w:rPr>
            </w:pPr>
            <w:r>
              <w:rPr>
                <w:rFonts w:ascii="方正仿宋简体" w:eastAsia="方正仿宋简体" w:cs="方正仿宋简体"/>
                <w:sz w:val="22"/>
                <w:szCs w:val="22"/>
              </w:rPr>
              <w:t>1</w:t>
            </w:r>
            <w:r>
              <w:rPr>
                <w:rFonts w:hint="eastAsia" w:ascii="方正仿宋简体" w:eastAsia="方正仿宋简体" w:cs="方正仿宋简体"/>
                <w:sz w:val="22"/>
                <w:szCs w:val="22"/>
                <w:lang w:val="en-US" w:eastAsia="zh-CN"/>
              </w:rPr>
              <w:t>40.18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ascii="方正仿宋简体" w:eastAsia="方正仿宋简体" w:cs="方正仿宋简体"/>
                <w:sz w:val="22"/>
                <w:szCs w:val="22"/>
              </w:rPr>
              <w:t>1</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ascii="方正仿宋简体" w:eastAsia="方正仿宋简体" w:cs="Times New Roman"/>
                <w:sz w:val="22"/>
              </w:rPr>
              <w:t>22.98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20</w:t>
            </w:r>
            <w:r>
              <w:rPr>
                <w:rFonts w:hint="eastAsia" w:ascii="宋体" w:hAnsi="宋体" w:cs="宋体"/>
                <w:kern w:val="0"/>
                <w:sz w:val="22"/>
                <w:szCs w:val="22"/>
              </w:rPr>
              <w:t>万元以上的设备</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hint="eastAsia" w:ascii="方正仿宋简体" w:eastAsia="方正仿宋简体" w:cs="方正仿宋简体"/>
                <w:sz w:val="22"/>
                <w:szCs w:val="22"/>
              </w:rPr>
              <w:t>　</w:t>
            </w:r>
            <w:r>
              <w:rPr>
                <w:rFonts w:ascii="方正仿宋简体" w:eastAsia="方正仿宋简体" w:cs="方正仿宋简体"/>
                <w:sz w:val="22"/>
                <w:szCs w:val="22"/>
              </w:rPr>
              <w:t>0</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ascii="方正仿宋简体" w:eastAsia="方正仿宋简体" w:cs="方正仿宋简体"/>
                <w:sz w:val="22"/>
                <w:szCs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3155" w:type="dxa"/>
            <w:tcBorders>
              <w:top w:val="nil"/>
              <w:left w:val="nil"/>
              <w:bottom w:val="single" w:color="auto" w:sz="4" w:space="0"/>
              <w:right w:val="single" w:color="auto" w:sz="4" w:space="0"/>
            </w:tcBorders>
            <w:vAlign w:val="center"/>
          </w:tcPr>
          <w:p>
            <w:pPr>
              <w:jc w:val="center"/>
              <w:rPr>
                <w:rFonts w:hint="default" w:ascii="宋体" w:eastAsia="宋体" w:cs="Times New Roman"/>
                <w:sz w:val="22"/>
                <w:lang w:val="en-US" w:eastAsia="zh-CN"/>
              </w:rPr>
            </w:pPr>
            <w:r>
              <w:rPr>
                <w:rFonts w:cs="宋体"/>
                <w:sz w:val="22"/>
                <w:szCs w:val="22"/>
              </w:rPr>
              <w:t>17</w:t>
            </w:r>
            <w:r>
              <w:rPr>
                <w:rFonts w:hint="eastAsia" w:cs="宋体"/>
                <w:sz w:val="22"/>
                <w:szCs w:val="22"/>
                <w:lang w:val="en-US" w:eastAsia="zh-CN"/>
              </w:rPr>
              <w:t>49</w:t>
            </w:r>
          </w:p>
        </w:tc>
        <w:tc>
          <w:tcPr>
            <w:tcW w:w="5103" w:type="dxa"/>
            <w:tcBorders>
              <w:top w:val="nil"/>
              <w:left w:val="nil"/>
              <w:bottom w:val="single" w:color="auto" w:sz="4" w:space="0"/>
              <w:right w:val="single" w:color="auto" w:sz="4" w:space="0"/>
            </w:tcBorders>
            <w:vAlign w:val="center"/>
          </w:tcPr>
          <w:p>
            <w:pPr>
              <w:jc w:val="center"/>
              <w:rPr>
                <w:rFonts w:hint="default" w:ascii="方正仿宋简体" w:eastAsia="方正仿宋简体" w:cs="Times New Roman"/>
                <w:sz w:val="22"/>
                <w:lang w:val="en-US" w:eastAsia="zh-CN"/>
              </w:rPr>
            </w:pPr>
            <w:r>
              <w:rPr>
                <w:rFonts w:hint="eastAsia" w:ascii="方正仿宋简体" w:eastAsia="方正仿宋简体" w:cs="Times New Roman"/>
                <w:sz w:val="22"/>
                <w:lang w:val="en-US" w:eastAsia="zh-CN"/>
              </w:rPr>
              <w:t>71.73</w:t>
            </w:r>
          </w:p>
        </w:tc>
      </w:tr>
    </w:tbl>
    <w:p>
      <w:pPr>
        <w:autoSpaceDE w:val="0"/>
        <w:autoSpaceDN w:val="0"/>
        <w:adjustRightInd w:val="0"/>
        <w:ind w:left="198"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八、名词解释</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方正仿宋_GBK"/>
          <w:b/>
          <w:bCs/>
          <w:sz w:val="32"/>
          <w:szCs w:val="32"/>
        </w:rPr>
        <w:t>、一般公共预算拨款收入：</w:t>
      </w:r>
      <w:r>
        <w:rPr>
          <w:rFonts w:hint="eastAsia" w:ascii="Times New Roman" w:hAnsi="Times New Roman" w:eastAsia="方正仿宋_GBK" w:cs="方正仿宋_GBK"/>
          <w:sz w:val="32"/>
          <w:szCs w:val="32"/>
        </w:rPr>
        <w:t>指市级财政当年拨付的资金。</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w:t>
      </w:r>
      <w:r>
        <w:rPr>
          <w:rFonts w:hint="eastAsia" w:ascii="Times New Roman" w:hAnsi="Times New Roman" w:eastAsia="方正仿宋_GBK" w:cs="方正仿宋_GBK"/>
          <w:b/>
          <w:bCs/>
          <w:sz w:val="32"/>
          <w:szCs w:val="32"/>
        </w:rPr>
        <w:t>、事业收入：</w:t>
      </w:r>
      <w:r>
        <w:rPr>
          <w:rFonts w:hint="eastAsia" w:ascii="Times New Roman" w:hAnsi="Times New Roman" w:eastAsia="方正仿宋_GBK" w:cs="方正仿宋_GBK"/>
          <w:sz w:val="32"/>
          <w:szCs w:val="32"/>
        </w:rPr>
        <w:t>指事业单位开展专业业务活动及辅助活动所取得的收入。</w:t>
      </w:r>
    </w:p>
    <w:p>
      <w:pPr>
        <w:tabs>
          <w:tab w:val="left" w:pos="11490"/>
        </w:tabs>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3</w:t>
      </w:r>
      <w:r>
        <w:rPr>
          <w:rFonts w:hint="eastAsia" w:ascii="Times New Roman" w:hAnsi="Times New Roman" w:eastAsia="方正仿宋_GBK" w:cs="方正仿宋_GBK"/>
          <w:b/>
          <w:bCs/>
          <w:sz w:val="32"/>
          <w:szCs w:val="32"/>
        </w:rPr>
        <w:t>、其他收入：</w:t>
      </w:r>
      <w:r>
        <w:rPr>
          <w:rFonts w:hint="eastAsia" w:ascii="Times New Roman" w:hAnsi="Times New Roman" w:eastAsia="方正仿宋_GBK" w:cs="方正仿宋_GBK"/>
          <w:sz w:val="32"/>
          <w:szCs w:val="32"/>
        </w:rPr>
        <w:t>指除</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一般公共预算拨款收入</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事业收入</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w:t>
      </w:r>
      <w:r>
        <w:rPr>
          <w:rFonts w:hint="eastAsia" w:ascii="Times New Roman" w:hAnsi="Times New Roman" w:eastAsia="方正仿宋_GBK" w:cs="方正仿宋_GBK"/>
          <w:b/>
          <w:bCs/>
          <w:sz w:val="32"/>
          <w:szCs w:val="32"/>
        </w:rPr>
        <w:t>、基本支出：</w:t>
      </w:r>
      <w:r>
        <w:rPr>
          <w:rFonts w:hint="eastAsia" w:ascii="Times New Roman" w:hAnsi="Times New Roman" w:eastAsia="方正仿宋_GBK" w:cs="方正仿宋_GBK"/>
          <w:sz w:val="32"/>
          <w:szCs w:val="32"/>
        </w:rPr>
        <w:t>指为保障机构正常运转、完成日常工作任务而发生的人员支出和公用支出。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5</w:t>
      </w:r>
      <w:r>
        <w:rPr>
          <w:rFonts w:hint="eastAsia" w:ascii="Times New Roman" w:hAnsi="Times New Roman" w:eastAsia="方正仿宋_GBK" w:cs="方正仿宋_GBK"/>
          <w:b/>
          <w:bCs/>
          <w:sz w:val="32"/>
          <w:szCs w:val="32"/>
        </w:rPr>
        <w:t>、项目支出：</w:t>
      </w:r>
      <w:r>
        <w:rPr>
          <w:rFonts w:hint="eastAsia" w:ascii="Times New Roman" w:hAnsi="Times New Roman" w:eastAsia="方正仿宋_GBK" w:cs="方正仿宋_GBK"/>
          <w:sz w:val="32"/>
          <w:szCs w:val="32"/>
        </w:rPr>
        <w:t>指在基本支出之外为完成特定行政任务和事业发展目标所发生的支出。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6</w:t>
      </w:r>
      <w:r>
        <w:rPr>
          <w:rFonts w:hint="eastAsia" w:ascii="Times New Roman" w:hAnsi="Times New Roman" w:eastAsia="方正仿宋_GBK" w:cs="方正仿宋_GBK"/>
          <w:b/>
          <w:bCs/>
          <w:sz w:val="32"/>
          <w:szCs w:val="32"/>
        </w:rPr>
        <w:t>、上缴上级支出：</w:t>
      </w:r>
      <w:r>
        <w:rPr>
          <w:rFonts w:hint="eastAsia" w:ascii="Times New Roman" w:hAnsi="Times New Roman" w:eastAsia="方正仿宋_GBK" w:cs="方正仿宋_GBK"/>
          <w:sz w:val="32"/>
          <w:szCs w:val="32"/>
        </w:rPr>
        <w:t>指下级单位上缴上级的支出。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7</w:t>
      </w:r>
      <w:r>
        <w:rPr>
          <w:rFonts w:hint="eastAsia" w:ascii="Times New Roman" w:hAnsi="Times New Roman" w:eastAsia="方正仿宋_GBK" w:cs="方正仿宋_GBK"/>
          <w:b/>
          <w:bCs/>
          <w:sz w:val="32"/>
          <w:szCs w:val="32"/>
        </w:rPr>
        <w:t>、</w:t>
      </w:r>
      <w:r>
        <w:rPr>
          <w:rFonts w:ascii="Times New Roman" w:hAnsi="Times New Roman" w:eastAsia="方正仿宋_GBK" w:cs="Times New Roman"/>
          <w:b/>
          <w:bCs/>
          <w:sz w:val="32"/>
          <w:szCs w:val="32"/>
        </w:rPr>
        <w:t>“</w:t>
      </w:r>
      <w:r>
        <w:rPr>
          <w:rFonts w:hint="eastAsia" w:ascii="Times New Roman" w:hAnsi="Times New Roman" w:eastAsia="方正仿宋_GBK" w:cs="方正仿宋_GBK"/>
          <w:b/>
          <w:bCs/>
          <w:sz w:val="32"/>
          <w:szCs w:val="32"/>
        </w:rPr>
        <w:t>三公</w:t>
      </w:r>
      <w:r>
        <w:rPr>
          <w:rFonts w:ascii="Times New Roman" w:hAnsi="Times New Roman" w:eastAsia="方正仿宋_GBK" w:cs="Times New Roman"/>
          <w:b/>
          <w:bCs/>
          <w:sz w:val="32"/>
          <w:szCs w:val="32"/>
        </w:rPr>
        <w:t>”</w:t>
      </w:r>
      <w:r>
        <w:rPr>
          <w:rFonts w:hint="eastAsia" w:ascii="Times New Roman" w:hAnsi="Times New Roman" w:eastAsia="方正仿宋_GBK" w:cs="方正仿宋_GBK"/>
          <w:b/>
          <w:bCs/>
          <w:sz w:val="32"/>
          <w:szCs w:val="32"/>
        </w:rPr>
        <w:t>经费：</w:t>
      </w:r>
      <w:r>
        <w:rPr>
          <w:rFonts w:hint="eastAsia" w:ascii="Times New Roman" w:hAnsi="Times New Roman" w:eastAsia="方正仿宋_GBK" w:cs="方正仿宋_GBK"/>
          <w:sz w:val="32"/>
          <w:szCs w:val="32"/>
        </w:rPr>
        <w:t>纳入市级财政预算管理的</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三公</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8</w:t>
      </w:r>
      <w:r>
        <w:rPr>
          <w:rFonts w:hint="eastAsia" w:ascii="Times New Roman" w:hAnsi="Times New Roman" w:eastAsia="方正仿宋_GBK" w:cs="方正仿宋_GBK"/>
          <w:b/>
          <w:bCs/>
          <w:sz w:val="32"/>
          <w:szCs w:val="32"/>
        </w:rPr>
        <w:t>、机关运行费：</w:t>
      </w:r>
      <w:r>
        <w:rPr>
          <w:rFonts w:hint="eastAsia" w:ascii="Times New Roman" w:hAnsi="Times New Roman" w:eastAsia="方正仿宋_GBK" w:cs="方正仿宋_GBK"/>
          <w:sz w:val="32"/>
          <w:szCs w:val="32"/>
        </w:rPr>
        <w:t>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9</w:t>
      </w:r>
      <w:r>
        <w:rPr>
          <w:rFonts w:hint="eastAsia" w:ascii="Times New Roman" w:hAnsi="Times New Roman" w:eastAsia="方正仿宋_GBK" w:cs="方正仿宋_GBK"/>
          <w:b/>
          <w:bCs/>
          <w:sz w:val="32"/>
          <w:szCs w:val="32"/>
        </w:rPr>
        <w:t>、上年结转：</w:t>
      </w:r>
      <w:r>
        <w:rPr>
          <w:rFonts w:hint="eastAsia" w:ascii="Times New Roman" w:hAnsi="Times New Roman" w:eastAsia="方正仿宋_GBK" w:cs="方正仿宋_GBK"/>
          <w:sz w:val="32"/>
          <w:szCs w:val="32"/>
        </w:rPr>
        <w:t>指以前年度尚未完成、结转到本年仍按原规定用途继续使用的资金。</w:t>
      </w:r>
    </w:p>
    <w:p>
      <w:pPr>
        <w:autoSpaceDE w:val="0"/>
        <w:autoSpaceDN w:val="0"/>
        <w:adjustRightInd w:val="0"/>
        <w:ind w:left="198"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九、其他需要说明的事项</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、遵化市委老干部局</w:t>
      </w:r>
      <w:r>
        <w:rPr>
          <w:rFonts w:hint="eastAsia" w:ascii="Times New Roman" w:hAnsi="Times New Roman" w:eastAsia="方正仿宋_GBK" w:cs="Times New Roman"/>
          <w:sz w:val="32"/>
          <w:szCs w:val="32"/>
          <w:lang w:eastAsia="zh-CN"/>
        </w:rPr>
        <w:t>2020</w:t>
      </w:r>
      <w:r>
        <w:rPr>
          <w:rFonts w:hint="eastAsia" w:ascii="Times New Roman" w:hAnsi="Times New Roman" w:eastAsia="方正仿宋_GBK" w:cs="方正仿宋_GBK"/>
          <w:sz w:val="32"/>
          <w:szCs w:val="32"/>
        </w:rPr>
        <w:t>年部门预算中未安排政府性基金预算，故政府性基金预算支出表为空。</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、遵化市委老干部局</w:t>
      </w:r>
      <w:r>
        <w:rPr>
          <w:rFonts w:hint="eastAsia" w:ascii="Times New Roman" w:hAnsi="Times New Roman" w:eastAsia="方正仿宋_GBK" w:cs="Times New Roman"/>
          <w:sz w:val="32"/>
          <w:szCs w:val="32"/>
          <w:lang w:eastAsia="zh-CN"/>
        </w:rPr>
        <w:t>2020</w:t>
      </w:r>
      <w:r>
        <w:rPr>
          <w:rFonts w:hint="eastAsia" w:ascii="Times New Roman" w:hAnsi="Times New Roman" w:eastAsia="方正仿宋_GBK" w:cs="方正仿宋_GBK"/>
          <w:sz w:val="32"/>
          <w:szCs w:val="32"/>
        </w:rPr>
        <w:t>年部门预算中未安排国有资本经营预算，故国有资本经营预算支出表为空。</w:t>
      </w:r>
    </w:p>
    <w:p>
      <w:pPr>
        <w:ind w:firstLine="420" w:firstLineChars="200"/>
        <w:rPr>
          <w:rFonts w:cs="Times New Roman"/>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书宋_GBK">
    <w:panose1 w:val="02000000000000000000"/>
    <w:charset w:val="86"/>
    <w:family w:val="roman"/>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9</w:t>
    </w:r>
    <w:r>
      <w:rPr>
        <w:lang w:val="zh-CN"/>
      </w:rPr>
      <w:fldChar w:fldCharType="end"/>
    </w:r>
    <w: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81EBBC"/>
    <w:multiLevelType w:val="singleLevel"/>
    <w:tmpl w:val="EE81EBBC"/>
    <w:lvl w:ilvl="0" w:tentative="0">
      <w:start w:val="1"/>
      <w:numFmt w:val="chineseCounting"/>
      <w:suff w:val="nothing"/>
      <w:lvlText w:val="（%1）"/>
      <w:lvlJc w:val="left"/>
      <w:rPr>
        <w:rFonts w:hint="eastAsia" w:ascii="仿宋" w:hAnsi="仿宋" w:eastAsia="仿宋" w:cs="Times New Roman"/>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JiNWRkODBiOWFmOGE3ZWQ2ZDAzMWJhYWM2Njc2NGIifQ=="/>
  </w:docVars>
  <w:rsids>
    <w:rsidRoot w:val="00F66032"/>
    <w:rsid w:val="000053CC"/>
    <w:rsid w:val="00037AF6"/>
    <w:rsid w:val="00040969"/>
    <w:rsid w:val="0004565F"/>
    <w:rsid w:val="0006316C"/>
    <w:rsid w:val="00072187"/>
    <w:rsid w:val="00075D5F"/>
    <w:rsid w:val="0009639C"/>
    <w:rsid w:val="000A0809"/>
    <w:rsid w:val="000A7F7B"/>
    <w:rsid w:val="000B529B"/>
    <w:rsid w:val="000C24E6"/>
    <w:rsid w:val="000C319C"/>
    <w:rsid w:val="000C3A19"/>
    <w:rsid w:val="000C4D3E"/>
    <w:rsid w:val="000D6554"/>
    <w:rsid w:val="00110229"/>
    <w:rsid w:val="001245BB"/>
    <w:rsid w:val="001251A3"/>
    <w:rsid w:val="0012572D"/>
    <w:rsid w:val="0012741F"/>
    <w:rsid w:val="0013080B"/>
    <w:rsid w:val="00132600"/>
    <w:rsid w:val="001643E8"/>
    <w:rsid w:val="001840C3"/>
    <w:rsid w:val="001919C4"/>
    <w:rsid w:val="0019723B"/>
    <w:rsid w:val="001C1C0F"/>
    <w:rsid w:val="001E0757"/>
    <w:rsid w:val="001E6DDC"/>
    <w:rsid w:val="001F581B"/>
    <w:rsid w:val="001F7873"/>
    <w:rsid w:val="00201D2A"/>
    <w:rsid w:val="00241FD4"/>
    <w:rsid w:val="00244FC6"/>
    <w:rsid w:val="002479FF"/>
    <w:rsid w:val="00251B12"/>
    <w:rsid w:val="00265318"/>
    <w:rsid w:val="002835D7"/>
    <w:rsid w:val="00290FD6"/>
    <w:rsid w:val="00296113"/>
    <w:rsid w:val="002A5CDE"/>
    <w:rsid w:val="002A673A"/>
    <w:rsid w:val="002C1904"/>
    <w:rsid w:val="002C5E13"/>
    <w:rsid w:val="002C62BC"/>
    <w:rsid w:val="002E0EB8"/>
    <w:rsid w:val="002F3E58"/>
    <w:rsid w:val="0030542C"/>
    <w:rsid w:val="00306ADE"/>
    <w:rsid w:val="00311B7A"/>
    <w:rsid w:val="00313D9C"/>
    <w:rsid w:val="003168AE"/>
    <w:rsid w:val="00327DA8"/>
    <w:rsid w:val="00334DC0"/>
    <w:rsid w:val="00344EB0"/>
    <w:rsid w:val="00364D7A"/>
    <w:rsid w:val="00370F03"/>
    <w:rsid w:val="0037243D"/>
    <w:rsid w:val="003976F4"/>
    <w:rsid w:val="003B0ED7"/>
    <w:rsid w:val="003D231D"/>
    <w:rsid w:val="003D4205"/>
    <w:rsid w:val="003D612A"/>
    <w:rsid w:val="00424943"/>
    <w:rsid w:val="0042727E"/>
    <w:rsid w:val="0043175C"/>
    <w:rsid w:val="00437296"/>
    <w:rsid w:val="00440EAD"/>
    <w:rsid w:val="00451590"/>
    <w:rsid w:val="00451871"/>
    <w:rsid w:val="0046674E"/>
    <w:rsid w:val="004706DE"/>
    <w:rsid w:val="00471528"/>
    <w:rsid w:val="00472923"/>
    <w:rsid w:val="00486DCD"/>
    <w:rsid w:val="0049269A"/>
    <w:rsid w:val="004A32CA"/>
    <w:rsid w:val="004B0C3A"/>
    <w:rsid w:val="004C49A8"/>
    <w:rsid w:val="004D5788"/>
    <w:rsid w:val="004E3066"/>
    <w:rsid w:val="004E419C"/>
    <w:rsid w:val="004E74CD"/>
    <w:rsid w:val="004E7EB0"/>
    <w:rsid w:val="005063D7"/>
    <w:rsid w:val="00514A13"/>
    <w:rsid w:val="00520C66"/>
    <w:rsid w:val="00524EFD"/>
    <w:rsid w:val="00527C83"/>
    <w:rsid w:val="005341C5"/>
    <w:rsid w:val="00544EF5"/>
    <w:rsid w:val="00572067"/>
    <w:rsid w:val="00573562"/>
    <w:rsid w:val="00590867"/>
    <w:rsid w:val="00590ECE"/>
    <w:rsid w:val="005F5714"/>
    <w:rsid w:val="00611D03"/>
    <w:rsid w:val="00614A29"/>
    <w:rsid w:val="00626CE4"/>
    <w:rsid w:val="00652F91"/>
    <w:rsid w:val="00656DA4"/>
    <w:rsid w:val="00673D76"/>
    <w:rsid w:val="0068292B"/>
    <w:rsid w:val="006854F0"/>
    <w:rsid w:val="00692983"/>
    <w:rsid w:val="00694C79"/>
    <w:rsid w:val="00696E9C"/>
    <w:rsid w:val="006B1C4A"/>
    <w:rsid w:val="006B610D"/>
    <w:rsid w:val="006E26B1"/>
    <w:rsid w:val="006E49F5"/>
    <w:rsid w:val="0070072D"/>
    <w:rsid w:val="007013C8"/>
    <w:rsid w:val="007148AA"/>
    <w:rsid w:val="00753836"/>
    <w:rsid w:val="0075393C"/>
    <w:rsid w:val="00754592"/>
    <w:rsid w:val="00776191"/>
    <w:rsid w:val="00776C08"/>
    <w:rsid w:val="0078255E"/>
    <w:rsid w:val="0078481F"/>
    <w:rsid w:val="00786004"/>
    <w:rsid w:val="007C219A"/>
    <w:rsid w:val="007D14B3"/>
    <w:rsid w:val="007E1DA8"/>
    <w:rsid w:val="007F6C26"/>
    <w:rsid w:val="0080406E"/>
    <w:rsid w:val="00805737"/>
    <w:rsid w:val="00807721"/>
    <w:rsid w:val="00811ADD"/>
    <w:rsid w:val="00813208"/>
    <w:rsid w:val="008334AE"/>
    <w:rsid w:val="00836FED"/>
    <w:rsid w:val="0083724E"/>
    <w:rsid w:val="00841D53"/>
    <w:rsid w:val="00845CD2"/>
    <w:rsid w:val="00852B0D"/>
    <w:rsid w:val="008649F8"/>
    <w:rsid w:val="00864B7F"/>
    <w:rsid w:val="00875319"/>
    <w:rsid w:val="00881692"/>
    <w:rsid w:val="00881F8F"/>
    <w:rsid w:val="0088726D"/>
    <w:rsid w:val="008A6576"/>
    <w:rsid w:val="008B3CC5"/>
    <w:rsid w:val="008B52CD"/>
    <w:rsid w:val="008C4DBE"/>
    <w:rsid w:val="008C7C4D"/>
    <w:rsid w:val="008D5E83"/>
    <w:rsid w:val="008E4261"/>
    <w:rsid w:val="008E70D4"/>
    <w:rsid w:val="008F4662"/>
    <w:rsid w:val="00905D08"/>
    <w:rsid w:val="00925753"/>
    <w:rsid w:val="009273D2"/>
    <w:rsid w:val="009425F4"/>
    <w:rsid w:val="00943BD8"/>
    <w:rsid w:val="009512B4"/>
    <w:rsid w:val="00954B2C"/>
    <w:rsid w:val="00961F11"/>
    <w:rsid w:val="00966C5C"/>
    <w:rsid w:val="00973104"/>
    <w:rsid w:val="00995BF0"/>
    <w:rsid w:val="009A0AAD"/>
    <w:rsid w:val="009A16D5"/>
    <w:rsid w:val="009A353D"/>
    <w:rsid w:val="009B0B77"/>
    <w:rsid w:val="009B0E8C"/>
    <w:rsid w:val="009B511E"/>
    <w:rsid w:val="009D37D3"/>
    <w:rsid w:val="009F34DE"/>
    <w:rsid w:val="00A1623A"/>
    <w:rsid w:val="00A16E6C"/>
    <w:rsid w:val="00A2573D"/>
    <w:rsid w:val="00A3151D"/>
    <w:rsid w:val="00A40F60"/>
    <w:rsid w:val="00A44E3D"/>
    <w:rsid w:val="00A5137A"/>
    <w:rsid w:val="00A5760B"/>
    <w:rsid w:val="00A72D2E"/>
    <w:rsid w:val="00A74447"/>
    <w:rsid w:val="00A74CE5"/>
    <w:rsid w:val="00A77500"/>
    <w:rsid w:val="00A911E7"/>
    <w:rsid w:val="00A939D9"/>
    <w:rsid w:val="00AC3531"/>
    <w:rsid w:val="00AD5259"/>
    <w:rsid w:val="00AE189F"/>
    <w:rsid w:val="00AF30CD"/>
    <w:rsid w:val="00AF3F23"/>
    <w:rsid w:val="00B01D36"/>
    <w:rsid w:val="00B078CD"/>
    <w:rsid w:val="00B12468"/>
    <w:rsid w:val="00B20712"/>
    <w:rsid w:val="00B36FCE"/>
    <w:rsid w:val="00B43238"/>
    <w:rsid w:val="00B45DD3"/>
    <w:rsid w:val="00B464A3"/>
    <w:rsid w:val="00B6313C"/>
    <w:rsid w:val="00B73582"/>
    <w:rsid w:val="00B75216"/>
    <w:rsid w:val="00B755A2"/>
    <w:rsid w:val="00B9104C"/>
    <w:rsid w:val="00B91D52"/>
    <w:rsid w:val="00B935AF"/>
    <w:rsid w:val="00B9490F"/>
    <w:rsid w:val="00B96A3A"/>
    <w:rsid w:val="00BA1ACD"/>
    <w:rsid w:val="00BB21CA"/>
    <w:rsid w:val="00BD09F8"/>
    <w:rsid w:val="00BD6DB9"/>
    <w:rsid w:val="00BE6535"/>
    <w:rsid w:val="00BF3BEB"/>
    <w:rsid w:val="00C005B2"/>
    <w:rsid w:val="00C04F94"/>
    <w:rsid w:val="00C07D11"/>
    <w:rsid w:val="00C20F3B"/>
    <w:rsid w:val="00C67092"/>
    <w:rsid w:val="00CA7176"/>
    <w:rsid w:val="00CC437A"/>
    <w:rsid w:val="00CC75B0"/>
    <w:rsid w:val="00CD2773"/>
    <w:rsid w:val="00CE01BA"/>
    <w:rsid w:val="00CE143B"/>
    <w:rsid w:val="00CE36A8"/>
    <w:rsid w:val="00CF4836"/>
    <w:rsid w:val="00CF62DA"/>
    <w:rsid w:val="00CF779B"/>
    <w:rsid w:val="00D0352F"/>
    <w:rsid w:val="00D07DBA"/>
    <w:rsid w:val="00D27003"/>
    <w:rsid w:val="00D307D7"/>
    <w:rsid w:val="00D35519"/>
    <w:rsid w:val="00D53166"/>
    <w:rsid w:val="00D9307A"/>
    <w:rsid w:val="00D937CD"/>
    <w:rsid w:val="00E008D9"/>
    <w:rsid w:val="00E02E23"/>
    <w:rsid w:val="00E155B6"/>
    <w:rsid w:val="00E167C7"/>
    <w:rsid w:val="00E24C2F"/>
    <w:rsid w:val="00E55B78"/>
    <w:rsid w:val="00E71348"/>
    <w:rsid w:val="00E76361"/>
    <w:rsid w:val="00EA6E71"/>
    <w:rsid w:val="00EB4B25"/>
    <w:rsid w:val="00EC47F6"/>
    <w:rsid w:val="00EC67AC"/>
    <w:rsid w:val="00EF08C9"/>
    <w:rsid w:val="00EF0FE3"/>
    <w:rsid w:val="00EF535E"/>
    <w:rsid w:val="00F237B9"/>
    <w:rsid w:val="00F27AAD"/>
    <w:rsid w:val="00F41509"/>
    <w:rsid w:val="00F471F7"/>
    <w:rsid w:val="00F66032"/>
    <w:rsid w:val="00F74CC2"/>
    <w:rsid w:val="00F83B96"/>
    <w:rsid w:val="00F8441D"/>
    <w:rsid w:val="00F87C1E"/>
    <w:rsid w:val="00F90F23"/>
    <w:rsid w:val="00F958C2"/>
    <w:rsid w:val="00FA740E"/>
    <w:rsid w:val="00FC06C7"/>
    <w:rsid w:val="00FC1F00"/>
    <w:rsid w:val="00FD5DB4"/>
    <w:rsid w:val="00FD6040"/>
    <w:rsid w:val="00FE1724"/>
    <w:rsid w:val="00FE5210"/>
    <w:rsid w:val="00FF1507"/>
    <w:rsid w:val="02B32C00"/>
    <w:rsid w:val="02EC0E80"/>
    <w:rsid w:val="04B11E9F"/>
    <w:rsid w:val="09A54FB6"/>
    <w:rsid w:val="0D510078"/>
    <w:rsid w:val="106547B9"/>
    <w:rsid w:val="10ED5CB6"/>
    <w:rsid w:val="12634A07"/>
    <w:rsid w:val="13BD434A"/>
    <w:rsid w:val="18A145E9"/>
    <w:rsid w:val="1AEA7F65"/>
    <w:rsid w:val="23F76A7B"/>
    <w:rsid w:val="29197852"/>
    <w:rsid w:val="2AB74DAC"/>
    <w:rsid w:val="2D0D562D"/>
    <w:rsid w:val="2D485DB7"/>
    <w:rsid w:val="2D8249E6"/>
    <w:rsid w:val="30D43F68"/>
    <w:rsid w:val="323D7C6C"/>
    <w:rsid w:val="327B0795"/>
    <w:rsid w:val="32B83A6B"/>
    <w:rsid w:val="363233FC"/>
    <w:rsid w:val="36B2385A"/>
    <w:rsid w:val="38561924"/>
    <w:rsid w:val="38602984"/>
    <w:rsid w:val="39730BCA"/>
    <w:rsid w:val="3A9D48AF"/>
    <w:rsid w:val="3CF326BB"/>
    <w:rsid w:val="3DB57FED"/>
    <w:rsid w:val="3E1201FF"/>
    <w:rsid w:val="3E1C107E"/>
    <w:rsid w:val="40C5659A"/>
    <w:rsid w:val="40EA19F2"/>
    <w:rsid w:val="410018BF"/>
    <w:rsid w:val="473146F7"/>
    <w:rsid w:val="49251E17"/>
    <w:rsid w:val="4B1B115B"/>
    <w:rsid w:val="4D1A0E7E"/>
    <w:rsid w:val="518965D2"/>
    <w:rsid w:val="51F65E83"/>
    <w:rsid w:val="53774007"/>
    <w:rsid w:val="55FB1F14"/>
    <w:rsid w:val="57102A89"/>
    <w:rsid w:val="58463D58"/>
    <w:rsid w:val="5B0E70AB"/>
    <w:rsid w:val="5B6559BA"/>
    <w:rsid w:val="5DC81239"/>
    <w:rsid w:val="61F77CC8"/>
    <w:rsid w:val="65AA4B58"/>
    <w:rsid w:val="6E2077FB"/>
    <w:rsid w:val="6E9145C7"/>
    <w:rsid w:val="723B0FB7"/>
    <w:rsid w:val="72835D5C"/>
    <w:rsid w:val="747F4279"/>
    <w:rsid w:val="75047E35"/>
    <w:rsid w:val="76DB2742"/>
    <w:rsid w:val="78B60C3A"/>
    <w:rsid w:val="78F63C9E"/>
    <w:rsid w:val="7C684D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autoRedefine/>
    <w:semiHidden/>
    <w:qFormat/>
    <w:uiPriority w:val="99"/>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qFormat/>
    <w:uiPriority w:val="99"/>
    <w:rPr>
      <w:sz w:val="18"/>
      <w:szCs w:val="18"/>
    </w:rPr>
  </w:style>
  <w:style w:type="paragraph" w:styleId="3">
    <w:name w:val="footer"/>
    <w:basedOn w:val="1"/>
    <w:link w:val="12"/>
    <w:autoRedefine/>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3"/>
    <w:autoRedefine/>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semiHidden/>
    <w:qFormat/>
    <w:uiPriority w:val="99"/>
    <w:rPr>
      <w:rFonts w:ascii="Times New Roman" w:hAnsi="Times New Roman" w:cs="Times New Roman"/>
    </w:rPr>
  </w:style>
  <w:style w:type="paragraph" w:styleId="6">
    <w:name w:val="footnote text"/>
    <w:basedOn w:val="1"/>
    <w:link w:val="14"/>
    <w:autoRedefine/>
    <w:semiHidden/>
    <w:uiPriority w:val="99"/>
    <w:pPr>
      <w:snapToGrid w:val="0"/>
      <w:jc w:val="left"/>
    </w:pPr>
    <w:rPr>
      <w:sz w:val="18"/>
      <w:szCs w:val="18"/>
    </w:rPr>
  </w:style>
  <w:style w:type="paragraph" w:styleId="7">
    <w:name w:val="toc 2"/>
    <w:basedOn w:val="1"/>
    <w:next w:val="1"/>
    <w:semiHidden/>
    <w:uiPriority w:val="99"/>
    <w:pPr>
      <w:ind w:left="420" w:leftChars="200"/>
    </w:pPr>
    <w:rPr>
      <w:rFonts w:ascii="Times New Roman" w:hAnsi="Times New Roman" w:cs="Times New Roman"/>
    </w:rPr>
  </w:style>
  <w:style w:type="character" w:styleId="10">
    <w:name w:val="footnote reference"/>
    <w:basedOn w:val="9"/>
    <w:semiHidden/>
    <w:qFormat/>
    <w:uiPriority w:val="99"/>
    <w:rPr>
      <w:rFonts w:cs="Times New Roman"/>
      <w:vertAlign w:val="superscript"/>
    </w:rPr>
  </w:style>
  <w:style w:type="character" w:customStyle="1" w:styleId="11">
    <w:name w:val="Balloon Text Char"/>
    <w:basedOn w:val="9"/>
    <w:link w:val="2"/>
    <w:semiHidden/>
    <w:locked/>
    <w:uiPriority w:val="99"/>
    <w:rPr>
      <w:rFonts w:cs="Times New Roman"/>
      <w:sz w:val="18"/>
      <w:szCs w:val="18"/>
    </w:rPr>
  </w:style>
  <w:style w:type="character" w:customStyle="1" w:styleId="12">
    <w:name w:val="Footer Char"/>
    <w:basedOn w:val="9"/>
    <w:link w:val="3"/>
    <w:autoRedefine/>
    <w:locked/>
    <w:uiPriority w:val="99"/>
    <w:rPr>
      <w:rFonts w:ascii="Times New Roman" w:hAnsi="Times New Roman" w:eastAsia="宋体" w:cs="Times New Roman"/>
      <w:sz w:val="18"/>
      <w:szCs w:val="18"/>
    </w:rPr>
  </w:style>
  <w:style w:type="character" w:customStyle="1" w:styleId="13">
    <w:name w:val="Header Char"/>
    <w:basedOn w:val="9"/>
    <w:link w:val="4"/>
    <w:qFormat/>
    <w:locked/>
    <w:uiPriority w:val="99"/>
    <w:rPr>
      <w:rFonts w:ascii="Times New Roman" w:hAnsi="Times New Roman" w:eastAsia="宋体" w:cs="Times New Roman"/>
      <w:sz w:val="18"/>
      <w:szCs w:val="18"/>
    </w:rPr>
  </w:style>
  <w:style w:type="character" w:customStyle="1" w:styleId="14">
    <w:name w:val="Footnote Text Char"/>
    <w:basedOn w:val="9"/>
    <w:link w:val="6"/>
    <w:semiHidden/>
    <w:locked/>
    <w:uiPriority w:val="99"/>
    <w:rPr>
      <w:rFonts w:ascii="Calibri" w:hAnsi="Calibri" w:eastAsia="宋体" w:cs="Calibri"/>
      <w:sz w:val="18"/>
      <w:szCs w:val="18"/>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6">
    <w:name w:val="p0"/>
    <w:basedOn w:val="1"/>
    <w:uiPriority w:val="99"/>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12</Pages>
  <Words>665</Words>
  <Characters>3796</Characters>
  <Lines>0</Lines>
  <Paragraphs>0</Paragraphs>
  <TotalTime>68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Administrator</cp:lastModifiedBy>
  <cp:lastPrinted>2018-01-30T06:12:00Z</cp:lastPrinted>
  <dcterms:modified xsi:type="dcterms:W3CDTF">2024-03-19T08:54:53Z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B8FB88C7F1854982858F3B3AF68DEB84_12</vt:lpwstr>
  </property>
</Properties>
</file>