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" w:name="_GoBack"/>
      <w:r>
        <w:rPr>
          <w:rFonts w:ascii="方正小标宋_GBK" w:hAnsi="方正小标宋_GBK" w:eastAsia="方正小标宋_GBK" w:cs="方正小标宋_GBK"/>
          <w:color w:val="000000"/>
          <w:sz w:val="72"/>
        </w:rPr>
        <w:t>遵化市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汤泉满族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乡人民政府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bookmarkEnd w:id="1"/>
    <w:p>
      <w:pPr>
        <w:spacing w:before="0" w:after="0" w:line="240" w:lineRule="auto"/>
        <w:ind w:firstLine="0"/>
        <w:jc w:val="center"/>
        <w:outlineLvl w:val="9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汤泉满族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乡人民政府编制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  <w:t>局审核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1.服务群众专项经费绩效目标表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32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widowControl/>
        <w:spacing w:before="0" w:after="0" w:line="240" w:lineRule="auto"/>
        <w:ind w:firstLine="0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lang w:eastAsia="uk-U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lang w:eastAsia="uk-UA"/>
        </w:rPr>
        <w:t>第一部分</w:t>
      </w:r>
    </w:p>
    <w:p>
      <w:pPr>
        <w:widowControl/>
        <w:spacing w:before="0" w:after="0" w:line="240" w:lineRule="auto"/>
        <w:ind w:firstLine="0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lang w:eastAsia="uk-U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lang w:eastAsia="uk-UA"/>
        </w:rPr>
        <w:t>部门整体绩效目标</w:t>
      </w:r>
    </w:p>
    <w:p>
      <w:pPr>
        <w:widowControl/>
        <w:spacing w:before="10" w:after="10"/>
        <w:ind w:firstLine="560"/>
        <w:jc w:val="left"/>
        <w:outlineLvl w:val="1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uk-U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uk-UA"/>
        </w:rPr>
        <w:t>一、总体绩效目标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遵化市汤泉满族乡人民政府部门总体绩效目标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遵政字[2017]17号《遵化市乡镇财政管理体制改革暂行办法》的通知要求，2022年我乡在环境治理方面要抓好村级环境整治，全面提升乡村宜居环境水平，保障我乡主干道等区域配齐环卫设施，推进户分类、组收集、村运转、乡处理垃圾集中收集，改善10个村生态环境，保障我乡环保等各项检查达标;在乡镇维稳方面主要是减少我乡社会不安定因素和矛盾红纷，指导和督促有关部门，充分发挥人民调解、行政调解、司法调解、防范重大安全事故，保障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二、分项绩效目标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完成服务群众专项经费项目，主要用于乡镇群众服务工作。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绩效目标:保障我乡主干道等区域配齐环卫设施，保障我乡主干道等区域配齐环卫设施，推进户分类、组收集、村远转、乡镇处理垃圾收集，改善10个村生态环境。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:覆盖全乡10个村;环境卫生质量提升率95%以上;垃圾桶正常使用率95%以上;资金成本使用率100%;带动经济发展率95%以上生活垃圾处理率95%以上;生态环境质量改善率95%以上;人居生活环境改善率95%以上;服务对象满意度提升率95%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三、工作保障措施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(一)完善制度建设。制定完善预算绩效管理制度、资金管理办法、工作保障制度等，为全年预算绩效目标的实现奠定制度基础。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(二)加强支出管理。通过优化支出结构、编细编实预算、加快履行政府采购手续、尽快启动项目、及时支付资金、6月底前细化代编预算、按规定及时下达资金等多种措施，确保支出进度达标。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(三)加强绩效运行监控。按要求开展绩效运行监控，发现问题及时采取措施，确保绩效目标如期保质实现。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(四)做好绩效自评。按要求开展上年度部门预算绩效自评和重点评价工作，对评价中发现的问题及时整改，调整优化支出结构，提高财政资金使用效益。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(五)规范财务资产管理。完善财务管理制度，严格审批程序，加强固定资产登记、使用和报废处置管理，做到支出合理，物尽其用。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六)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(七)加强宣传培训调研。加强人员培训，提高本部门职工业务素质;加强调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吧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研，提出优化财政资金配置、提高资金使用效益的意见意见;加大宣传力度，强化预算绩效管理意识，促进预算绩效管理水平进一步提升。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1.服务群众专项经费绩效目标表</w:t>
      </w:r>
      <w:bookmarkEnd w:id="0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6</w:t>
            </w:r>
            <w:r>
              <w:rPr>
                <w:rFonts w:hint="eastAsia"/>
                <w:lang w:val="en-US" w:eastAsia="zh-CN"/>
              </w:rPr>
              <w:t>36</w:t>
            </w:r>
            <w:r>
              <w:t>001遵化市</w:t>
            </w:r>
            <w:r>
              <w:rPr>
                <w:rFonts w:hint="eastAsia"/>
                <w:lang w:val="en-US" w:eastAsia="zh-CN"/>
              </w:rPr>
              <w:t>汤泉满族</w:t>
            </w:r>
            <w:r>
              <w:t>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8"/>
              <w:rPr>
                <w:rFonts w:hint="default" w:eastAsia="方正书宋_GBK"/>
                <w:lang w:val="en-US" w:eastAsia="zh-CN"/>
              </w:rPr>
            </w:pPr>
            <w:r>
              <w:t>13028122P00239</w:t>
            </w:r>
            <w:r>
              <w:rPr>
                <w:rFonts w:hint="eastAsia"/>
                <w:lang w:val="en-US" w:eastAsia="zh-CN"/>
              </w:rPr>
              <w:t>0</w:t>
            </w:r>
            <w:r>
              <w:t>1000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8"/>
            </w:pPr>
            <w: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rPr>
                <w:rFonts w:hint="eastAsia"/>
                <w:lang w:val="en-US" w:eastAsia="zh-CN"/>
              </w:rPr>
              <w:t>50</w:t>
            </w:r>
            <w:r>
              <w:t>.00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8"/>
            </w:pPr>
            <w:r>
              <w:rPr>
                <w:rFonts w:hint="eastAsia"/>
                <w:lang w:val="en-US" w:eastAsia="zh-CN"/>
              </w:rPr>
              <w:t>50</w:t>
            </w:r>
            <w:r>
              <w:t>.00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8"/>
            </w:pPr>
            <w: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7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7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9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9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9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8"/>
            </w:pPr>
            <w:r>
              <w:t>1.保障各村集体环境达标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8"/>
            </w:pPr>
          </w:p>
          <w:p>
            <w:pPr>
              <w:pStyle w:val="8"/>
            </w:pPr>
            <w:r>
              <w:t>2.防止病毒蔓延，保障环境质量提升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8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  <w:rPr>
                <w:rFonts w:hint="eastAsia" w:eastAsia="方正书宋_GBK"/>
                <w:lang w:val="en-US" w:eastAsia="zh-CN"/>
              </w:rPr>
            </w:pPr>
            <w:r>
              <w:t>辖区村</w:t>
            </w:r>
            <w:r>
              <w:rPr>
                <w:rFonts w:hint="eastAsia"/>
                <w:lang w:val="en-US" w:eastAsia="zh-CN"/>
              </w:rPr>
              <w:t>个数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rPr>
                <w:rFonts w:hint="eastAsia"/>
                <w:lang w:val="en-US" w:eastAsia="zh-CN"/>
              </w:rPr>
              <w:t>10</w:t>
            </w:r>
            <w: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8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招投标服务合同</w:t>
            </w:r>
          </w:p>
        </w:tc>
      </w:tr>
    </w:tbl>
    <w:p/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MDhlMzc4YzlmMmIyNDFjYzkyOWJmMWZiMWM2OTIifQ=="/>
  </w:docVars>
  <w:rsids>
    <w:rsidRoot w:val="00000000"/>
    <w:rsid w:val="34E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customStyle="1" w:styleId="5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2022-06-23T07:17:00Z</dcterms:created>
  <dc:creator>lenovo</dc:creator>
  <cp:lastModifiedBy>lenovo</cp:lastModifiedBy>
  <dcterms:modified xsi:type="dcterms:W3CDTF">2022-06-23T07:36:04Z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1EC2AD1B32AF4BFFB57F2562B9B407C5</vt:lpwstr>
  </property>
</Properties>
</file>