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ind w:firstLine="420" w:firstLineChars="200"/>
        <w:rPr>
          <w:rFonts w:hint="eastAsia" w:eastAsia="宋体"/>
          <w:lang w:eastAsia="zh-CN"/>
        </w:rPr>
      </w:pPr>
    </w:p>
    <w:p>
      <w:pPr>
        <w:adjustRightInd w:val="0"/>
        <w:snapToGrid w:val="0"/>
        <w:spacing w:line="570" w:lineRule="exact"/>
        <w:jc w:val="left"/>
        <w:rPr>
          <w:rFonts w:ascii="宋体" w:hAnsi="宋体" w:eastAsia="方正小标宋简体"/>
          <w:kern w:val="0"/>
          <w:sz w:val="30"/>
          <w:szCs w:val="30"/>
        </w:rPr>
      </w:pPr>
      <w:r>
        <w:rPr>
          <w:rFonts w:hint="eastAsia" w:ascii="宋体" w:hAnsi="宋体" w:eastAsia="方正小标宋简体"/>
          <w:kern w:val="0"/>
          <w:sz w:val="30"/>
          <w:szCs w:val="30"/>
        </w:rPr>
        <w:t xml:space="preserve">附件1 </w:t>
      </w:r>
    </w:p>
    <w:p>
      <w:pPr>
        <w:adjustRightInd w:val="0"/>
        <w:snapToGrid w:val="0"/>
        <w:spacing w:line="570" w:lineRule="exact"/>
        <w:jc w:val="center"/>
        <w:rPr>
          <w:rFonts w:ascii="宋体" w:hAnsi="宋体" w:eastAsia="方正小标宋简体"/>
          <w:kern w:val="0"/>
          <w:sz w:val="40"/>
          <w:szCs w:val="40"/>
        </w:rPr>
      </w:pPr>
      <w:r>
        <w:rPr>
          <w:rFonts w:hint="eastAsia" w:ascii="宋体" w:hAnsi="宋体" w:eastAsia="方正小标宋简体"/>
          <w:kern w:val="0"/>
          <w:sz w:val="40"/>
          <w:szCs w:val="40"/>
        </w:rPr>
        <w:t>遵化市卫生健康局下放行政处罚事项清单</w:t>
      </w:r>
    </w:p>
    <w:tbl>
      <w:tblPr>
        <w:tblStyle w:val="5"/>
        <w:tblpPr w:leftFromText="180" w:rightFromText="180" w:vertAnchor="text" w:horzAnchor="page" w:tblpX="1559" w:tblpY="257"/>
        <w:tblOverlap w:val="never"/>
        <w:tblW w:w="9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0"/>
        <w:gridCol w:w="3650"/>
        <w:gridCol w:w="3525"/>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10" w:type="dxa"/>
            <w:tcMar>
              <w:top w:w="10" w:type="dxa"/>
              <w:left w:w="10" w:type="dxa"/>
              <w:right w:w="10" w:type="dxa"/>
            </w:tcMar>
            <w:vAlign w:val="center"/>
          </w:tcPr>
          <w:p>
            <w:pPr>
              <w:widowControl/>
              <w:spacing w:line="570" w:lineRule="exact"/>
              <w:jc w:val="center"/>
              <w:textAlignment w:val="center"/>
              <w:rPr>
                <w:rFonts w:ascii="宋体" w:hAnsi="宋体" w:eastAsia="方正黑体简体" w:cs="方正黑体简体"/>
                <w:bCs/>
                <w:color w:val="000000"/>
                <w:sz w:val="24"/>
                <w:szCs w:val="24"/>
              </w:rPr>
            </w:pPr>
            <w:r>
              <w:rPr>
                <w:rStyle w:val="9"/>
                <w:rFonts w:hint="default" w:ascii="宋体" w:hAnsi="宋体" w:eastAsia="方正黑体简体" w:cs="方正黑体简体"/>
                <w:b w:val="0"/>
                <w:bCs/>
                <w:sz w:val="24"/>
                <w:szCs w:val="24"/>
              </w:rPr>
              <w:t>序号</w:t>
            </w:r>
          </w:p>
        </w:tc>
        <w:tc>
          <w:tcPr>
            <w:tcW w:w="3650" w:type="dxa"/>
            <w:tcMar>
              <w:top w:w="10" w:type="dxa"/>
              <w:left w:w="10" w:type="dxa"/>
              <w:right w:w="10" w:type="dxa"/>
            </w:tcMar>
            <w:vAlign w:val="center"/>
          </w:tcPr>
          <w:p>
            <w:pPr>
              <w:widowControl/>
              <w:spacing w:line="570" w:lineRule="exact"/>
              <w:jc w:val="center"/>
              <w:textAlignment w:val="center"/>
              <w:rPr>
                <w:rFonts w:ascii="宋体" w:hAnsi="宋体" w:eastAsia="方正黑体简体" w:cs="方正黑体简体"/>
                <w:bCs/>
                <w:color w:val="000000"/>
                <w:sz w:val="24"/>
                <w:szCs w:val="24"/>
              </w:rPr>
            </w:pPr>
            <w:r>
              <w:rPr>
                <w:rStyle w:val="9"/>
                <w:rFonts w:hint="default" w:ascii="宋体" w:hAnsi="宋体" w:eastAsia="方正黑体简体" w:cs="方正黑体简体"/>
                <w:b w:val="0"/>
                <w:bCs/>
                <w:sz w:val="24"/>
                <w:szCs w:val="24"/>
              </w:rPr>
              <w:t>事   项   名   称</w:t>
            </w:r>
          </w:p>
        </w:tc>
        <w:tc>
          <w:tcPr>
            <w:tcW w:w="3525" w:type="dxa"/>
            <w:tcMar>
              <w:top w:w="10" w:type="dxa"/>
              <w:left w:w="10" w:type="dxa"/>
              <w:right w:w="10" w:type="dxa"/>
            </w:tcMar>
            <w:vAlign w:val="center"/>
          </w:tcPr>
          <w:p>
            <w:pPr>
              <w:widowControl/>
              <w:spacing w:line="570" w:lineRule="exact"/>
              <w:jc w:val="center"/>
              <w:textAlignment w:val="center"/>
              <w:rPr>
                <w:rFonts w:ascii="宋体" w:hAnsi="宋体" w:eastAsia="方正黑体简体" w:cs="方正黑体简体"/>
                <w:bCs/>
                <w:color w:val="000000"/>
                <w:sz w:val="24"/>
                <w:szCs w:val="24"/>
              </w:rPr>
            </w:pPr>
            <w:r>
              <w:rPr>
                <w:rStyle w:val="9"/>
                <w:rFonts w:hint="default" w:ascii="宋体" w:hAnsi="宋体" w:eastAsia="方正黑体简体" w:cs="方正黑体简体"/>
                <w:b w:val="0"/>
                <w:bCs/>
                <w:sz w:val="24"/>
                <w:szCs w:val="24"/>
              </w:rPr>
              <w:t>设  定  依  据</w:t>
            </w:r>
          </w:p>
        </w:tc>
        <w:tc>
          <w:tcPr>
            <w:tcW w:w="1722" w:type="dxa"/>
            <w:tcMar>
              <w:top w:w="10" w:type="dxa"/>
              <w:left w:w="10" w:type="dxa"/>
              <w:right w:w="10" w:type="dxa"/>
            </w:tcMar>
            <w:vAlign w:val="center"/>
          </w:tcPr>
          <w:p>
            <w:pPr>
              <w:widowControl/>
              <w:spacing w:line="570" w:lineRule="exact"/>
              <w:jc w:val="center"/>
              <w:textAlignment w:val="center"/>
              <w:rPr>
                <w:rFonts w:ascii="宋体" w:hAnsi="宋体" w:eastAsia="方正黑体简体" w:cs="方正黑体简体"/>
                <w:bCs/>
                <w:color w:val="000000"/>
                <w:sz w:val="24"/>
                <w:szCs w:val="24"/>
              </w:rPr>
            </w:pPr>
            <w:r>
              <w:rPr>
                <w:rStyle w:val="9"/>
                <w:rFonts w:hint="default" w:ascii="宋体" w:hAnsi="宋体" w:eastAsia="方正黑体简体" w:cs="方正黑体简体"/>
                <w:b w:val="0"/>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10" w:type="dxa"/>
            <w:noWrap/>
            <w:tcMar>
              <w:top w:w="10" w:type="dxa"/>
              <w:left w:w="10" w:type="dxa"/>
              <w:right w:w="10" w:type="dxa"/>
            </w:tcMar>
            <w:vAlign w:val="center"/>
          </w:tcPr>
          <w:p>
            <w:pPr>
              <w:widowControl/>
              <w:spacing w:line="570" w:lineRule="exact"/>
              <w:jc w:val="center"/>
              <w:textAlignment w:val="center"/>
              <w:rPr>
                <w:rFonts w:ascii="宋体" w:hAnsi="宋体" w:eastAsia="方正仿宋简体" w:cs="方正仿宋简体"/>
                <w:bCs/>
                <w:color w:val="000000"/>
                <w:sz w:val="24"/>
                <w:szCs w:val="24"/>
              </w:rPr>
            </w:pPr>
            <w:r>
              <w:rPr>
                <w:rFonts w:hint="eastAsia" w:ascii="宋体" w:hAnsi="宋体" w:eastAsia="方正仿宋简体" w:cs="方正仿宋简体"/>
                <w:bCs/>
                <w:color w:val="000000"/>
                <w:sz w:val="24"/>
                <w:szCs w:val="24"/>
              </w:rPr>
              <w:t>1</w:t>
            </w:r>
          </w:p>
        </w:tc>
        <w:tc>
          <w:tcPr>
            <w:tcW w:w="3650" w:type="dxa"/>
            <w:tcMar>
              <w:top w:w="10" w:type="dxa"/>
              <w:left w:w="10" w:type="dxa"/>
              <w:right w:w="10" w:type="dxa"/>
            </w:tcMar>
            <w:vAlign w:val="center"/>
          </w:tcPr>
          <w:p>
            <w:pPr>
              <w:widowControl/>
              <w:spacing w:line="570" w:lineRule="exact"/>
              <w:jc w:val="left"/>
              <w:textAlignment w:val="center"/>
              <w:rPr>
                <w:rFonts w:ascii="宋体" w:hAnsi="宋体" w:eastAsia="方正仿宋简体" w:cs="方正仿宋简体"/>
                <w:bCs/>
                <w:color w:val="000000"/>
                <w:sz w:val="24"/>
                <w:szCs w:val="24"/>
              </w:rPr>
            </w:pPr>
            <w:r>
              <w:rPr>
                <w:rFonts w:hint="eastAsia" w:ascii="宋体" w:hAnsi="宋体" w:eastAsia="方正仿宋简体" w:cs="方正仿宋简体"/>
                <w:bCs/>
                <w:color w:val="000000"/>
                <w:sz w:val="24"/>
                <w:szCs w:val="24"/>
              </w:rPr>
              <w:t>对擅自开办医疗机构行医或者非医师行医的处罚</w:t>
            </w:r>
          </w:p>
        </w:tc>
        <w:tc>
          <w:tcPr>
            <w:tcW w:w="3525" w:type="dxa"/>
            <w:tcMar>
              <w:top w:w="10" w:type="dxa"/>
              <w:left w:w="10" w:type="dxa"/>
              <w:right w:w="10" w:type="dxa"/>
            </w:tcMar>
            <w:vAlign w:val="center"/>
          </w:tcPr>
          <w:p>
            <w:pPr>
              <w:widowControl/>
              <w:spacing w:line="570" w:lineRule="exact"/>
              <w:jc w:val="left"/>
              <w:textAlignment w:val="center"/>
              <w:rPr>
                <w:rFonts w:ascii="宋体" w:hAnsi="宋体" w:eastAsia="方正仿宋简体" w:cs="方正仿宋简体"/>
                <w:bCs/>
                <w:color w:val="000000"/>
                <w:sz w:val="24"/>
                <w:szCs w:val="24"/>
              </w:rPr>
            </w:pPr>
            <w:r>
              <w:rPr>
                <w:rFonts w:hint="eastAsia" w:ascii="宋体" w:hAnsi="宋体" w:eastAsia="方正仿宋简体" w:cs="方正仿宋简体"/>
                <w:bCs/>
                <w:color w:val="000000"/>
                <w:sz w:val="24"/>
                <w:szCs w:val="24"/>
              </w:rPr>
              <w:t>《中华人民共和国执业医师法》（2009年修正）第三十九条</w:t>
            </w:r>
          </w:p>
        </w:tc>
        <w:tc>
          <w:tcPr>
            <w:tcW w:w="1722" w:type="dxa"/>
            <w:tcMar>
              <w:top w:w="10" w:type="dxa"/>
              <w:left w:w="10" w:type="dxa"/>
              <w:right w:w="10" w:type="dxa"/>
            </w:tcMar>
            <w:vAlign w:val="center"/>
          </w:tcPr>
          <w:p>
            <w:pPr>
              <w:spacing w:line="570" w:lineRule="exact"/>
              <w:jc w:val="center"/>
              <w:rPr>
                <w:rFonts w:ascii="宋体" w:hAnsi="宋体" w:eastAsia="方正仿宋简体" w:cs="方正仿宋简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10" w:type="dxa"/>
            <w:noWrap/>
            <w:tcMar>
              <w:top w:w="10" w:type="dxa"/>
              <w:left w:w="10" w:type="dxa"/>
              <w:right w:w="10" w:type="dxa"/>
            </w:tcMar>
            <w:vAlign w:val="center"/>
          </w:tcPr>
          <w:p>
            <w:pPr>
              <w:widowControl/>
              <w:spacing w:line="570" w:lineRule="exact"/>
              <w:jc w:val="center"/>
              <w:textAlignment w:val="center"/>
              <w:rPr>
                <w:rFonts w:ascii="宋体" w:hAnsi="宋体" w:eastAsia="方正仿宋简体" w:cs="方正仿宋简体"/>
                <w:bCs/>
                <w:color w:val="000000"/>
                <w:sz w:val="24"/>
                <w:szCs w:val="24"/>
              </w:rPr>
            </w:pPr>
            <w:r>
              <w:rPr>
                <w:rFonts w:hint="eastAsia" w:ascii="宋体" w:hAnsi="宋体" w:eastAsia="方正仿宋简体" w:cs="方正仿宋简体"/>
                <w:bCs/>
                <w:color w:val="000000"/>
                <w:sz w:val="24"/>
                <w:szCs w:val="24"/>
              </w:rPr>
              <w:t>2</w:t>
            </w:r>
          </w:p>
        </w:tc>
        <w:tc>
          <w:tcPr>
            <w:tcW w:w="3650" w:type="dxa"/>
            <w:tcMar>
              <w:top w:w="10" w:type="dxa"/>
              <w:left w:w="10" w:type="dxa"/>
              <w:right w:w="10" w:type="dxa"/>
            </w:tcMar>
            <w:vAlign w:val="center"/>
          </w:tcPr>
          <w:p>
            <w:pPr>
              <w:widowControl/>
              <w:spacing w:line="570" w:lineRule="exact"/>
              <w:jc w:val="left"/>
              <w:textAlignment w:val="center"/>
              <w:rPr>
                <w:rFonts w:ascii="宋体" w:hAnsi="宋体" w:eastAsia="方正仿宋简体" w:cs="方正仿宋简体"/>
                <w:bCs/>
                <w:color w:val="000000"/>
                <w:sz w:val="24"/>
                <w:szCs w:val="24"/>
              </w:rPr>
            </w:pPr>
            <w:r>
              <w:rPr>
                <w:rFonts w:hint="eastAsia" w:ascii="宋体" w:hAnsi="宋体" w:eastAsia="方正仿宋简体" w:cs="方正仿宋简体"/>
                <w:bCs/>
                <w:color w:val="000000"/>
                <w:sz w:val="24"/>
                <w:szCs w:val="24"/>
              </w:rPr>
              <w:t>对违反公共场所卫生要求的处罚</w:t>
            </w:r>
          </w:p>
        </w:tc>
        <w:tc>
          <w:tcPr>
            <w:tcW w:w="3525" w:type="dxa"/>
            <w:tcMar>
              <w:top w:w="10" w:type="dxa"/>
              <w:left w:w="10" w:type="dxa"/>
              <w:right w:w="10" w:type="dxa"/>
            </w:tcMar>
            <w:vAlign w:val="center"/>
          </w:tcPr>
          <w:p>
            <w:pPr>
              <w:widowControl/>
              <w:spacing w:line="570" w:lineRule="exact"/>
              <w:jc w:val="left"/>
              <w:textAlignment w:val="center"/>
              <w:rPr>
                <w:rFonts w:ascii="宋体" w:hAnsi="宋体" w:eastAsia="方正仿宋简体" w:cs="方正仿宋简体"/>
                <w:bCs/>
                <w:color w:val="000000"/>
                <w:sz w:val="24"/>
                <w:szCs w:val="24"/>
              </w:rPr>
            </w:pPr>
            <w:r>
              <w:rPr>
                <w:rFonts w:hint="eastAsia" w:ascii="宋体" w:hAnsi="宋体" w:eastAsia="方正仿宋简体" w:cs="方正仿宋简体"/>
                <w:bCs/>
                <w:color w:val="000000"/>
                <w:sz w:val="24"/>
                <w:szCs w:val="24"/>
              </w:rPr>
              <w:t>《公共场所卫生管理条例》（2019年国务院令</w:t>
            </w:r>
            <w:r>
              <w:rPr>
                <w:rFonts w:hint="eastAsia" w:ascii="宋体" w:hAnsi="宋体" w:eastAsia="方正仿宋简体" w:cs="方正仿宋简体"/>
                <w:bCs/>
                <w:color w:val="000000"/>
                <w:sz w:val="24"/>
                <w:szCs w:val="24"/>
                <w:lang w:eastAsia="zh-CN"/>
              </w:rPr>
              <w:t>第</w:t>
            </w:r>
            <w:bookmarkStart w:id="0" w:name="_GoBack"/>
            <w:bookmarkEnd w:id="0"/>
            <w:r>
              <w:rPr>
                <w:rFonts w:hint="eastAsia" w:ascii="宋体" w:hAnsi="宋体" w:eastAsia="方正仿宋简体" w:cs="方正仿宋简体"/>
                <w:bCs/>
                <w:color w:val="000000"/>
                <w:sz w:val="24"/>
                <w:szCs w:val="24"/>
              </w:rPr>
              <w:t>714号）第十四条，《公共场所卫生管理条例实施细则》（2017年修正）第三十五条、第三十六条、第三十七条、第三十八条、第三十九条</w:t>
            </w:r>
          </w:p>
        </w:tc>
        <w:tc>
          <w:tcPr>
            <w:tcW w:w="1722" w:type="dxa"/>
            <w:tcMar>
              <w:top w:w="10" w:type="dxa"/>
              <w:left w:w="10" w:type="dxa"/>
              <w:right w:w="10" w:type="dxa"/>
            </w:tcMar>
            <w:vAlign w:val="center"/>
          </w:tcPr>
          <w:p>
            <w:pPr>
              <w:spacing w:line="570" w:lineRule="exact"/>
              <w:jc w:val="center"/>
              <w:rPr>
                <w:rFonts w:ascii="宋体" w:hAnsi="宋体" w:eastAsia="方正仿宋简体" w:cs="方正仿宋简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10" w:type="dxa"/>
            <w:noWrap/>
            <w:tcMar>
              <w:top w:w="10" w:type="dxa"/>
              <w:left w:w="10" w:type="dxa"/>
              <w:right w:w="10" w:type="dxa"/>
            </w:tcMar>
            <w:vAlign w:val="center"/>
          </w:tcPr>
          <w:p>
            <w:pPr>
              <w:widowControl/>
              <w:spacing w:line="570" w:lineRule="exact"/>
              <w:jc w:val="center"/>
              <w:textAlignment w:val="center"/>
              <w:rPr>
                <w:rFonts w:ascii="宋体" w:hAnsi="宋体" w:eastAsia="方正仿宋简体" w:cs="方正仿宋简体"/>
                <w:bCs/>
                <w:color w:val="000000"/>
                <w:sz w:val="24"/>
                <w:szCs w:val="24"/>
              </w:rPr>
            </w:pPr>
            <w:r>
              <w:rPr>
                <w:rFonts w:hint="eastAsia" w:ascii="宋体" w:hAnsi="宋体" w:eastAsia="方正仿宋简体" w:cs="方正仿宋简体"/>
                <w:bCs/>
                <w:color w:val="000000"/>
                <w:sz w:val="24"/>
                <w:szCs w:val="24"/>
              </w:rPr>
              <w:t>3</w:t>
            </w:r>
          </w:p>
        </w:tc>
        <w:tc>
          <w:tcPr>
            <w:tcW w:w="3650" w:type="dxa"/>
            <w:tcMar>
              <w:top w:w="10" w:type="dxa"/>
              <w:left w:w="10" w:type="dxa"/>
              <w:right w:w="10" w:type="dxa"/>
            </w:tcMar>
            <w:vAlign w:val="center"/>
          </w:tcPr>
          <w:p>
            <w:pPr>
              <w:widowControl/>
              <w:spacing w:line="570" w:lineRule="exact"/>
              <w:jc w:val="left"/>
              <w:textAlignment w:val="center"/>
              <w:rPr>
                <w:rFonts w:ascii="宋体" w:hAnsi="宋体" w:eastAsia="方正仿宋简体" w:cs="方正仿宋简体"/>
                <w:bCs/>
                <w:color w:val="000000"/>
                <w:sz w:val="24"/>
                <w:szCs w:val="24"/>
              </w:rPr>
            </w:pPr>
            <w:r>
              <w:rPr>
                <w:rFonts w:hint="eastAsia" w:ascii="宋体" w:hAnsi="宋体" w:eastAsia="方正仿宋简体" w:cs="方正仿宋简体"/>
                <w:bCs/>
                <w:color w:val="000000"/>
                <w:sz w:val="24"/>
                <w:szCs w:val="24"/>
              </w:rPr>
              <w:t>对餐具、饮具集中消毒服务单位违反集中消毒规定的处罚</w:t>
            </w:r>
          </w:p>
        </w:tc>
        <w:tc>
          <w:tcPr>
            <w:tcW w:w="3525" w:type="dxa"/>
            <w:tcMar>
              <w:top w:w="10" w:type="dxa"/>
              <w:left w:w="10" w:type="dxa"/>
              <w:right w:w="10" w:type="dxa"/>
            </w:tcMar>
            <w:vAlign w:val="center"/>
          </w:tcPr>
          <w:p>
            <w:pPr>
              <w:widowControl/>
              <w:spacing w:line="570" w:lineRule="exact"/>
              <w:jc w:val="left"/>
              <w:textAlignment w:val="center"/>
              <w:rPr>
                <w:rFonts w:ascii="宋体" w:hAnsi="宋体" w:eastAsia="方正仿宋简体" w:cs="方正仿宋简体"/>
                <w:bCs/>
                <w:color w:val="000000"/>
                <w:sz w:val="24"/>
                <w:szCs w:val="24"/>
              </w:rPr>
            </w:pPr>
            <w:r>
              <w:rPr>
                <w:rFonts w:hint="eastAsia" w:ascii="宋体" w:hAnsi="宋体" w:eastAsia="方正仿宋简体" w:cs="方正仿宋简体"/>
                <w:bCs/>
                <w:color w:val="000000"/>
                <w:sz w:val="24"/>
                <w:szCs w:val="24"/>
              </w:rPr>
              <w:t>《中华人民共和国食品安全法》（2018年修正）第一百二十六条</w:t>
            </w:r>
          </w:p>
        </w:tc>
        <w:tc>
          <w:tcPr>
            <w:tcW w:w="1722" w:type="dxa"/>
            <w:tcMar>
              <w:top w:w="10" w:type="dxa"/>
              <w:left w:w="10" w:type="dxa"/>
              <w:right w:w="10" w:type="dxa"/>
            </w:tcMar>
            <w:vAlign w:val="center"/>
          </w:tcPr>
          <w:p>
            <w:pPr>
              <w:spacing w:line="570" w:lineRule="exact"/>
              <w:jc w:val="center"/>
              <w:rPr>
                <w:rFonts w:ascii="宋体" w:hAnsi="宋体" w:eastAsia="方正仿宋简体" w:cs="方正仿宋简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10" w:type="dxa"/>
            <w:noWrap/>
            <w:tcMar>
              <w:top w:w="10" w:type="dxa"/>
              <w:left w:w="10" w:type="dxa"/>
              <w:right w:w="10" w:type="dxa"/>
            </w:tcMar>
            <w:vAlign w:val="center"/>
          </w:tcPr>
          <w:p>
            <w:pPr>
              <w:widowControl/>
              <w:spacing w:line="570" w:lineRule="exact"/>
              <w:jc w:val="center"/>
              <w:textAlignment w:val="center"/>
              <w:rPr>
                <w:rFonts w:ascii="宋体" w:hAnsi="宋体" w:eastAsia="方正仿宋简体" w:cs="方正仿宋简体"/>
                <w:bCs/>
                <w:color w:val="000000"/>
                <w:sz w:val="24"/>
                <w:szCs w:val="24"/>
              </w:rPr>
            </w:pPr>
          </w:p>
        </w:tc>
        <w:tc>
          <w:tcPr>
            <w:tcW w:w="3650" w:type="dxa"/>
            <w:tcMar>
              <w:top w:w="10" w:type="dxa"/>
              <w:left w:w="10" w:type="dxa"/>
              <w:right w:w="10" w:type="dxa"/>
            </w:tcMar>
            <w:vAlign w:val="center"/>
          </w:tcPr>
          <w:p>
            <w:pPr>
              <w:widowControl/>
              <w:spacing w:line="570" w:lineRule="exact"/>
              <w:jc w:val="left"/>
              <w:textAlignment w:val="center"/>
              <w:rPr>
                <w:rFonts w:ascii="宋体" w:hAnsi="宋体" w:eastAsia="方正仿宋简体" w:cs="方正仿宋简体"/>
                <w:bCs/>
                <w:color w:val="000000"/>
                <w:sz w:val="24"/>
                <w:szCs w:val="24"/>
              </w:rPr>
            </w:pPr>
          </w:p>
        </w:tc>
        <w:tc>
          <w:tcPr>
            <w:tcW w:w="3525" w:type="dxa"/>
            <w:tcMar>
              <w:top w:w="10" w:type="dxa"/>
              <w:left w:w="10" w:type="dxa"/>
              <w:right w:w="10" w:type="dxa"/>
            </w:tcMar>
            <w:vAlign w:val="center"/>
          </w:tcPr>
          <w:p>
            <w:pPr>
              <w:widowControl/>
              <w:spacing w:line="570" w:lineRule="exact"/>
              <w:jc w:val="left"/>
              <w:textAlignment w:val="center"/>
              <w:rPr>
                <w:rFonts w:ascii="宋体" w:hAnsi="宋体" w:eastAsia="方正仿宋简体" w:cs="方正仿宋简体"/>
                <w:bCs/>
                <w:color w:val="000000"/>
                <w:sz w:val="24"/>
                <w:szCs w:val="24"/>
              </w:rPr>
            </w:pPr>
          </w:p>
        </w:tc>
        <w:tc>
          <w:tcPr>
            <w:tcW w:w="1722" w:type="dxa"/>
            <w:tcMar>
              <w:top w:w="10" w:type="dxa"/>
              <w:left w:w="10" w:type="dxa"/>
              <w:right w:w="10" w:type="dxa"/>
            </w:tcMar>
            <w:vAlign w:val="center"/>
          </w:tcPr>
          <w:p>
            <w:pPr>
              <w:spacing w:line="570" w:lineRule="exact"/>
              <w:jc w:val="center"/>
              <w:rPr>
                <w:rFonts w:ascii="宋体" w:hAnsi="宋体" w:eastAsia="方正仿宋简体" w:cs="方正仿宋简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10" w:type="dxa"/>
            <w:noWrap/>
            <w:tcMar>
              <w:top w:w="10" w:type="dxa"/>
              <w:left w:w="10" w:type="dxa"/>
              <w:right w:w="10" w:type="dxa"/>
            </w:tcMar>
            <w:vAlign w:val="center"/>
          </w:tcPr>
          <w:p>
            <w:pPr>
              <w:widowControl/>
              <w:spacing w:line="570" w:lineRule="exact"/>
              <w:jc w:val="center"/>
              <w:textAlignment w:val="center"/>
              <w:rPr>
                <w:rFonts w:ascii="宋体" w:hAnsi="宋体" w:eastAsia="方正仿宋简体" w:cs="方正仿宋简体"/>
                <w:bCs/>
                <w:color w:val="000000"/>
                <w:sz w:val="24"/>
                <w:szCs w:val="24"/>
              </w:rPr>
            </w:pPr>
          </w:p>
        </w:tc>
        <w:tc>
          <w:tcPr>
            <w:tcW w:w="3650" w:type="dxa"/>
            <w:tcMar>
              <w:top w:w="10" w:type="dxa"/>
              <w:left w:w="10" w:type="dxa"/>
              <w:right w:w="10" w:type="dxa"/>
            </w:tcMar>
            <w:vAlign w:val="center"/>
          </w:tcPr>
          <w:p>
            <w:pPr>
              <w:widowControl/>
              <w:spacing w:line="570" w:lineRule="exact"/>
              <w:jc w:val="left"/>
              <w:textAlignment w:val="center"/>
              <w:rPr>
                <w:rFonts w:ascii="宋体" w:hAnsi="宋体" w:eastAsia="方正仿宋简体" w:cs="方正仿宋简体"/>
                <w:bCs/>
                <w:color w:val="000000"/>
                <w:sz w:val="24"/>
                <w:szCs w:val="24"/>
              </w:rPr>
            </w:pPr>
          </w:p>
        </w:tc>
        <w:tc>
          <w:tcPr>
            <w:tcW w:w="3525" w:type="dxa"/>
            <w:tcMar>
              <w:top w:w="10" w:type="dxa"/>
              <w:left w:w="10" w:type="dxa"/>
              <w:right w:w="10" w:type="dxa"/>
            </w:tcMar>
            <w:vAlign w:val="center"/>
          </w:tcPr>
          <w:p>
            <w:pPr>
              <w:widowControl/>
              <w:spacing w:line="570" w:lineRule="exact"/>
              <w:jc w:val="left"/>
              <w:textAlignment w:val="center"/>
              <w:rPr>
                <w:rFonts w:ascii="宋体" w:hAnsi="宋体" w:eastAsia="方正仿宋简体" w:cs="方正仿宋简体"/>
                <w:bCs/>
                <w:color w:val="000000"/>
                <w:sz w:val="24"/>
                <w:szCs w:val="24"/>
              </w:rPr>
            </w:pPr>
          </w:p>
        </w:tc>
        <w:tc>
          <w:tcPr>
            <w:tcW w:w="1722" w:type="dxa"/>
            <w:tcMar>
              <w:top w:w="10" w:type="dxa"/>
              <w:left w:w="10" w:type="dxa"/>
              <w:right w:w="10" w:type="dxa"/>
            </w:tcMar>
            <w:vAlign w:val="center"/>
          </w:tcPr>
          <w:p>
            <w:pPr>
              <w:spacing w:line="570" w:lineRule="exact"/>
              <w:jc w:val="center"/>
              <w:rPr>
                <w:rFonts w:ascii="宋体" w:hAnsi="宋体" w:eastAsia="方正仿宋简体" w:cs="方正仿宋简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10" w:type="dxa"/>
            <w:noWrap/>
            <w:tcMar>
              <w:top w:w="10" w:type="dxa"/>
              <w:left w:w="10" w:type="dxa"/>
              <w:right w:w="10" w:type="dxa"/>
            </w:tcMar>
            <w:vAlign w:val="center"/>
          </w:tcPr>
          <w:p>
            <w:pPr>
              <w:widowControl/>
              <w:spacing w:line="570" w:lineRule="exact"/>
              <w:jc w:val="center"/>
              <w:textAlignment w:val="center"/>
              <w:rPr>
                <w:rFonts w:ascii="宋体" w:hAnsi="宋体" w:eastAsia="方正仿宋简体" w:cs="方正仿宋简体"/>
                <w:bCs/>
                <w:color w:val="000000"/>
                <w:sz w:val="24"/>
                <w:szCs w:val="24"/>
              </w:rPr>
            </w:pPr>
          </w:p>
        </w:tc>
        <w:tc>
          <w:tcPr>
            <w:tcW w:w="3650" w:type="dxa"/>
            <w:tcMar>
              <w:top w:w="10" w:type="dxa"/>
              <w:left w:w="10" w:type="dxa"/>
              <w:right w:w="10" w:type="dxa"/>
            </w:tcMar>
            <w:vAlign w:val="center"/>
          </w:tcPr>
          <w:p>
            <w:pPr>
              <w:widowControl/>
              <w:spacing w:line="570" w:lineRule="exact"/>
              <w:jc w:val="left"/>
              <w:textAlignment w:val="center"/>
              <w:rPr>
                <w:rFonts w:ascii="宋体" w:hAnsi="宋体" w:eastAsia="方正仿宋简体" w:cs="方正仿宋简体"/>
                <w:bCs/>
                <w:color w:val="000000"/>
                <w:sz w:val="24"/>
                <w:szCs w:val="24"/>
              </w:rPr>
            </w:pPr>
          </w:p>
        </w:tc>
        <w:tc>
          <w:tcPr>
            <w:tcW w:w="3525" w:type="dxa"/>
            <w:tcMar>
              <w:top w:w="10" w:type="dxa"/>
              <w:left w:w="10" w:type="dxa"/>
              <w:right w:w="10" w:type="dxa"/>
            </w:tcMar>
            <w:vAlign w:val="center"/>
          </w:tcPr>
          <w:p>
            <w:pPr>
              <w:widowControl/>
              <w:spacing w:line="570" w:lineRule="exact"/>
              <w:jc w:val="left"/>
              <w:textAlignment w:val="center"/>
              <w:rPr>
                <w:rFonts w:ascii="宋体" w:hAnsi="宋体" w:eastAsia="方正仿宋简体" w:cs="方正仿宋简体"/>
                <w:bCs/>
                <w:color w:val="000000"/>
                <w:sz w:val="24"/>
                <w:szCs w:val="24"/>
              </w:rPr>
            </w:pPr>
          </w:p>
        </w:tc>
        <w:tc>
          <w:tcPr>
            <w:tcW w:w="1722" w:type="dxa"/>
            <w:tcMar>
              <w:top w:w="10" w:type="dxa"/>
              <w:left w:w="10" w:type="dxa"/>
              <w:right w:w="10" w:type="dxa"/>
            </w:tcMar>
            <w:vAlign w:val="center"/>
          </w:tcPr>
          <w:p>
            <w:pPr>
              <w:spacing w:line="570" w:lineRule="exact"/>
              <w:jc w:val="center"/>
              <w:rPr>
                <w:rFonts w:ascii="宋体" w:hAnsi="宋体" w:eastAsia="方正仿宋简体" w:cs="方正仿宋简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10" w:type="dxa"/>
            <w:noWrap/>
            <w:tcMar>
              <w:top w:w="10" w:type="dxa"/>
              <w:left w:w="10" w:type="dxa"/>
              <w:right w:w="10" w:type="dxa"/>
            </w:tcMar>
            <w:vAlign w:val="center"/>
          </w:tcPr>
          <w:p>
            <w:pPr>
              <w:widowControl/>
              <w:spacing w:line="570" w:lineRule="exact"/>
              <w:jc w:val="center"/>
              <w:textAlignment w:val="center"/>
              <w:rPr>
                <w:rFonts w:ascii="宋体" w:hAnsi="宋体" w:eastAsia="方正仿宋简体" w:cs="方正仿宋简体"/>
                <w:bCs/>
                <w:color w:val="000000"/>
                <w:sz w:val="24"/>
                <w:szCs w:val="24"/>
              </w:rPr>
            </w:pPr>
          </w:p>
        </w:tc>
        <w:tc>
          <w:tcPr>
            <w:tcW w:w="3650" w:type="dxa"/>
            <w:tcMar>
              <w:top w:w="10" w:type="dxa"/>
              <w:left w:w="10" w:type="dxa"/>
              <w:right w:w="10" w:type="dxa"/>
            </w:tcMar>
            <w:vAlign w:val="center"/>
          </w:tcPr>
          <w:p>
            <w:pPr>
              <w:widowControl/>
              <w:spacing w:line="570" w:lineRule="exact"/>
              <w:jc w:val="left"/>
              <w:textAlignment w:val="center"/>
              <w:rPr>
                <w:rFonts w:ascii="宋体" w:hAnsi="宋体" w:eastAsia="方正仿宋简体" w:cs="方正仿宋简体"/>
                <w:bCs/>
                <w:color w:val="000000"/>
                <w:sz w:val="24"/>
                <w:szCs w:val="24"/>
              </w:rPr>
            </w:pPr>
          </w:p>
        </w:tc>
        <w:tc>
          <w:tcPr>
            <w:tcW w:w="3525" w:type="dxa"/>
            <w:tcMar>
              <w:top w:w="10" w:type="dxa"/>
              <w:left w:w="10" w:type="dxa"/>
              <w:right w:w="10" w:type="dxa"/>
            </w:tcMar>
            <w:vAlign w:val="center"/>
          </w:tcPr>
          <w:p>
            <w:pPr>
              <w:widowControl/>
              <w:spacing w:line="570" w:lineRule="exact"/>
              <w:jc w:val="left"/>
              <w:textAlignment w:val="center"/>
              <w:rPr>
                <w:rFonts w:ascii="宋体" w:hAnsi="宋体" w:eastAsia="方正仿宋简体" w:cs="方正仿宋简体"/>
                <w:bCs/>
                <w:color w:val="000000"/>
                <w:sz w:val="24"/>
                <w:szCs w:val="24"/>
              </w:rPr>
            </w:pPr>
          </w:p>
        </w:tc>
        <w:tc>
          <w:tcPr>
            <w:tcW w:w="1722" w:type="dxa"/>
            <w:tcMar>
              <w:top w:w="10" w:type="dxa"/>
              <w:left w:w="10" w:type="dxa"/>
              <w:right w:w="10" w:type="dxa"/>
            </w:tcMar>
            <w:vAlign w:val="center"/>
          </w:tcPr>
          <w:p>
            <w:pPr>
              <w:spacing w:line="570" w:lineRule="exact"/>
              <w:jc w:val="center"/>
              <w:rPr>
                <w:rFonts w:ascii="宋体" w:hAnsi="宋体" w:eastAsia="方正仿宋简体" w:cs="方正仿宋简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10" w:type="dxa"/>
            <w:noWrap/>
            <w:tcMar>
              <w:top w:w="10" w:type="dxa"/>
              <w:left w:w="10" w:type="dxa"/>
              <w:right w:w="10" w:type="dxa"/>
            </w:tcMar>
            <w:vAlign w:val="center"/>
          </w:tcPr>
          <w:p>
            <w:pPr>
              <w:widowControl/>
              <w:spacing w:line="570" w:lineRule="exact"/>
              <w:jc w:val="center"/>
              <w:textAlignment w:val="center"/>
              <w:rPr>
                <w:rFonts w:ascii="宋体" w:hAnsi="宋体" w:eastAsia="方正仿宋简体" w:cs="方正仿宋简体"/>
                <w:bCs/>
                <w:color w:val="000000"/>
                <w:sz w:val="24"/>
                <w:szCs w:val="24"/>
              </w:rPr>
            </w:pPr>
          </w:p>
        </w:tc>
        <w:tc>
          <w:tcPr>
            <w:tcW w:w="3650" w:type="dxa"/>
            <w:tcMar>
              <w:top w:w="10" w:type="dxa"/>
              <w:left w:w="10" w:type="dxa"/>
              <w:right w:w="10" w:type="dxa"/>
            </w:tcMar>
            <w:vAlign w:val="center"/>
          </w:tcPr>
          <w:p>
            <w:pPr>
              <w:widowControl/>
              <w:spacing w:line="570" w:lineRule="exact"/>
              <w:jc w:val="left"/>
              <w:textAlignment w:val="center"/>
              <w:rPr>
                <w:rFonts w:ascii="宋体" w:hAnsi="宋体" w:eastAsia="方正仿宋简体" w:cs="方正仿宋简体"/>
                <w:bCs/>
                <w:color w:val="000000"/>
                <w:sz w:val="24"/>
                <w:szCs w:val="24"/>
              </w:rPr>
            </w:pPr>
          </w:p>
        </w:tc>
        <w:tc>
          <w:tcPr>
            <w:tcW w:w="3525" w:type="dxa"/>
            <w:tcMar>
              <w:top w:w="10" w:type="dxa"/>
              <w:left w:w="10" w:type="dxa"/>
              <w:right w:w="10" w:type="dxa"/>
            </w:tcMar>
            <w:vAlign w:val="center"/>
          </w:tcPr>
          <w:p>
            <w:pPr>
              <w:widowControl/>
              <w:spacing w:line="570" w:lineRule="exact"/>
              <w:jc w:val="left"/>
              <w:textAlignment w:val="center"/>
              <w:rPr>
                <w:rFonts w:ascii="宋体" w:hAnsi="宋体" w:eastAsia="方正仿宋简体" w:cs="方正仿宋简体"/>
                <w:bCs/>
                <w:color w:val="000000"/>
                <w:sz w:val="24"/>
                <w:szCs w:val="24"/>
              </w:rPr>
            </w:pPr>
          </w:p>
        </w:tc>
        <w:tc>
          <w:tcPr>
            <w:tcW w:w="1722" w:type="dxa"/>
            <w:tcMar>
              <w:top w:w="10" w:type="dxa"/>
              <w:left w:w="10" w:type="dxa"/>
              <w:right w:w="10" w:type="dxa"/>
            </w:tcMar>
            <w:vAlign w:val="center"/>
          </w:tcPr>
          <w:p>
            <w:pPr>
              <w:spacing w:line="570" w:lineRule="exact"/>
              <w:jc w:val="center"/>
              <w:rPr>
                <w:rFonts w:ascii="宋体" w:hAnsi="宋体" w:eastAsia="方正仿宋简体" w:cs="方正仿宋简体"/>
                <w:bCs/>
                <w:color w:val="000000"/>
                <w:sz w:val="24"/>
                <w:szCs w:val="24"/>
              </w:rPr>
            </w:pPr>
          </w:p>
        </w:tc>
      </w:tr>
    </w:tbl>
    <w:p>
      <w:pPr>
        <w:spacing w:line="570" w:lineRule="exact"/>
      </w:pPr>
      <w:r>
        <w:rPr>
          <w:rFonts w:hint="eastAsia"/>
        </w:rPr>
        <w:br w:type="page"/>
      </w:r>
    </w:p>
    <w:p>
      <w:pPr>
        <w:adjustRightInd w:val="0"/>
        <w:snapToGrid w:val="0"/>
        <w:spacing w:line="520" w:lineRule="exact"/>
        <w:jc w:val="left"/>
        <w:rPr>
          <w:rFonts w:ascii="宋体" w:hAnsi="宋体" w:eastAsia="方正小标宋简体"/>
          <w:kern w:val="0"/>
          <w:sz w:val="30"/>
          <w:szCs w:val="30"/>
        </w:rPr>
      </w:pPr>
      <w:r>
        <w:rPr>
          <w:rFonts w:hint="eastAsia" w:ascii="宋体" w:hAnsi="宋体" w:eastAsia="方正小标宋简体"/>
          <w:kern w:val="0"/>
          <w:sz w:val="30"/>
          <w:szCs w:val="30"/>
        </w:rPr>
        <w:t xml:space="preserve">附件2 </w:t>
      </w:r>
    </w:p>
    <w:p>
      <w:pPr>
        <w:pStyle w:val="4"/>
        <w:widowControl/>
        <w:spacing w:line="520" w:lineRule="exact"/>
        <w:jc w:val="center"/>
        <w:rPr>
          <w:rStyle w:val="7"/>
          <w:rFonts w:hint="eastAsia" w:ascii="方正小标宋简体" w:hAnsi="&amp;quot" w:eastAsia="方正小标宋简体" w:cs="宋体"/>
          <w:color w:val="333333"/>
          <w:kern w:val="0"/>
          <w:sz w:val="44"/>
          <w:szCs w:val="44"/>
        </w:rPr>
      </w:pPr>
      <w:r>
        <w:rPr>
          <w:rStyle w:val="7"/>
          <w:rFonts w:hint="eastAsia" w:ascii="方正小标宋简体" w:hAnsi="&amp;quot" w:eastAsia="方正小标宋简体" w:cs="宋体"/>
          <w:color w:val="333333"/>
          <w:kern w:val="0"/>
          <w:sz w:val="44"/>
          <w:szCs w:val="44"/>
        </w:rPr>
        <w:t>相关法律法规规定</w:t>
      </w:r>
    </w:p>
    <w:p>
      <w:pPr>
        <w:pStyle w:val="4"/>
        <w:widowControl/>
        <w:spacing w:line="520" w:lineRule="exact"/>
        <w:jc w:val="center"/>
        <w:rPr>
          <w:rStyle w:val="7"/>
          <w:rFonts w:hint="eastAsia" w:ascii="方正小标宋简体" w:hAnsi="&amp;quot" w:eastAsia="方正小标宋简体" w:cs="宋体"/>
          <w:color w:val="333333"/>
          <w:kern w:val="0"/>
          <w:sz w:val="44"/>
          <w:szCs w:val="44"/>
        </w:rPr>
      </w:pPr>
      <w:r>
        <w:rPr>
          <w:rStyle w:val="7"/>
          <w:rFonts w:hint="eastAsia" w:ascii="方正小标宋简体" w:hAnsi="&amp;quot" w:eastAsia="方正小标宋简体" w:cs="宋体"/>
          <w:color w:val="333333"/>
          <w:kern w:val="0"/>
          <w:sz w:val="44"/>
          <w:szCs w:val="44"/>
        </w:rPr>
        <w:t>………………</w:t>
      </w:r>
    </w:p>
    <w:p>
      <w:pPr>
        <w:pStyle w:val="4"/>
        <w:widowControl/>
        <w:spacing w:line="520" w:lineRule="exact"/>
        <w:jc w:val="center"/>
        <w:rPr>
          <w:rStyle w:val="7"/>
          <w:rFonts w:ascii="方正仿宋简体" w:hAnsi="方正仿宋简体" w:eastAsia="方正仿宋简体" w:cs="方正仿宋简体"/>
          <w:color w:val="333333"/>
          <w:kern w:val="0"/>
          <w:sz w:val="32"/>
          <w:szCs w:val="32"/>
        </w:rPr>
      </w:pPr>
    </w:p>
    <w:p>
      <w:pPr>
        <w:pStyle w:val="4"/>
        <w:widowControl/>
        <w:spacing w:line="520" w:lineRule="exact"/>
        <w:rPr>
          <w:rFonts w:hint="eastAsia" w:ascii="方正黑体简体" w:hAnsi="&amp;quot" w:eastAsia="方正黑体简体" w:cs="宋体"/>
          <w:b/>
          <w:bCs/>
          <w:color w:val="333333"/>
          <w:kern w:val="0"/>
          <w:sz w:val="32"/>
          <w:szCs w:val="32"/>
        </w:rPr>
      </w:pPr>
      <w:r>
        <w:rPr>
          <w:rFonts w:hint="eastAsia" w:ascii="方正黑体简体" w:hAnsi="宋体" w:eastAsia="方正黑体简体" w:cs="方正仿宋简体"/>
          <w:bCs/>
          <w:color w:val="000000"/>
          <w:sz w:val="32"/>
          <w:szCs w:val="32"/>
        </w:rPr>
        <w:t>1、对擅自开办医疗机构行医或者非医师行医的处罚，依据《中华人民共和国执业医师法》（2009年修正）</w:t>
      </w:r>
    </w:p>
    <w:p>
      <w:pPr>
        <w:pStyle w:val="4"/>
        <w:widowControl/>
        <w:spacing w:line="520" w:lineRule="exact"/>
        <w:ind w:firstLine="643" w:firstLineChars="200"/>
        <w:rPr>
          <w:rFonts w:ascii="方正仿宋简体" w:eastAsia="方正仿宋简体"/>
          <w:color w:val="333333"/>
          <w:sz w:val="32"/>
          <w:szCs w:val="32"/>
          <w:shd w:val="clear" w:color="auto" w:fill="FFFFFF"/>
        </w:rPr>
      </w:pPr>
      <w:r>
        <w:rPr>
          <w:rFonts w:ascii="方正仿宋简体" w:hAnsi="&amp;quot" w:eastAsia="方正仿宋简体" w:cs="宋体"/>
          <w:b/>
          <w:bCs/>
          <w:color w:val="333333"/>
          <w:kern w:val="0"/>
          <w:sz w:val="32"/>
          <w:szCs w:val="32"/>
        </w:rPr>
        <w:t>第</w:t>
      </w:r>
      <w:r>
        <w:rPr>
          <w:rFonts w:hint="eastAsia" w:ascii="方正仿宋简体" w:hAnsi="&amp;quot" w:eastAsia="方正仿宋简体" w:cs="宋体"/>
          <w:b/>
          <w:bCs/>
          <w:color w:val="333333"/>
          <w:kern w:val="0"/>
          <w:sz w:val="32"/>
          <w:szCs w:val="32"/>
        </w:rPr>
        <w:t>三十九</w:t>
      </w:r>
      <w:r>
        <w:rPr>
          <w:rFonts w:ascii="方正仿宋简体" w:hAnsi="&amp;quot" w:eastAsia="方正仿宋简体" w:cs="宋体"/>
          <w:b/>
          <w:bCs/>
          <w:color w:val="333333"/>
          <w:kern w:val="0"/>
          <w:sz w:val="32"/>
          <w:szCs w:val="32"/>
        </w:rPr>
        <w:t>条</w:t>
      </w:r>
      <w:r>
        <w:rPr>
          <w:rFonts w:hint="eastAsia" w:ascii="方正仿宋简体" w:hAnsi="&amp;quot" w:eastAsia="方正仿宋简体" w:cs="宋体"/>
          <w:b/>
          <w:bCs/>
          <w:color w:val="333333"/>
          <w:kern w:val="0"/>
          <w:sz w:val="32"/>
          <w:szCs w:val="32"/>
        </w:rPr>
        <w:t xml:space="preserve"> </w:t>
      </w:r>
      <w:r>
        <w:rPr>
          <w:rFonts w:hint="eastAsia" w:ascii="方正仿宋简体" w:eastAsia="方正仿宋简体"/>
          <w:color w:val="333333"/>
          <w:sz w:val="32"/>
          <w:szCs w:val="32"/>
          <w:shd w:val="clear" w:color="auto" w:fill="FFFFFF"/>
        </w:rPr>
        <w:t>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w:t>
      </w:r>
    </w:p>
    <w:p>
      <w:pPr>
        <w:pStyle w:val="4"/>
        <w:widowControl/>
        <w:spacing w:line="520" w:lineRule="exact"/>
        <w:rPr>
          <w:rFonts w:ascii="方正仿宋简体" w:eastAsia="方正仿宋简体"/>
          <w:color w:val="333333"/>
          <w:sz w:val="32"/>
          <w:szCs w:val="32"/>
          <w:shd w:val="clear" w:color="auto" w:fill="FFFFFF"/>
        </w:rPr>
      </w:pPr>
    </w:p>
    <w:p>
      <w:pPr>
        <w:pStyle w:val="4"/>
        <w:widowControl/>
        <w:spacing w:line="520" w:lineRule="exact"/>
        <w:rPr>
          <w:rFonts w:ascii="方正黑体简体" w:eastAsia="方正黑体简体"/>
          <w:color w:val="333333"/>
          <w:sz w:val="32"/>
          <w:szCs w:val="32"/>
          <w:shd w:val="clear" w:color="auto" w:fill="FFFFFF"/>
        </w:rPr>
      </w:pPr>
      <w:r>
        <w:rPr>
          <w:rFonts w:hint="eastAsia" w:ascii="方正黑体简体" w:eastAsia="方正黑体简体"/>
          <w:color w:val="333333"/>
          <w:sz w:val="32"/>
          <w:szCs w:val="32"/>
          <w:shd w:val="clear" w:color="auto" w:fill="FFFFFF"/>
        </w:rPr>
        <w:t>2、对违反公共场所卫生要求的处罚，依据《公共场所卫生管理条例》（2019年国务院令714号）</w:t>
      </w:r>
    </w:p>
    <w:p>
      <w:pPr>
        <w:pStyle w:val="4"/>
        <w:shd w:val="clear" w:color="auto" w:fill="FFFFFF"/>
        <w:spacing w:line="520" w:lineRule="exact"/>
        <w:rPr>
          <w:rFonts w:ascii="方正仿宋简体" w:hAnsi="Arial" w:eastAsia="方正仿宋简体" w:cs="Arial"/>
          <w:color w:val="191919"/>
          <w:kern w:val="0"/>
          <w:sz w:val="32"/>
          <w:szCs w:val="32"/>
        </w:rPr>
      </w:pPr>
      <w:r>
        <w:rPr>
          <w:rFonts w:hint="eastAsia" w:ascii="方正仿宋简体" w:eastAsia="方正仿宋简体"/>
          <w:color w:val="333333"/>
          <w:sz w:val="32"/>
          <w:szCs w:val="32"/>
          <w:shd w:val="clear" w:color="auto" w:fill="FFFFFF"/>
        </w:rPr>
        <w:t xml:space="preserve">    </w:t>
      </w:r>
      <w:r>
        <w:rPr>
          <w:rFonts w:hint="eastAsia" w:ascii="方正仿宋简体" w:eastAsia="方正仿宋简体"/>
          <w:b/>
          <w:color w:val="333333"/>
          <w:sz w:val="32"/>
          <w:szCs w:val="32"/>
          <w:shd w:val="clear" w:color="auto" w:fill="FFFFFF"/>
        </w:rPr>
        <w:t>第十四条</w:t>
      </w:r>
      <w:r>
        <w:rPr>
          <w:rFonts w:hint="eastAsia" w:ascii="方正仿宋简体" w:eastAsia="方正仿宋简体"/>
          <w:color w:val="333333"/>
          <w:sz w:val="32"/>
          <w:szCs w:val="32"/>
          <w:shd w:val="clear" w:color="auto" w:fill="FFFFFF"/>
        </w:rPr>
        <w:t xml:space="preserve"> </w:t>
      </w:r>
      <w:r>
        <w:rPr>
          <w:rFonts w:hint="eastAsia" w:ascii="方正仿宋简体" w:hAnsi="Arial" w:eastAsia="方正仿宋简体" w:cs="Arial"/>
          <w:color w:val="191919"/>
          <w:kern w:val="0"/>
          <w:sz w:val="32"/>
          <w:szCs w:val="32"/>
        </w:rPr>
        <w:t>凡有下列行为之一的单位或者个人，卫生防疫机构可以根据情节轻重，给予警告、罚款、停业整顿、吊销“卫生许可证”的行政处罚：</w:t>
      </w:r>
    </w:p>
    <w:p>
      <w:pPr>
        <w:widowControl/>
        <w:shd w:val="clear" w:color="auto" w:fill="FFFFFF"/>
        <w:spacing w:line="520" w:lineRule="exact"/>
        <w:jc w:val="left"/>
        <w:rPr>
          <w:rFonts w:ascii="方正仿宋简体" w:hAnsi="Arial" w:eastAsia="方正仿宋简体" w:cs="Arial"/>
          <w:color w:val="191919"/>
          <w:kern w:val="0"/>
          <w:sz w:val="32"/>
          <w:szCs w:val="32"/>
        </w:rPr>
      </w:pPr>
      <w:r>
        <w:rPr>
          <w:rFonts w:hint="eastAsia" w:ascii="方正仿宋简体" w:hAnsi="Arial" w:eastAsia="方正仿宋简体" w:cs="Arial"/>
          <w:color w:val="191919"/>
          <w:kern w:val="0"/>
          <w:sz w:val="32"/>
          <w:szCs w:val="32"/>
        </w:rPr>
        <w:t>（一）卫生质量不符合国家卫生标准和要求，而继续营业的；</w:t>
      </w:r>
    </w:p>
    <w:p>
      <w:pPr>
        <w:widowControl/>
        <w:shd w:val="clear" w:color="auto" w:fill="FFFFFF"/>
        <w:spacing w:line="520" w:lineRule="exact"/>
        <w:jc w:val="left"/>
        <w:rPr>
          <w:rFonts w:ascii="方正仿宋简体" w:hAnsi="Arial" w:eastAsia="方正仿宋简体" w:cs="Arial"/>
          <w:color w:val="191919"/>
          <w:kern w:val="0"/>
          <w:sz w:val="32"/>
          <w:szCs w:val="32"/>
        </w:rPr>
      </w:pPr>
      <w:r>
        <w:rPr>
          <w:rFonts w:hint="eastAsia" w:ascii="方正仿宋简体" w:hAnsi="Arial" w:eastAsia="方正仿宋简体" w:cs="Arial"/>
          <w:color w:val="191919"/>
          <w:kern w:val="0"/>
          <w:sz w:val="32"/>
          <w:szCs w:val="32"/>
        </w:rPr>
        <w:t>（二）未获得“健康合格证”，而从事直接为顾客服务的；</w:t>
      </w:r>
    </w:p>
    <w:p>
      <w:pPr>
        <w:widowControl/>
        <w:shd w:val="clear" w:color="auto" w:fill="FFFFFF"/>
        <w:spacing w:line="520" w:lineRule="exact"/>
        <w:jc w:val="left"/>
        <w:rPr>
          <w:rFonts w:ascii="方正仿宋简体" w:hAnsi="Arial" w:eastAsia="方正仿宋简体" w:cs="Arial"/>
          <w:color w:val="191919"/>
          <w:kern w:val="0"/>
          <w:sz w:val="32"/>
          <w:szCs w:val="32"/>
        </w:rPr>
      </w:pPr>
      <w:r>
        <w:rPr>
          <w:rFonts w:hint="eastAsia" w:ascii="方正仿宋简体" w:hAnsi="Arial" w:eastAsia="方正仿宋简体" w:cs="Arial"/>
          <w:color w:val="191919"/>
          <w:kern w:val="0"/>
          <w:sz w:val="32"/>
          <w:szCs w:val="32"/>
        </w:rPr>
        <w:t>（三）拒绝卫生监督的；</w:t>
      </w:r>
    </w:p>
    <w:p>
      <w:pPr>
        <w:widowControl/>
        <w:shd w:val="clear" w:color="auto" w:fill="FFFFFF"/>
        <w:spacing w:line="520" w:lineRule="exact"/>
        <w:jc w:val="left"/>
        <w:rPr>
          <w:rFonts w:ascii="方正仿宋简体" w:hAnsi="Arial" w:eastAsia="方正仿宋简体" w:cs="Arial"/>
          <w:color w:val="191919"/>
          <w:kern w:val="0"/>
          <w:sz w:val="32"/>
          <w:szCs w:val="32"/>
        </w:rPr>
      </w:pPr>
      <w:r>
        <w:rPr>
          <w:rFonts w:hint="eastAsia" w:ascii="方正仿宋简体" w:hAnsi="Arial" w:eastAsia="方正仿宋简体" w:cs="Arial"/>
          <w:color w:val="191919"/>
          <w:kern w:val="0"/>
          <w:sz w:val="32"/>
          <w:szCs w:val="32"/>
        </w:rPr>
        <w:t>（四）未取得“卫生许可证”，擅自营业的。</w:t>
      </w:r>
    </w:p>
    <w:p>
      <w:pPr>
        <w:widowControl/>
        <w:shd w:val="clear" w:color="auto" w:fill="FFFFFF"/>
        <w:spacing w:line="520" w:lineRule="exact"/>
        <w:jc w:val="left"/>
        <w:rPr>
          <w:rFonts w:ascii="方正仿宋简体" w:hAnsi="Arial" w:eastAsia="方正仿宋简体" w:cs="Arial"/>
          <w:color w:val="191919"/>
          <w:kern w:val="0"/>
          <w:sz w:val="32"/>
          <w:szCs w:val="32"/>
        </w:rPr>
      </w:pPr>
      <w:r>
        <w:rPr>
          <w:rFonts w:hint="eastAsia" w:ascii="方正仿宋简体" w:hAnsi="Arial" w:eastAsia="方正仿宋简体" w:cs="Arial"/>
          <w:color w:val="191919"/>
          <w:kern w:val="0"/>
          <w:sz w:val="32"/>
          <w:szCs w:val="32"/>
        </w:rPr>
        <w:t>罚款一律上交国库。</w:t>
      </w:r>
    </w:p>
    <w:p>
      <w:pPr>
        <w:widowControl/>
        <w:shd w:val="clear" w:color="auto" w:fill="FFFFFF"/>
        <w:spacing w:line="520" w:lineRule="exact"/>
        <w:jc w:val="left"/>
        <w:rPr>
          <w:rFonts w:ascii="方正黑体简体" w:hAnsi="Arial" w:eastAsia="方正黑体简体" w:cs="Arial"/>
          <w:color w:val="191919"/>
          <w:kern w:val="0"/>
          <w:sz w:val="32"/>
          <w:szCs w:val="32"/>
        </w:rPr>
      </w:pPr>
      <w:r>
        <w:rPr>
          <w:rFonts w:hint="eastAsia" w:ascii="方正黑体简体" w:hAnsi="Arial" w:eastAsia="方正黑体简体" w:cs="Arial"/>
          <w:color w:val="191919"/>
          <w:kern w:val="0"/>
          <w:sz w:val="32"/>
          <w:szCs w:val="32"/>
        </w:rPr>
        <w:t>依据《公共场所卫生管理条例实施细则》（2017年修正）</w:t>
      </w:r>
    </w:p>
    <w:p>
      <w:pPr>
        <w:widowControl/>
        <w:shd w:val="clear" w:color="auto" w:fill="FFFFFF"/>
        <w:spacing w:line="520" w:lineRule="exact"/>
        <w:ind w:firstLine="643" w:firstLineChars="200"/>
        <w:rPr>
          <w:rFonts w:ascii="方正仿宋简体" w:hAnsi="Arial" w:eastAsia="方正仿宋简体" w:cs="Arial"/>
          <w:color w:val="191919"/>
          <w:kern w:val="0"/>
          <w:sz w:val="32"/>
          <w:szCs w:val="32"/>
        </w:rPr>
      </w:pPr>
      <w:r>
        <w:rPr>
          <w:rFonts w:hint="eastAsia" w:ascii="方正仿宋简体" w:hAnsi="Arial" w:eastAsia="方正仿宋简体" w:cs="Arial"/>
          <w:b/>
          <w:bCs/>
          <w:color w:val="191919"/>
          <w:kern w:val="0"/>
          <w:sz w:val="32"/>
          <w:szCs w:val="32"/>
        </w:rPr>
        <w:t xml:space="preserve">第三十五条 </w:t>
      </w:r>
      <w:r>
        <w:rPr>
          <w:rFonts w:hint="eastAsia" w:ascii="方正仿宋简体" w:hAnsi="Arial" w:eastAsia="方正仿宋简体" w:cs="Arial"/>
          <w:color w:val="191919"/>
          <w:kern w:val="0"/>
          <w:sz w:val="32"/>
          <w:szCs w:val="32"/>
        </w:rPr>
        <w:t>对未依法取得公共场所卫生许可证擅自营业的，由县级以上地方人民政府卫生计生行政部门责令限期改正，给予警告，并处以五百元以上五千元以下罚款；有下列情形之一的，处以五千元以上三万元以下罚款：</w:t>
      </w:r>
    </w:p>
    <w:p>
      <w:pPr>
        <w:widowControl/>
        <w:shd w:val="clear" w:color="auto" w:fill="FFFFFF"/>
        <w:spacing w:line="520" w:lineRule="exact"/>
        <w:jc w:val="left"/>
        <w:rPr>
          <w:rFonts w:ascii="方正仿宋简体" w:hAnsi="Arial" w:eastAsia="方正仿宋简体" w:cs="Arial"/>
          <w:color w:val="191919"/>
          <w:kern w:val="0"/>
          <w:sz w:val="32"/>
          <w:szCs w:val="32"/>
        </w:rPr>
      </w:pPr>
      <w:r>
        <w:rPr>
          <w:rFonts w:hint="eastAsia" w:ascii="方正仿宋简体" w:hAnsi="Arial" w:eastAsia="方正仿宋简体" w:cs="Arial"/>
          <w:color w:val="191919"/>
          <w:kern w:val="0"/>
          <w:sz w:val="32"/>
          <w:szCs w:val="32"/>
        </w:rPr>
        <w:t>（一）擅自营业曾受过卫生计生行政部门处罚的；</w:t>
      </w:r>
    </w:p>
    <w:p>
      <w:pPr>
        <w:widowControl/>
        <w:shd w:val="clear" w:color="auto" w:fill="FFFFFF"/>
        <w:spacing w:line="520" w:lineRule="exact"/>
        <w:jc w:val="left"/>
        <w:rPr>
          <w:rFonts w:ascii="方正仿宋简体" w:hAnsi="Arial" w:eastAsia="方正仿宋简体" w:cs="Arial"/>
          <w:color w:val="191919"/>
          <w:kern w:val="0"/>
          <w:sz w:val="32"/>
          <w:szCs w:val="32"/>
        </w:rPr>
      </w:pPr>
      <w:r>
        <w:rPr>
          <w:rFonts w:hint="eastAsia" w:ascii="方正仿宋简体" w:hAnsi="Arial" w:eastAsia="方正仿宋简体" w:cs="Arial"/>
          <w:color w:val="191919"/>
          <w:kern w:val="0"/>
          <w:sz w:val="32"/>
          <w:szCs w:val="32"/>
        </w:rPr>
        <w:t>（二）擅自营业时间在三个月以上的；</w:t>
      </w:r>
    </w:p>
    <w:p>
      <w:pPr>
        <w:widowControl/>
        <w:shd w:val="clear" w:color="auto" w:fill="FFFFFF"/>
        <w:spacing w:line="520" w:lineRule="exact"/>
        <w:jc w:val="left"/>
        <w:rPr>
          <w:rFonts w:ascii="方正仿宋简体" w:hAnsi="Arial" w:eastAsia="方正仿宋简体" w:cs="Arial"/>
          <w:color w:val="191919"/>
          <w:kern w:val="0"/>
          <w:sz w:val="32"/>
          <w:szCs w:val="32"/>
        </w:rPr>
      </w:pPr>
      <w:r>
        <w:rPr>
          <w:rFonts w:hint="eastAsia" w:ascii="方正仿宋简体" w:hAnsi="Arial" w:eastAsia="方正仿宋简体" w:cs="Arial"/>
          <w:color w:val="191919"/>
          <w:kern w:val="0"/>
          <w:sz w:val="32"/>
          <w:szCs w:val="32"/>
        </w:rPr>
        <w:t>（三）以涂改、转让、倒卖、伪造的卫生许可证擅自营业的。</w:t>
      </w:r>
    </w:p>
    <w:p>
      <w:pPr>
        <w:widowControl/>
        <w:shd w:val="clear" w:color="auto" w:fill="FFFFFF"/>
        <w:spacing w:line="520" w:lineRule="exact"/>
        <w:jc w:val="left"/>
        <w:rPr>
          <w:rFonts w:ascii="方正仿宋简体" w:hAnsi="Arial" w:eastAsia="方正仿宋简体" w:cs="Arial"/>
          <w:color w:val="191919"/>
          <w:kern w:val="0"/>
          <w:sz w:val="32"/>
          <w:szCs w:val="32"/>
        </w:rPr>
      </w:pPr>
      <w:r>
        <w:rPr>
          <w:rFonts w:hint="eastAsia" w:ascii="方正仿宋简体" w:hAnsi="Arial" w:eastAsia="方正仿宋简体" w:cs="Arial"/>
          <w:color w:val="191919"/>
          <w:kern w:val="0"/>
          <w:sz w:val="32"/>
          <w:szCs w:val="32"/>
        </w:rPr>
        <w:t>对涂改、转让、倒卖有效卫生许可证的，由原发证的卫生计生行政部门予以注销。</w:t>
      </w:r>
    </w:p>
    <w:p>
      <w:pPr>
        <w:widowControl/>
        <w:shd w:val="clear" w:color="auto" w:fill="FFFFFF"/>
        <w:spacing w:line="520" w:lineRule="exact"/>
        <w:ind w:firstLine="643" w:firstLineChars="200"/>
        <w:jc w:val="left"/>
        <w:rPr>
          <w:rFonts w:ascii="方正仿宋简体" w:hAnsi="Arial" w:eastAsia="方正仿宋简体" w:cs="Arial"/>
          <w:color w:val="191919"/>
          <w:kern w:val="0"/>
          <w:sz w:val="32"/>
          <w:szCs w:val="32"/>
        </w:rPr>
      </w:pPr>
      <w:r>
        <w:rPr>
          <w:rFonts w:hint="eastAsia" w:ascii="方正仿宋简体" w:hAnsi="Arial" w:eastAsia="方正仿宋简体" w:cs="Arial"/>
          <w:b/>
          <w:bCs/>
          <w:color w:val="191919"/>
          <w:kern w:val="0"/>
          <w:sz w:val="32"/>
          <w:szCs w:val="32"/>
        </w:rPr>
        <w:t xml:space="preserve">第三十六条 </w:t>
      </w:r>
      <w:r>
        <w:rPr>
          <w:rFonts w:hint="eastAsia" w:ascii="方正仿宋简体" w:hAnsi="Arial" w:eastAsia="方正仿宋简体" w:cs="Arial"/>
          <w:color w:val="191919"/>
          <w:kern w:val="0"/>
          <w:sz w:val="32"/>
          <w:szCs w:val="32"/>
        </w:rPr>
        <w:t>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w:t>
      </w:r>
    </w:p>
    <w:p>
      <w:pPr>
        <w:widowControl/>
        <w:shd w:val="clear" w:color="auto" w:fill="FFFFFF"/>
        <w:spacing w:line="520" w:lineRule="exact"/>
        <w:jc w:val="left"/>
        <w:rPr>
          <w:rFonts w:ascii="方正仿宋简体" w:hAnsi="Arial" w:eastAsia="方正仿宋简体" w:cs="Arial"/>
          <w:color w:val="191919"/>
          <w:kern w:val="0"/>
          <w:sz w:val="32"/>
          <w:szCs w:val="32"/>
        </w:rPr>
      </w:pPr>
      <w:r>
        <w:rPr>
          <w:rFonts w:hint="eastAsia" w:ascii="方正仿宋简体" w:hAnsi="Arial" w:eastAsia="方正仿宋简体" w:cs="Arial"/>
          <w:color w:val="191919"/>
          <w:kern w:val="0"/>
          <w:sz w:val="32"/>
          <w:szCs w:val="32"/>
        </w:rPr>
        <w:t>（一）未按照规定对公共场所的空气、微小气候、水质、采光、照明、噪声、顾客用品用具等进行卫生检测的；</w:t>
      </w:r>
    </w:p>
    <w:p>
      <w:pPr>
        <w:widowControl/>
        <w:shd w:val="clear" w:color="auto" w:fill="FFFFFF"/>
        <w:spacing w:line="520" w:lineRule="exact"/>
        <w:jc w:val="left"/>
        <w:rPr>
          <w:rFonts w:ascii="方正仿宋简体" w:hAnsi="Arial" w:eastAsia="方正仿宋简体" w:cs="Arial"/>
          <w:color w:val="191919"/>
          <w:kern w:val="0"/>
          <w:sz w:val="32"/>
          <w:szCs w:val="32"/>
        </w:rPr>
      </w:pPr>
      <w:r>
        <w:rPr>
          <w:rFonts w:hint="eastAsia" w:ascii="方正仿宋简体" w:hAnsi="Arial" w:eastAsia="方正仿宋简体" w:cs="Arial"/>
          <w:color w:val="191919"/>
          <w:kern w:val="0"/>
          <w:sz w:val="32"/>
          <w:szCs w:val="32"/>
        </w:rPr>
        <w:t>（二）未按照规定对顾客用品用具进行清洗、消毒、保洁，或者重复使用一次性用品用具的。</w:t>
      </w:r>
    </w:p>
    <w:p>
      <w:pPr>
        <w:widowControl/>
        <w:shd w:val="clear" w:color="auto" w:fill="FFFFFF"/>
        <w:spacing w:line="520" w:lineRule="exact"/>
        <w:ind w:firstLine="643" w:firstLineChars="200"/>
        <w:jc w:val="left"/>
        <w:rPr>
          <w:rFonts w:ascii="方正仿宋简体" w:hAnsi="Arial" w:eastAsia="方正仿宋简体" w:cs="Arial"/>
          <w:color w:val="191919"/>
          <w:kern w:val="0"/>
          <w:sz w:val="32"/>
          <w:szCs w:val="32"/>
        </w:rPr>
      </w:pPr>
      <w:r>
        <w:rPr>
          <w:rFonts w:hint="eastAsia" w:ascii="方正仿宋简体" w:hAnsi="Arial" w:eastAsia="方正仿宋简体" w:cs="Arial"/>
          <w:b/>
          <w:bCs/>
          <w:color w:val="191919"/>
          <w:kern w:val="0"/>
          <w:sz w:val="32"/>
          <w:szCs w:val="32"/>
        </w:rPr>
        <w:t xml:space="preserve">第三十七条 </w:t>
      </w:r>
      <w:r>
        <w:rPr>
          <w:rFonts w:hint="eastAsia" w:ascii="方正仿宋简体" w:hAnsi="Arial" w:eastAsia="方正仿宋简体" w:cs="Arial"/>
          <w:color w:val="191919"/>
          <w:kern w:val="0"/>
          <w:sz w:val="32"/>
          <w:szCs w:val="32"/>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pPr>
        <w:widowControl/>
        <w:shd w:val="clear" w:color="auto" w:fill="FFFFFF"/>
        <w:spacing w:line="520" w:lineRule="exact"/>
        <w:jc w:val="left"/>
        <w:rPr>
          <w:rFonts w:ascii="方正仿宋简体" w:hAnsi="Arial" w:eastAsia="方正仿宋简体" w:cs="Arial"/>
          <w:color w:val="191919"/>
          <w:kern w:val="0"/>
          <w:sz w:val="32"/>
          <w:szCs w:val="32"/>
        </w:rPr>
      </w:pPr>
      <w:r>
        <w:rPr>
          <w:rFonts w:hint="eastAsia" w:ascii="方正仿宋简体" w:hAnsi="Arial" w:eastAsia="方正仿宋简体" w:cs="Arial"/>
          <w:color w:val="191919"/>
          <w:kern w:val="0"/>
          <w:sz w:val="32"/>
          <w:szCs w:val="32"/>
        </w:rPr>
        <w:t>（一）未按照规定建立卫生管理制度、设立卫生管理部门或者配备专（兼）职卫生管理人员，或者未建立卫生管理档案的；</w:t>
      </w:r>
    </w:p>
    <w:p>
      <w:pPr>
        <w:widowControl/>
        <w:shd w:val="clear" w:color="auto" w:fill="FFFFFF"/>
        <w:spacing w:line="520" w:lineRule="exact"/>
        <w:jc w:val="left"/>
        <w:rPr>
          <w:rFonts w:ascii="方正仿宋简体" w:hAnsi="Arial" w:eastAsia="方正仿宋简体" w:cs="Arial"/>
          <w:color w:val="191919"/>
          <w:kern w:val="0"/>
          <w:sz w:val="32"/>
          <w:szCs w:val="32"/>
        </w:rPr>
      </w:pPr>
      <w:r>
        <w:rPr>
          <w:rFonts w:hint="eastAsia" w:ascii="方正仿宋简体" w:hAnsi="Arial" w:eastAsia="方正仿宋简体" w:cs="Arial"/>
          <w:color w:val="191919"/>
          <w:kern w:val="0"/>
          <w:sz w:val="32"/>
          <w:szCs w:val="32"/>
        </w:rPr>
        <w:t>（二）未按照规定组织从业人员进行相关卫生法律知识和公共场所卫生知识培训，或者安排未经相关卫生法律知识和公共场所卫生知识培训考核的从业人员上岗的；</w:t>
      </w:r>
    </w:p>
    <w:p>
      <w:pPr>
        <w:widowControl/>
        <w:shd w:val="clear" w:color="auto" w:fill="FFFFFF"/>
        <w:spacing w:line="520" w:lineRule="exact"/>
        <w:jc w:val="left"/>
        <w:rPr>
          <w:rFonts w:ascii="方正仿宋简体" w:hAnsi="Arial" w:eastAsia="方正仿宋简体" w:cs="Arial"/>
          <w:color w:val="191919"/>
          <w:kern w:val="0"/>
          <w:sz w:val="32"/>
          <w:szCs w:val="32"/>
        </w:rPr>
      </w:pPr>
      <w:r>
        <w:rPr>
          <w:rFonts w:hint="eastAsia" w:ascii="方正仿宋简体" w:hAnsi="Arial" w:eastAsia="方正仿宋简体" w:cs="Arial"/>
          <w:color w:val="191919"/>
          <w:kern w:val="0"/>
          <w:sz w:val="32"/>
          <w:szCs w:val="32"/>
        </w:rPr>
        <w:t>（三）未按照规定设置与其经营规模、项目相适应的清洗、消毒、保洁、盥洗等设施设备和公共卫生间，或者擅自停止使用、拆除上述设施设备，或者挪作他用的；</w:t>
      </w:r>
    </w:p>
    <w:p>
      <w:pPr>
        <w:widowControl/>
        <w:shd w:val="clear" w:color="auto" w:fill="FFFFFF"/>
        <w:spacing w:line="520" w:lineRule="exact"/>
        <w:jc w:val="left"/>
        <w:rPr>
          <w:rFonts w:ascii="方正仿宋简体" w:hAnsi="Arial" w:eastAsia="方正仿宋简体" w:cs="Arial"/>
          <w:color w:val="191919"/>
          <w:kern w:val="0"/>
          <w:sz w:val="32"/>
          <w:szCs w:val="32"/>
        </w:rPr>
      </w:pPr>
      <w:r>
        <w:rPr>
          <w:rFonts w:hint="eastAsia" w:ascii="方正仿宋简体" w:hAnsi="Arial" w:eastAsia="方正仿宋简体" w:cs="Arial"/>
          <w:color w:val="191919"/>
          <w:kern w:val="0"/>
          <w:sz w:val="32"/>
          <w:szCs w:val="32"/>
        </w:rPr>
        <w:t>（四）未按照规定配备预防控制鼠、蚊、蝇、蟑螂和其他病媒生物的设施设备以及废弃物存放专用设施设备，或者擅自停止使用、拆除预防控制鼠、蚊、蝇、蟑螂和其他病媒生物的设施设备以及废弃物存放专用设施设备的；</w:t>
      </w:r>
    </w:p>
    <w:p>
      <w:pPr>
        <w:widowControl/>
        <w:shd w:val="clear" w:color="auto" w:fill="FFFFFF"/>
        <w:spacing w:line="520" w:lineRule="exact"/>
        <w:jc w:val="left"/>
        <w:rPr>
          <w:rFonts w:ascii="方正仿宋简体" w:hAnsi="Arial" w:eastAsia="方正仿宋简体" w:cs="Arial"/>
          <w:color w:val="191919"/>
          <w:kern w:val="0"/>
          <w:sz w:val="32"/>
          <w:szCs w:val="32"/>
        </w:rPr>
      </w:pPr>
      <w:r>
        <w:rPr>
          <w:rFonts w:hint="eastAsia" w:ascii="方正仿宋简体" w:hAnsi="Arial" w:eastAsia="方正仿宋简体" w:cs="Arial"/>
          <w:color w:val="191919"/>
          <w:kern w:val="0"/>
          <w:sz w:val="32"/>
          <w:szCs w:val="32"/>
        </w:rPr>
        <w:t>（五）未按照规定索取公共卫生用品检验合格证明和其他相关资料的；</w:t>
      </w:r>
    </w:p>
    <w:p>
      <w:pPr>
        <w:widowControl/>
        <w:shd w:val="clear" w:color="auto" w:fill="FFFFFF"/>
        <w:spacing w:line="520" w:lineRule="exact"/>
        <w:jc w:val="left"/>
        <w:rPr>
          <w:rFonts w:ascii="方正仿宋简体" w:hAnsi="Arial" w:eastAsia="方正仿宋简体" w:cs="Arial"/>
          <w:color w:val="191919"/>
          <w:kern w:val="0"/>
          <w:sz w:val="32"/>
          <w:szCs w:val="32"/>
        </w:rPr>
      </w:pPr>
      <w:r>
        <w:rPr>
          <w:rFonts w:hint="eastAsia" w:ascii="方正仿宋简体" w:hAnsi="Arial" w:eastAsia="方正仿宋简体" w:cs="Arial"/>
          <w:color w:val="191919"/>
          <w:kern w:val="0"/>
          <w:sz w:val="32"/>
          <w:szCs w:val="32"/>
        </w:rPr>
        <w:t>（六）未按照规定对公共场所新建、改建、扩建项目办理预防性卫生审查手续的；</w:t>
      </w:r>
    </w:p>
    <w:p>
      <w:pPr>
        <w:widowControl/>
        <w:shd w:val="clear" w:color="auto" w:fill="FFFFFF"/>
        <w:spacing w:line="520" w:lineRule="exact"/>
        <w:jc w:val="left"/>
        <w:rPr>
          <w:rFonts w:ascii="方正仿宋简体" w:hAnsi="Arial" w:eastAsia="方正仿宋简体" w:cs="Arial"/>
          <w:color w:val="191919"/>
          <w:kern w:val="0"/>
          <w:sz w:val="32"/>
          <w:szCs w:val="32"/>
        </w:rPr>
      </w:pPr>
      <w:r>
        <w:rPr>
          <w:rFonts w:hint="eastAsia" w:ascii="方正仿宋简体" w:hAnsi="Arial" w:eastAsia="方正仿宋简体" w:cs="Arial"/>
          <w:color w:val="191919"/>
          <w:kern w:val="0"/>
          <w:sz w:val="32"/>
          <w:szCs w:val="32"/>
        </w:rPr>
        <w:t>（七）公共场所集中空调通风系统未经卫生检测或者评价不合格而投入使用的；</w:t>
      </w:r>
    </w:p>
    <w:p>
      <w:pPr>
        <w:widowControl/>
        <w:shd w:val="clear" w:color="auto" w:fill="FFFFFF"/>
        <w:spacing w:line="520" w:lineRule="exact"/>
        <w:jc w:val="left"/>
        <w:rPr>
          <w:rFonts w:ascii="方正仿宋简体" w:hAnsi="Arial" w:eastAsia="方正仿宋简体" w:cs="Arial"/>
          <w:color w:val="191919"/>
          <w:kern w:val="0"/>
          <w:sz w:val="32"/>
          <w:szCs w:val="32"/>
        </w:rPr>
      </w:pPr>
      <w:r>
        <w:rPr>
          <w:rFonts w:hint="eastAsia" w:ascii="方正仿宋简体" w:hAnsi="Arial" w:eastAsia="方正仿宋简体" w:cs="Arial"/>
          <w:color w:val="191919"/>
          <w:kern w:val="0"/>
          <w:sz w:val="32"/>
          <w:szCs w:val="32"/>
        </w:rPr>
        <w:t>（八）未按照规定公示公共场所卫生许可证、卫生检测结果和卫生信誉度等级的。</w:t>
      </w:r>
    </w:p>
    <w:p>
      <w:pPr>
        <w:widowControl/>
        <w:shd w:val="clear" w:color="auto" w:fill="FFFFFF"/>
        <w:spacing w:line="520" w:lineRule="exact"/>
        <w:ind w:firstLine="643" w:firstLineChars="200"/>
        <w:jc w:val="left"/>
        <w:rPr>
          <w:rFonts w:ascii="方正仿宋简体" w:hAnsi="Arial" w:eastAsia="方正仿宋简体" w:cs="Arial"/>
          <w:color w:val="191919"/>
          <w:kern w:val="0"/>
          <w:sz w:val="32"/>
          <w:szCs w:val="32"/>
        </w:rPr>
      </w:pPr>
      <w:r>
        <w:rPr>
          <w:rFonts w:hint="eastAsia" w:ascii="方正仿宋简体" w:hAnsi="Arial" w:eastAsia="方正仿宋简体" w:cs="Arial"/>
          <w:b/>
          <w:bCs/>
          <w:color w:val="191919"/>
          <w:kern w:val="0"/>
          <w:sz w:val="32"/>
          <w:szCs w:val="32"/>
        </w:rPr>
        <w:t xml:space="preserve">第三十八条 </w:t>
      </w:r>
      <w:r>
        <w:rPr>
          <w:rFonts w:hint="eastAsia" w:ascii="方正仿宋简体" w:hAnsi="Arial" w:eastAsia="方正仿宋简体" w:cs="Arial"/>
          <w:color w:val="191919"/>
          <w:kern w:val="0"/>
          <w:sz w:val="32"/>
          <w:szCs w:val="32"/>
        </w:rPr>
        <w:t>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p>
      <w:pPr>
        <w:widowControl/>
        <w:shd w:val="clear" w:color="auto" w:fill="FFFFFF"/>
        <w:spacing w:line="520" w:lineRule="exact"/>
        <w:ind w:firstLine="643" w:firstLineChars="200"/>
        <w:jc w:val="left"/>
        <w:rPr>
          <w:rFonts w:ascii="方正仿宋简体" w:hAnsi="Arial" w:eastAsia="方正仿宋简体" w:cs="Arial"/>
          <w:color w:val="191919"/>
          <w:kern w:val="0"/>
          <w:sz w:val="32"/>
          <w:szCs w:val="32"/>
        </w:rPr>
      </w:pPr>
      <w:r>
        <w:rPr>
          <w:rFonts w:hint="eastAsia" w:ascii="方正仿宋简体" w:hAnsi="Arial" w:eastAsia="方正仿宋简体" w:cs="Arial"/>
          <w:b/>
          <w:bCs/>
          <w:color w:val="191919"/>
          <w:kern w:val="0"/>
          <w:sz w:val="32"/>
          <w:szCs w:val="32"/>
        </w:rPr>
        <w:t xml:space="preserve">第三十九条 </w:t>
      </w:r>
      <w:r>
        <w:rPr>
          <w:rFonts w:hint="eastAsia" w:ascii="方正仿宋简体" w:hAnsi="Arial" w:eastAsia="方正仿宋简体" w:cs="Arial"/>
          <w:color w:val="191919"/>
          <w:kern w:val="0"/>
          <w:sz w:val="32"/>
          <w:szCs w:val="32"/>
        </w:rPr>
        <w:t>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p>
      <w:pPr>
        <w:widowControl/>
        <w:shd w:val="clear" w:color="auto" w:fill="FFFFFF"/>
        <w:spacing w:line="520" w:lineRule="exact"/>
        <w:jc w:val="left"/>
        <w:rPr>
          <w:rFonts w:ascii="方正仿宋简体" w:hAnsi="Arial" w:eastAsia="方正仿宋简体" w:cs="Arial"/>
          <w:color w:val="191919"/>
          <w:kern w:val="0"/>
          <w:sz w:val="32"/>
          <w:szCs w:val="32"/>
        </w:rPr>
      </w:pPr>
    </w:p>
    <w:p>
      <w:pPr>
        <w:widowControl/>
        <w:shd w:val="clear" w:color="auto" w:fill="FFFFFF"/>
        <w:spacing w:line="520" w:lineRule="exact"/>
        <w:jc w:val="left"/>
        <w:rPr>
          <w:rFonts w:ascii="方正黑体简体" w:hAnsi="Arial" w:eastAsia="方正黑体简体" w:cs="Arial"/>
          <w:color w:val="191919"/>
          <w:kern w:val="0"/>
          <w:sz w:val="32"/>
          <w:szCs w:val="32"/>
        </w:rPr>
      </w:pPr>
      <w:r>
        <w:rPr>
          <w:rFonts w:hint="eastAsia" w:ascii="方正黑体简体" w:hAnsi="Arial" w:eastAsia="方正黑体简体" w:cs="Arial"/>
          <w:color w:val="191919"/>
          <w:kern w:val="0"/>
          <w:sz w:val="32"/>
          <w:szCs w:val="32"/>
        </w:rPr>
        <w:t>3、对餐具、饮具集中消毒服务单位违反集中消毒规定的处罚，依据《中华人民共和国食品安全法》（2018年修正）</w:t>
      </w:r>
    </w:p>
    <w:p>
      <w:pPr>
        <w:widowControl/>
        <w:shd w:val="clear" w:color="auto" w:fill="FFFFFF"/>
        <w:spacing w:line="520" w:lineRule="exact"/>
        <w:ind w:firstLine="643" w:firstLineChars="200"/>
        <w:jc w:val="left"/>
        <w:rPr>
          <w:rFonts w:ascii="方正仿宋简体" w:hAnsi="微软雅黑" w:eastAsia="方正仿宋简体" w:cs="宋体"/>
          <w:color w:val="333333"/>
          <w:kern w:val="0"/>
          <w:sz w:val="32"/>
          <w:szCs w:val="32"/>
        </w:rPr>
      </w:pPr>
      <w:r>
        <w:rPr>
          <w:rFonts w:hint="eastAsia" w:ascii="方正仿宋简体" w:hAnsi="微软雅黑" w:eastAsia="方正仿宋简体" w:cs="宋体"/>
          <w:b/>
          <w:color w:val="333333"/>
          <w:kern w:val="0"/>
          <w:sz w:val="32"/>
          <w:szCs w:val="32"/>
        </w:rPr>
        <w:t>第一百二十六条</w:t>
      </w:r>
      <w:r>
        <w:rPr>
          <w:rFonts w:hint="eastAsia" w:ascii="方正仿宋简体" w:hAnsi="微软雅黑" w:eastAsia="方正仿宋简体" w:cs="宋体"/>
          <w:color w:val="333333"/>
          <w:kern w:val="0"/>
          <w:sz w:val="32"/>
          <w:szCs w:val="32"/>
        </w:rPr>
        <w:t>　违反本法规定，有下列情形之一的，由县级以上人民政府食品安全监督管理部门责令改正，给予警告；拒不改正的，处五千元以上五万元以下罚款；情节严重的，责令停产停业，直至吊销许可证：</w:t>
      </w:r>
    </w:p>
    <w:p>
      <w:pPr>
        <w:widowControl/>
        <w:shd w:val="clear" w:color="auto" w:fill="FFFFFF"/>
        <w:spacing w:line="520" w:lineRule="exact"/>
        <w:jc w:val="left"/>
        <w:rPr>
          <w:rFonts w:ascii="方正仿宋简体" w:hAnsi="微软雅黑" w:eastAsia="方正仿宋简体" w:cs="宋体"/>
          <w:color w:val="333333"/>
          <w:kern w:val="0"/>
          <w:sz w:val="32"/>
          <w:szCs w:val="32"/>
        </w:rPr>
      </w:pPr>
      <w:r>
        <w:rPr>
          <w:rFonts w:hint="eastAsia" w:ascii="方正仿宋简体" w:hAnsi="微软雅黑" w:eastAsia="方正仿宋简体" w:cs="宋体"/>
          <w:color w:val="333333"/>
          <w:kern w:val="0"/>
          <w:sz w:val="32"/>
          <w:szCs w:val="32"/>
        </w:rPr>
        <w:t>（一）食品、食品添加剂生产者未按规定对采购的食品原料和生产的食品、食品添加剂进行检验；</w:t>
      </w:r>
    </w:p>
    <w:p>
      <w:pPr>
        <w:widowControl/>
        <w:shd w:val="clear" w:color="auto" w:fill="FFFFFF"/>
        <w:spacing w:line="520" w:lineRule="exact"/>
        <w:jc w:val="left"/>
        <w:rPr>
          <w:rFonts w:ascii="方正仿宋简体" w:hAnsi="微软雅黑" w:eastAsia="方正仿宋简体" w:cs="宋体"/>
          <w:color w:val="333333"/>
          <w:kern w:val="0"/>
          <w:sz w:val="32"/>
          <w:szCs w:val="32"/>
        </w:rPr>
      </w:pPr>
      <w:r>
        <w:rPr>
          <w:rFonts w:hint="eastAsia" w:ascii="方正仿宋简体" w:hAnsi="微软雅黑" w:eastAsia="方正仿宋简体" w:cs="宋体"/>
          <w:color w:val="333333"/>
          <w:kern w:val="0"/>
          <w:sz w:val="32"/>
          <w:szCs w:val="32"/>
        </w:rPr>
        <w:t>（二）食品生产经营企业未按规定建立食品安全管理制度，或者未按规定配备或者培训、考核食品安全管理人员；</w:t>
      </w:r>
    </w:p>
    <w:p>
      <w:pPr>
        <w:widowControl/>
        <w:shd w:val="clear" w:color="auto" w:fill="FFFFFF"/>
        <w:spacing w:line="520" w:lineRule="exact"/>
        <w:jc w:val="left"/>
        <w:rPr>
          <w:rFonts w:ascii="方正仿宋简体" w:hAnsi="微软雅黑" w:eastAsia="方正仿宋简体" w:cs="宋体"/>
          <w:color w:val="333333"/>
          <w:kern w:val="0"/>
          <w:sz w:val="32"/>
          <w:szCs w:val="32"/>
        </w:rPr>
      </w:pPr>
      <w:r>
        <w:rPr>
          <w:rFonts w:hint="eastAsia" w:ascii="方正仿宋简体" w:hAnsi="微软雅黑" w:eastAsia="方正仿宋简体" w:cs="宋体"/>
          <w:color w:val="333333"/>
          <w:kern w:val="0"/>
          <w:sz w:val="32"/>
          <w:szCs w:val="32"/>
        </w:rPr>
        <w:t>（三）食品、食品添加剂生产经营者进货时未查验许可证和相关证明文件，或者未按规定建立并遵守进货查验记录、出厂检验记录和销售记录制度；</w:t>
      </w:r>
    </w:p>
    <w:p>
      <w:pPr>
        <w:widowControl/>
        <w:shd w:val="clear" w:color="auto" w:fill="FFFFFF"/>
        <w:spacing w:line="520" w:lineRule="exact"/>
        <w:jc w:val="left"/>
        <w:rPr>
          <w:rFonts w:ascii="方正仿宋简体" w:hAnsi="微软雅黑" w:eastAsia="方正仿宋简体" w:cs="宋体"/>
          <w:color w:val="333333"/>
          <w:kern w:val="0"/>
          <w:sz w:val="32"/>
          <w:szCs w:val="32"/>
        </w:rPr>
      </w:pPr>
      <w:r>
        <w:rPr>
          <w:rFonts w:hint="eastAsia" w:ascii="方正仿宋简体" w:hAnsi="微软雅黑" w:eastAsia="方正仿宋简体" w:cs="宋体"/>
          <w:color w:val="333333"/>
          <w:kern w:val="0"/>
          <w:sz w:val="32"/>
          <w:szCs w:val="32"/>
        </w:rPr>
        <w:t>（四）食品生产经营企业未制定食品安全事故处置方案；</w:t>
      </w:r>
    </w:p>
    <w:p>
      <w:pPr>
        <w:widowControl/>
        <w:shd w:val="clear" w:color="auto" w:fill="FFFFFF"/>
        <w:spacing w:line="520" w:lineRule="exact"/>
        <w:jc w:val="left"/>
        <w:rPr>
          <w:rFonts w:ascii="方正仿宋简体" w:hAnsi="微软雅黑" w:eastAsia="方正仿宋简体" w:cs="宋体"/>
          <w:color w:val="333333"/>
          <w:kern w:val="0"/>
          <w:sz w:val="32"/>
          <w:szCs w:val="32"/>
        </w:rPr>
      </w:pPr>
      <w:r>
        <w:rPr>
          <w:rFonts w:hint="eastAsia" w:ascii="方正仿宋简体" w:hAnsi="微软雅黑" w:eastAsia="方正仿宋简体" w:cs="宋体"/>
          <w:color w:val="333333"/>
          <w:kern w:val="0"/>
          <w:sz w:val="32"/>
          <w:szCs w:val="32"/>
        </w:rPr>
        <w:t>（五）餐具、饮具和盛放直接入口食品的容器，使用前未经洗净、消毒或者清洗消毒不合格，或者餐饮服务设施、设备未按规定定期维护、清洗、校验；</w:t>
      </w:r>
    </w:p>
    <w:p>
      <w:pPr>
        <w:widowControl/>
        <w:shd w:val="clear" w:color="auto" w:fill="FFFFFF"/>
        <w:spacing w:line="520" w:lineRule="exact"/>
        <w:jc w:val="left"/>
        <w:rPr>
          <w:rFonts w:ascii="方正仿宋简体" w:hAnsi="微软雅黑" w:eastAsia="方正仿宋简体" w:cs="宋体"/>
          <w:color w:val="333333"/>
          <w:kern w:val="0"/>
          <w:sz w:val="32"/>
          <w:szCs w:val="32"/>
        </w:rPr>
      </w:pPr>
      <w:r>
        <w:rPr>
          <w:rFonts w:hint="eastAsia" w:ascii="方正仿宋简体" w:hAnsi="微软雅黑" w:eastAsia="方正仿宋简体" w:cs="宋体"/>
          <w:color w:val="333333"/>
          <w:kern w:val="0"/>
          <w:sz w:val="32"/>
          <w:szCs w:val="32"/>
        </w:rPr>
        <w:t>（六）食品生产经营者安排未取得健康证明或者患有国务院卫生行政部门规定的有碍食品安全疾病的人员从事接触直接入口食品的工作；</w:t>
      </w:r>
    </w:p>
    <w:p>
      <w:pPr>
        <w:widowControl/>
        <w:shd w:val="clear" w:color="auto" w:fill="FFFFFF"/>
        <w:spacing w:line="520" w:lineRule="exact"/>
        <w:jc w:val="left"/>
        <w:rPr>
          <w:rFonts w:ascii="方正仿宋简体" w:hAnsi="微软雅黑" w:eastAsia="方正仿宋简体" w:cs="宋体"/>
          <w:color w:val="333333"/>
          <w:kern w:val="0"/>
          <w:sz w:val="32"/>
          <w:szCs w:val="32"/>
        </w:rPr>
      </w:pPr>
      <w:r>
        <w:rPr>
          <w:rFonts w:hint="eastAsia" w:ascii="方正仿宋简体" w:hAnsi="微软雅黑" w:eastAsia="方正仿宋简体" w:cs="宋体"/>
          <w:color w:val="333333"/>
          <w:kern w:val="0"/>
          <w:sz w:val="32"/>
          <w:szCs w:val="32"/>
        </w:rPr>
        <w:t>（七）食品经营者未按规定要求销售食品；</w:t>
      </w:r>
    </w:p>
    <w:p>
      <w:pPr>
        <w:widowControl/>
        <w:shd w:val="clear" w:color="auto" w:fill="FFFFFF"/>
        <w:spacing w:line="520" w:lineRule="exact"/>
        <w:jc w:val="left"/>
        <w:rPr>
          <w:rFonts w:ascii="方正仿宋简体" w:hAnsi="微软雅黑" w:eastAsia="方正仿宋简体" w:cs="宋体"/>
          <w:color w:val="333333"/>
          <w:kern w:val="0"/>
          <w:sz w:val="32"/>
          <w:szCs w:val="32"/>
        </w:rPr>
      </w:pPr>
      <w:r>
        <w:rPr>
          <w:rFonts w:hint="eastAsia" w:ascii="方正仿宋简体" w:hAnsi="微软雅黑" w:eastAsia="方正仿宋简体" w:cs="宋体"/>
          <w:color w:val="333333"/>
          <w:kern w:val="0"/>
          <w:sz w:val="32"/>
          <w:szCs w:val="32"/>
        </w:rPr>
        <w:t>（八）保健食品生产企业未按规定向食品安全监督管理部门备案，或者未按备案的产品配方、生产工艺等技术要求组织生产；</w:t>
      </w:r>
    </w:p>
    <w:p>
      <w:pPr>
        <w:widowControl/>
        <w:shd w:val="clear" w:color="auto" w:fill="FFFFFF"/>
        <w:spacing w:line="520" w:lineRule="exact"/>
        <w:jc w:val="left"/>
        <w:rPr>
          <w:rFonts w:ascii="方正仿宋简体" w:hAnsi="微软雅黑" w:eastAsia="方正仿宋简体" w:cs="宋体"/>
          <w:color w:val="333333"/>
          <w:kern w:val="0"/>
          <w:sz w:val="32"/>
          <w:szCs w:val="32"/>
        </w:rPr>
      </w:pPr>
      <w:r>
        <w:rPr>
          <w:rFonts w:hint="eastAsia" w:ascii="方正仿宋简体" w:hAnsi="微软雅黑" w:eastAsia="方正仿宋简体" w:cs="宋体"/>
          <w:color w:val="333333"/>
          <w:kern w:val="0"/>
          <w:sz w:val="32"/>
          <w:szCs w:val="32"/>
        </w:rPr>
        <w:t>（九）婴幼儿配方食品生产企业未将食品原料、食品添加剂、产品配方、标签等向食品安全监督管理部门备案；</w:t>
      </w:r>
    </w:p>
    <w:p>
      <w:pPr>
        <w:widowControl/>
        <w:shd w:val="clear" w:color="auto" w:fill="FFFFFF"/>
        <w:spacing w:line="520" w:lineRule="exact"/>
        <w:jc w:val="left"/>
        <w:rPr>
          <w:rFonts w:ascii="方正仿宋简体" w:hAnsi="微软雅黑" w:eastAsia="方正仿宋简体" w:cs="宋体"/>
          <w:color w:val="333333"/>
          <w:kern w:val="0"/>
          <w:sz w:val="32"/>
          <w:szCs w:val="32"/>
        </w:rPr>
      </w:pPr>
      <w:r>
        <w:rPr>
          <w:rFonts w:hint="eastAsia" w:ascii="方正仿宋简体" w:hAnsi="微软雅黑" w:eastAsia="方正仿宋简体" w:cs="宋体"/>
          <w:color w:val="333333"/>
          <w:kern w:val="0"/>
          <w:sz w:val="32"/>
          <w:szCs w:val="32"/>
        </w:rPr>
        <w:t>（十）特殊食品生产企业未按规定建立生产质量管理体系并有效运行，或者未定期提交自查报告；</w:t>
      </w:r>
    </w:p>
    <w:p>
      <w:pPr>
        <w:widowControl/>
        <w:shd w:val="clear" w:color="auto" w:fill="FFFFFF"/>
        <w:spacing w:line="520" w:lineRule="exact"/>
        <w:jc w:val="left"/>
        <w:rPr>
          <w:rFonts w:ascii="方正仿宋简体" w:hAnsi="微软雅黑" w:eastAsia="方正仿宋简体" w:cs="宋体"/>
          <w:color w:val="333333"/>
          <w:kern w:val="0"/>
          <w:sz w:val="32"/>
          <w:szCs w:val="32"/>
        </w:rPr>
      </w:pPr>
      <w:r>
        <w:rPr>
          <w:rFonts w:hint="eastAsia" w:ascii="方正仿宋简体" w:hAnsi="微软雅黑" w:eastAsia="方正仿宋简体" w:cs="宋体"/>
          <w:color w:val="333333"/>
          <w:kern w:val="0"/>
          <w:sz w:val="32"/>
          <w:szCs w:val="32"/>
        </w:rPr>
        <w:t>（十一）食品生产经营者未定期对食品安全状况进行检查评价，或者生产经营条件发生变化，未按规定处理；</w:t>
      </w:r>
    </w:p>
    <w:p>
      <w:pPr>
        <w:widowControl/>
        <w:shd w:val="clear" w:color="auto" w:fill="FFFFFF"/>
        <w:spacing w:line="520" w:lineRule="exact"/>
        <w:jc w:val="left"/>
        <w:rPr>
          <w:rFonts w:ascii="方正仿宋简体" w:hAnsi="微软雅黑" w:eastAsia="方正仿宋简体" w:cs="宋体"/>
          <w:color w:val="333333"/>
          <w:kern w:val="0"/>
          <w:sz w:val="32"/>
          <w:szCs w:val="32"/>
        </w:rPr>
      </w:pPr>
      <w:r>
        <w:rPr>
          <w:rFonts w:hint="eastAsia" w:ascii="方正仿宋简体" w:hAnsi="微软雅黑" w:eastAsia="方正仿宋简体" w:cs="宋体"/>
          <w:color w:val="333333"/>
          <w:kern w:val="0"/>
          <w:sz w:val="32"/>
          <w:szCs w:val="32"/>
        </w:rPr>
        <w:t>（十二）学校、托幼机构、养老机构、建筑工地等集中用餐单位未按规定履行食品安全管理责任；</w:t>
      </w:r>
    </w:p>
    <w:p>
      <w:pPr>
        <w:widowControl/>
        <w:shd w:val="clear" w:color="auto" w:fill="FFFFFF"/>
        <w:spacing w:line="520" w:lineRule="exact"/>
        <w:jc w:val="left"/>
        <w:rPr>
          <w:rFonts w:ascii="方正仿宋简体" w:hAnsi="微软雅黑" w:eastAsia="方正仿宋简体" w:cs="宋体"/>
          <w:color w:val="333333"/>
          <w:kern w:val="0"/>
          <w:sz w:val="32"/>
          <w:szCs w:val="32"/>
        </w:rPr>
      </w:pPr>
      <w:r>
        <w:rPr>
          <w:rFonts w:hint="eastAsia" w:ascii="方正仿宋简体" w:hAnsi="微软雅黑" w:eastAsia="方正仿宋简体" w:cs="宋体"/>
          <w:color w:val="333333"/>
          <w:kern w:val="0"/>
          <w:sz w:val="32"/>
          <w:szCs w:val="32"/>
        </w:rPr>
        <w:t>（十三）食品生产企业、餐饮服务提供者未按规定制定、实施生产经营过程控制要求。</w:t>
      </w:r>
    </w:p>
    <w:p>
      <w:pPr>
        <w:widowControl/>
        <w:shd w:val="clear" w:color="auto" w:fill="FFFFFF"/>
        <w:spacing w:line="520" w:lineRule="exact"/>
        <w:jc w:val="left"/>
        <w:rPr>
          <w:rFonts w:ascii="方正仿宋简体" w:hAnsi="微软雅黑" w:eastAsia="方正仿宋简体" w:cs="宋体"/>
          <w:color w:val="333333"/>
          <w:kern w:val="0"/>
          <w:sz w:val="32"/>
          <w:szCs w:val="32"/>
        </w:rPr>
      </w:pPr>
      <w:r>
        <w:rPr>
          <w:rFonts w:hint="eastAsia" w:ascii="方正仿宋简体" w:hAnsi="微软雅黑" w:eastAsia="方正仿宋简体" w:cs="宋体"/>
          <w:color w:val="333333"/>
          <w:kern w:val="0"/>
          <w:sz w:val="32"/>
          <w:szCs w:val="32"/>
        </w:rPr>
        <w:t>　　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pPr>
        <w:widowControl/>
        <w:shd w:val="clear" w:color="auto" w:fill="FFFFFF"/>
        <w:spacing w:line="520" w:lineRule="exact"/>
        <w:jc w:val="left"/>
        <w:rPr>
          <w:rFonts w:ascii="方正仿宋简体" w:hAnsi="微软雅黑" w:eastAsia="方正仿宋简体" w:cs="宋体"/>
          <w:color w:val="333333"/>
          <w:kern w:val="0"/>
          <w:sz w:val="32"/>
          <w:szCs w:val="32"/>
        </w:rPr>
      </w:pPr>
      <w:r>
        <w:rPr>
          <w:rFonts w:hint="eastAsia" w:ascii="方正仿宋简体" w:hAnsi="微软雅黑" w:eastAsia="方正仿宋简体" w:cs="宋体"/>
          <w:color w:val="333333"/>
          <w:kern w:val="0"/>
          <w:sz w:val="32"/>
          <w:szCs w:val="32"/>
        </w:rPr>
        <w:t>　　食品相关产品生产者未按规定对生产的食品相关产品进行检验的，由县级以上人民政府食品安全监督管理部门依照第一款规定给予处罚。</w:t>
      </w:r>
    </w:p>
    <w:p>
      <w:pPr>
        <w:widowControl/>
        <w:shd w:val="clear" w:color="auto" w:fill="FFFFFF"/>
        <w:spacing w:line="520" w:lineRule="exact"/>
        <w:jc w:val="left"/>
        <w:rPr>
          <w:rFonts w:ascii="方正仿宋简体" w:hAnsi="Arial" w:eastAsia="方正仿宋简体" w:cs="Arial"/>
          <w:color w:val="191919"/>
          <w:kern w:val="0"/>
          <w:sz w:val="32"/>
          <w:szCs w:val="32"/>
        </w:rPr>
      </w:pPr>
      <w:r>
        <w:rPr>
          <w:rFonts w:hint="eastAsia" w:ascii="方正仿宋简体" w:hAnsi="微软雅黑" w:eastAsia="方正仿宋简体" w:cs="宋体"/>
          <w:color w:val="333333"/>
          <w:kern w:val="0"/>
          <w:sz w:val="32"/>
          <w:szCs w:val="32"/>
        </w:rPr>
        <w:t>　　食用农产品销售者违反本法第六十五条规定的，由县级以上人民政府食品安全监督管理部门依照第一款规定给予处罚。</w:t>
      </w:r>
      <w:r>
        <w:rPr>
          <w:rFonts w:hint="eastAsia" w:ascii="方正仿宋简体" w:hAnsi="Arial" w:eastAsia="方正仿宋简体" w:cs="Arial"/>
          <w:color w:val="191919"/>
          <w:kern w:val="0"/>
          <w:sz w:val="32"/>
          <w:szCs w:val="32"/>
        </w:rPr>
        <w:t xml:space="preserve"> </w:t>
      </w:r>
    </w:p>
    <w:p>
      <w:pPr>
        <w:pStyle w:val="4"/>
        <w:widowControl/>
        <w:spacing w:line="520" w:lineRule="exact"/>
        <w:rPr>
          <w:rFonts w:hint="eastAsia" w:ascii="方正仿宋简体" w:hAnsi="&amp;quot" w:eastAsia="方正仿宋简体" w:cs="宋体"/>
          <w:color w:val="333333"/>
          <w:kern w:val="0"/>
          <w:sz w:val="32"/>
          <w:szCs w:val="32"/>
        </w:rPr>
      </w:pPr>
    </w:p>
    <w:p>
      <w:pPr>
        <w:pStyle w:val="4"/>
        <w:widowControl/>
        <w:spacing w:line="520" w:lineRule="exact"/>
        <w:jc w:val="center"/>
        <w:rPr>
          <w:rStyle w:val="7"/>
          <w:rFonts w:hint="eastAsia" w:ascii="方正小标宋简体" w:hAnsi="&amp;quot" w:eastAsia="方正小标宋简体" w:cs="宋体"/>
          <w:color w:val="333333"/>
          <w:kern w:val="0"/>
          <w:sz w:val="44"/>
          <w:szCs w:val="44"/>
        </w:rPr>
      </w:pPr>
    </w:p>
    <w:p>
      <w:pPr>
        <w:adjustRightInd w:val="0"/>
        <w:snapToGrid w:val="0"/>
        <w:spacing w:line="480" w:lineRule="exact"/>
        <w:rPr>
          <w:rStyle w:val="7"/>
          <w:rFonts w:hint="eastAsia" w:ascii="方正小标宋简体" w:hAnsi="&amp;quot" w:eastAsia="方正小标宋简体" w:cs="宋体"/>
          <w:color w:val="333333"/>
          <w:kern w:val="0"/>
          <w:sz w:val="44"/>
          <w:szCs w:val="44"/>
        </w:rPr>
      </w:pPr>
    </w:p>
    <w:p>
      <w:pPr>
        <w:adjustRightInd w:val="0"/>
        <w:snapToGrid w:val="0"/>
        <w:spacing w:line="520" w:lineRule="exact"/>
        <w:jc w:val="left"/>
        <w:rPr>
          <w:rFonts w:hint="eastAsia" w:ascii="方正仿宋简体" w:hAnsi="&amp;quot" w:eastAsia="方正仿宋简体" w:cs="宋体"/>
          <w:color w:val="333333"/>
          <w:kern w:val="0"/>
          <w:sz w:val="32"/>
          <w:szCs w:val="32"/>
        </w:rPr>
      </w:pPr>
    </w:p>
    <w:sectPr>
      <w:footerReference r:id="rId3" w:type="default"/>
      <w:pgSz w:w="11906" w:h="16838"/>
      <w:pgMar w:top="187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amp;quot">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g4ZDIwYmYyMmJkOTliNmNkZWM2ZTMxY2QwODY3ODAifQ=="/>
  </w:docVars>
  <w:rsids>
    <w:rsidRoot w:val="53B14E99"/>
    <w:rsid w:val="000B57FD"/>
    <w:rsid w:val="000C390E"/>
    <w:rsid w:val="001D63BA"/>
    <w:rsid w:val="001D7EB8"/>
    <w:rsid w:val="001F062E"/>
    <w:rsid w:val="002700D3"/>
    <w:rsid w:val="00280F06"/>
    <w:rsid w:val="002E133C"/>
    <w:rsid w:val="00306786"/>
    <w:rsid w:val="003237B5"/>
    <w:rsid w:val="003429A5"/>
    <w:rsid w:val="003534A4"/>
    <w:rsid w:val="00360B80"/>
    <w:rsid w:val="003C134E"/>
    <w:rsid w:val="003C35BA"/>
    <w:rsid w:val="003C6996"/>
    <w:rsid w:val="00423FAC"/>
    <w:rsid w:val="00440620"/>
    <w:rsid w:val="00444B56"/>
    <w:rsid w:val="004C72E3"/>
    <w:rsid w:val="004F02C9"/>
    <w:rsid w:val="005029D8"/>
    <w:rsid w:val="00541B45"/>
    <w:rsid w:val="00563EC2"/>
    <w:rsid w:val="00576764"/>
    <w:rsid w:val="006164EE"/>
    <w:rsid w:val="00644E1F"/>
    <w:rsid w:val="006D7F56"/>
    <w:rsid w:val="00725B94"/>
    <w:rsid w:val="00794200"/>
    <w:rsid w:val="007A5FBD"/>
    <w:rsid w:val="007E158F"/>
    <w:rsid w:val="007E2EDF"/>
    <w:rsid w:val="008D35EC"/>
    <w:rsid w:val="008F0C9C"/>
    <w:rsid w:val="00900705"/>
    <w:rsid w:val="009028C4"/>
    <w:rsid w:val="00945161"/>
    <w:rsid w:val="00950727"/>
    <w:rsid w:val="009D4B82"/>
    <w:rsid w:val="00A21616"/>
    <w:rsid w:val="00A93F49"/>
    <w:rsid w:val="00A9695D"/>
    <w:rsid w:val="00AC414E"/>
    <w:rsid w:val="00AF5F18"/>
    <w:rsid w:val="00B376C0"/>
    <w:rsid w:val="00B55979"/>
    <w:rsid w:val="00BA544F"/>
    <w:rsid w:val="00C51C11"/>
    <w:rsid w:val="00CD18ED"/>
    <w:rsid w:val="00CD309B"/>
    <w:rsid w:val="00D10AEC"/>
    <w:rsid w:val="00D21953"/>
    <w:rsid w:val="00D4656D"/>
    <w:rsid w:val="00D81A94"/>
    <w:rsid w:val="00DA48B3"/>
    <w:rsid w:val="00E030F9"/>
    <w:rsid w:val="00F01FEF"/>
    <w:rsid w:val="00F23884"/>
    <w:rsid w:val="08A11799"/>
    <w:rsid w:val="0FEA182B"/>
    <w:rsid w:val="10172AB2"/>
    <w:rsid w:val="19F82FCD"/>
    <w:rsid w:val="1D45351D"/>
    <w:rsid w:val="20A17907"/>
    <w:rsid w:val="2BAF2BE8"/>
    <w:rsid w:val="2E0A061B"/>
    <w:rsid w:val="30E133FB"/>
    <w:rsid w:val="3AD95534"/>
    <w:rsid w:val="3FC60035"/>
    <w:rsid w:val="426C2D59"/>
    <w:rsid w:val="42766BF0"/>
    <w:rsid w:val="44C11CDF"/>
    <w:rsid w:val="46725BC6"/>
    <w:rsid w:val="49552D5F"/>
    <w:rsid w:val="4BE30C2A"/>
    <w:rsid w:val="4E5F3193"/>
    <w:rsid w:val="53B14E99"/>
    <w:rsid w:val="544F7E24"/>
    <w:rsid w:val="5584281B"/>
    <w:rsid w:val="55C71255"/>
    <w:rsid w:val="59026A2F"/>
    <w:rsid w:val="61200A8B"/>
    <w:rsid w:val="63FB6822"/>
    <w:rsid w:val="64344ACF"/>
    <w:rsid w:val="64665C5E"/>
    <w:rsid w:val="652D0C2D"/>
    <w:rsid w:val="67E4573F"/>
    <w:rsid w:val="6ECA0EDD"/>
    <w:rsid w:val="79FE624E"/>
    <w:rsid w:val="7BB15F97"/>
    <w:rsid w:val="7C70720F"/>
    <w:rsid w:val="7F267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rPr>
      <w:sz w:val="24"/>
    </w:rPr>
  </w:style>
  <w:style w:type="character" w:styleId="7">
    <w:name w:val="Strong"/>
    <w:basedOn w:val="6"/>
    <w:qFormat/>
    <w:uiPriority w:val="22"/>
    <w:rPr>
      <w:b/>
      <w:bCs/>
    </w:rPr>
  </w:style>
  <w:style w:type="character" w:styleId="8">
    <w:name w:val="Hyperlink"/>
    <w:basedOn w:val="6"/>
    <w:uiPriority w:val="0"/>
    <w:rPr>
      <w:color w:val="0563C1" w:themeColor="hyperlink"/>
      <w:u w:val="single"/>
    </w:rPr>
  </w:style>
  <w:style w:type="character" w:customStyle="1" w:styleId="9">
    <w:name w:val="font51"/>
    <w:basedOn w:val="6"/>
    <w:qFormat/>
    <w:uiPriority w:val="0"/>
    <w:rPr>
      <w:rFonts w:hint="eastAsia" w:ascii="新宋体" w:hAnsi="新宋体" w:eastAsia="新宋体" w:cs="新宋体"/>
      <w:b/>
      <w:color w:val="000000"/>
      <w:sz w:val="21"/>
      <w:szCs w:val="21"/>
      <w:u w:val="none"/>
    </w:rPr>
  </w:style>
  <w:style w:type="character" w:customStyle="1" w:styleId="10">
    <w:name w:val="font41"/>
    <w:basedOn w:val="6"/>
    <w:qFormat/>
    <w:uiPriority w:val="0"/>
    <w:rPr>
      <w:rFonts w:hint="eastAsia" w:ascii="新宋体" w:hAnsi="新宋体" w:eastAsia="新宋体" w:cs="新宋体"/>
      <w:color w:val="000000"/>
      <w:sz w:val="21"/>
      <w:szCs w:val="21"/>
      <w:u w:val="none"/>
    </w:rPr>
  </w:style>
  <w:style w:type="character" w:customStyle="1" w:styleId="11">
    <w:name w:val="页眉 Char"/>
    <w:basedOn w:val="6"/>
    <w:link w:val="3"/>
    <w:qFormat/>
    <w:uiPriority w:val="0"/>
    <w:rPr>
      <w:rFonts w:ascii="Calibri" w:hAnsi="Calibri"/>
      <w:kern w:val="2"/>
      <w:sz w:val="18"/>
      <w:szCs w:val="18"/>
    </w:rPr>
  </w:style>
  <w:style w:type="character" w:customStyle="1" w:styleId="12">
    <w:name w:val="页脚 Char"/>
    <w:basedOn w:val="6"/>
    <w:link w:val="2"/>
    <w:qFormat/>
    <w:uiPriority w:val="0"/>
    <w:rPr>
      <w:rFonts w:ascii="Calibri" w:hAnsi="Calibri"/>
      <w:kern w:val="2"/>
      <w:sz w:val="18"/>
      <w:szCs w:val="18"/>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445</Words>
  <Characters>2542</Characters>
  <Lines>21</Lines>
  <Paragraphs>5</Paragraphs>
  <TotalTime>289</TotalTime>
  <ScaleCrop>false</ScaleCrop>
  <LinksUpToDate>false</LinksUpToDate>
  <CharactersWithSpaces>2982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2020-06-16T09:06:00Z</dcterms:created>
  <dc:creator>sunshine</dc:creator>
  <cp:lastModifiedBy>Administrator</cp:lastModifiedBy>
  <cp:lastPrinted>2020-08-21T06:26:00Z</cp:lastPrinted>
  <dcterms:modified xsi:type="dcterms:W3CDTF">2024-03-20T01:55:25Z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C1E127C7D6D94F34A5F0BB78F3BB5980_12</vt:lpwstr>
  </property>
</Properties>
</file>