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settings.xml" ContentType="application/vnd.openxmlformats-officedocument.wordprocessingml.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widowControl/>
        <w:jc w:val="center"/>
        <w:rPr>
          <w:rFonts w:ascii="黑体" w:eastAsia="黑体" w:hAnsi="黑体"/>
          <w:b/>
          <w:sz w:val="72"/>
          <w:szCs w:val="72"/>
        </w:rPr>
      </w:pPr>
      <w:bookmarkStart w:id="0" w:name="_GoBack"/>
      <w:bookmarkEnd w:id="0"/>
      <w:r>
        <w:rPr>
          <w:rFonts w:ascii="黑体" w:eastAsia="黑体" w:hAnsi="宋体" w:hint="eastAsia"/>
          <w:color w:val="002060"/>
          <w:sz w:val="72"/>
          <w:szCs w:val="72"/>
          <w14:textOutline w14:w="5245" w14:cap="flat">
            <w14:solidFill>
              <w14:srgbClr w14:val="7D7D7D"/>
            </w14:solidFill>
            <w14:prstDash w14:val="solid"/>
            <w14:round/>
          </w14:textOutline>
        </w:rPr>
        <w:drawing>
          <wp:anchor distT="0" distB="0" distL="0" distR="0" simplePos="0" relativeHeight="2" behindDoc="1" locked="0" layoutInCell="1" hidden="0" allowOverlap="1">
            <wp:simplePos x="0" y="0"/>
            <wp:positionH relativeFrom="column">
              <wp:posOffset>-1085850</wp:posOffset>
            </wp:positionH>
            <wp:positionV relativeFrom="paragraph">
              <wp:posOffset>-1097914</wp:posOffset>
            </wp:positionV>
            <wp:extent cx="7576820" cy="10796906"/>
            <wp:effectExtent l="0" t="0" r="5080" b="4444"/>
            <wp:wrapNone/>
            <wp:docPr id="1117" name="图片 7"/>
            <wp:cNvGraphicFramePr>
              <a:graphicFrameLocks noChangeAspect="0"/>
            </wp:cNvGraphicFramePr>
            <a:graphic>
              <a:graphicData uri="http://schemas.openxmlformats.org/drawingml/2006/picture">
                <pic:pic>
                  <pic:nvPicPr>
                    <pic:cNvPr id="2" name="图片 7 2"/>
                    <pic:cNvPicPr/>
                  </pic:nvPicPr>
                  <pic:blipFill>
                    <a:blip r:embed="rId3"/>
                    <a:stretch>
                      <a:fillRect/>
                    </a:stretch>
                  </pic:blipFill>
                  <pic:spPr>
                    <a:xfrm rot="0">
                      <a:off x="0" y="0"/>
                      <a:ext cx="7576820" cy="10796906"/>
                    </a:xfrm>
                    <a:prstGeom prst="rect"/>
                    <a:noFill/>
                    <a:ln w="9525" cmpd="sng" cap="flat">
                      <a:noFill/>
                      <a:prstDash val="solid"/>
                      <a:miter/>
                    </a:ln>
                  </pic:spPr>
                </pic:pic>
              </a:graphicData>
            </a:graphic>
          </wp:anchor>
        </w:drawing>
      </w:r>
    </w:p>
    <w:p>
      <w:pPr>
        <w:widowControl/>
        <w:jc w:val="center"/>
        <w:rPr>
          <w:rFonts w:ascii="黑体" w:eastAsia="黑体" w:hAnsi="宋体"/>
          <w:color w:val="002060"/>
          <w:sz w:val="72"/>
          <w:szCs w:val="72"/>
          <w14:textOutline w14:w="5245" w14:cap="flat">
            <w14:solidFill>
              <w14:srgbClr w14:val="7D7D7D"/>
            </w14:solidFill>
            <w14:prstDash w14:val="solid"/>
            <w14:round/>
          </w14:textOutline>
        </w:rPr>
      </w:pPr>
    </w:p>
    <w:p>
      <w:pPr>
        <w:widowControl/>
        <w:jc w:val="center"/>
        <w:rPr>
          <w:rFonts w:ascii="黑体" w:eastAsia="黑体" w:hAnsi="宋体"/>
          <w:color w:val="002060"/>
          <w:sz w:val="72"/>
          <w:szCs w:val="72"/>
          <w14:textOutline w14:w="5245" w14:cap="flat">
            <w14:solidFill>
              <w14:srgbClr w14:val="7D7D7D"/>
            </w14:solidFill>
            <w14:prstDash w14:val="solid"/>
            <w14:round/>
          </w14:textOutline>
        </w:rPr>
      </w:pPr>
      <w:r>
        <w:rPr>
          <w:sz w:val="72"/>
        </w:rPr>
        <mc:AlternateContent>
          <mc:Choice Requires="wps">
            <w:drawing>
              <wp:anchor distT="0" distB="0" distL="0" distR="0" simplePos="0" relativeHeight="83" behindDoc="0" locked="0" layoutInCell="1" hidden="0" allowOverlap="1">
                <wp:simplePos x="0" y="0"/>
                <wp:positionH relativeFrom="column">
                  <wp:posOffset>-1055370</wp:posOffset>
                </wp:positionH>
                <wp:positionV relativeFrom="paragraph">
                  <wp:posOffset>549275</wp:posOffset>
                </wp:positionV>
                <wp:extent cx="7571740" cy="2111375"/>
                <wp:effectExtent l="0" t="0" r="0" b="0"/>
                <wp:wrapNone/>
                <wp:docPr id="1027" name="文本框 8"/>
                <wp:cNvGraphicFramePr>
                  <a:graphicFrameLocks noChangeAspect="0"/>
                </wp:cNvGraphicFramePr>
                <a:graphic>
                  <a:graphicData uri="http://schemas.microsoft.com/office/word/2010/wordprocessingShape">
                    <wps:wsp>
                      <wps:cNvSpPr/>
                      <wps:spPr>
                        <a:xfrm rot="0">
                          <a:off x="0" y="0"/>
                          <a:ext cx="7571740" cy="2111375"/>
                        </a:xfrm>
                        <a:prstGeom prst="rect"/>
                        <a:noFill/>
                        <a:ln cmpd="sng" cap="flat">
                          <a:noFill/>
                          <a:prstDash val="solid"/>
                          <a:round/>
                        </a:ln>
                      </wps:spPr>
                      <wps:txbx id="3">
                        <w:txbxContent>
                          <w:p>
                            <w:pPr>
                              <w:widowControl/>
                              <w:spacing w:line="1200" w:lineRule="exact"/>
                              <w:jc w:val="center"/>
                              <w:rPr>
                                <w:rFonts w:ascii="黑体" w:eastAsia="黑体" w:hAnsi="宋体" w:hint="eastAsia"/>
                                <w:color w:val="FDEFBE"/>
                                <w:sz w:val="96"/>
                                <w:szCs w:val="96"/>
                                <w14:shadow w14:sx="100000" w14:sy="100000" w14:blurRad="38100" w14:dir="5400000" w14:dist="12700" w14:algn="tl">
                                  <w14:srgbClr w14:val="000000">
                                    <w14:alpha w14:val="70000"/>
                                  </w14:srgbClr>
                                </w14:shadow>
                                <w:lang w:eastAsia="zh-CN"/>
                              </w:rPr>
                            </w:pPr>
                            <w:r>
                              <w:rPr>
                                <w:rFonts w:ascii="黑体" w:eastAsia="黑体" w:hAnsi="宋体" w:hint="eastAsia"/>
                                <w:color w:val="FDEFBE"/>
                                <w:sz w:val="96"/>
                                <w:szCs w:val="96"/>
                                <w14:shadow w14:sx="100000" w14:sy="100000" w14:blurRad="38100" w14:dir="5400000" w14:dist="12700" w14:algn="tl">
                                  <w14:srgbClr w14:val="000000">
                                    <w14:alpha w14:val="70000"/>
                                  </w14:srgbClr>
                                </w14:shadow>
                                <w:lang w:eastAsia="zh-CN"/>
                              </w:rPr>
                              <w:t>遵化市供销合作社</w:t>
                            </w:r>
                          </w:p>
                          <w:p>
                            <w:pPr>
                              <w:widowControl/>
                              <w:spacing w:line="1200" w:lineRule="exact"/>
                              <w:jc w:val="center"/>
                              <w:rPr>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2018年度部门决算</w:t>
                            </w:r>
                          </w:p>
                          <w:p>
                            <w:pPr>
                              <w:rPr>
                                <w:color w:val="FDEFBE"/>
                                <w:sz w:val="96"/>
                                <w:szCs w:val="96"/>
                                <w14:shadow w14:sx="100000" w14:sy="100000" w14:blurRad="38100" w14:dir="5400000" w14:dist="12700" w14:algn="tl">
                                  <w14:srgbClr w14:val="000000">
                                    <w14:alpha w14:val="70000"/>
                                  </w14:srgbClr>
                                </w14:shadow>
                              </w:rPr>
                            </w:pPr>
                          </w:p>
                        </w:txbxContent>
                      </wps:txbx>
                      <wps:bodyPr vert="horz" wrap="square" lIns="91440" tIns="45720" rIns="91440" bIns="45720" anchor="t" anchorCtr="0" upright="0">
                        <a:noAutofit/>
                      </wps:bodyPr>
                    </wps:wsp>
                  </a:graphicData>
                </a:graphic>
              </wp:anchor>
            </w:drawing>
          </mc:Choice>
          <mc:Fallback>
            <w:pict>
              <v:rect type="#_x0000_t1" id="文本框 8" o:spid="_x0000_s4" filled="f" stroked="f" strokeweight="-1.0pt" style="position:absolute;margin-left:-83.1pt;margin-top:43.25pt;width:596.2pt;height:166.25pt;z-index:83;mso-position-horizontal:absolute;mso-position-vertical:absolute;mso-wrap-distance-left:0.0pt;mso-wrap-distance-right:0.0pt;mso-wrap-style:square;">
                <v:stroke/>
                <v:textbox id="849" inset="2.54mm,1.27mm,2.54mm,1.27mm" o:insetmode="custom" style="layout-flow:horizontal;v-text-anchor:top;">
                  <w:txbxContent>
                    <w:p>
                      <w:pPr>
                        <w:widowControl/>
                        <w:spacing w:line="1200" w:lineRule="exact"/>
                        <w:jc w:val="center"/>
                        <w:rPr>
                          <w:rFonts w:ascii="黑体" w:eastAsia="黑体" w:hAnsi="宋体" w:hint="eastAsia"/>
                          <w:color w:val="FDEFBE"/>
                          <w:sz w:val="96"/>
                          <w:szCs w:val="96"/>
                          <w14:shadow w14:sx="100000" w14:sy="100000" w14:blurRad="38100" w14:dir="5400000" w14:dist="12700" w14:algn="tl">
                            <w14:srgbClr w14:val="000000">
                              <w14:alpha w14:val="70000"/>
                            </w14:srgbClr>
                          </w14:shadow>
                          <w:lang w:eastAsia="zh-CN"/>
                        </w:rPr>
                      </w:pPr>
                      <w:r>
                        <w:rPr>
                          <w:rFonts w:ascii="黑体" w:eastAsia="黑体" w:hAnsi="宋体" w:hint="eastAsia"/>
                          <w:color w:val="FDEFBE"/>
                          <w:sz w:val="96"/>
                          <w:szCs w:val="96"/>
                          <w14:shadow w14:sx="100000" w14:sy="100000" w14:blurRad="38100" w14:dir="5400000" w14:dist="12700" w14:algn="tl">
                            <w14:srgbClr w14:val="000000">
                              <w14:alpha w14:val="70000"/>
                            </w14:srgbClr>
                          </w14:shadow>
                          <w:lang w:eastAsia="zh-CN"/>
                        </w:rPr>
                        <w:t>遵化市供销合作社</w:t>
                      </w:r>
                    </w:p>
                    <w:p>
                      <w:pPr>
                        <w:widowControl/>
                        <w:spacing w:line="1200" w:lineRule="exact"/>
                        <w:jc w:val="center"/>
                        <w:rPr>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2018年度部门决算</w:t>
                      </w:r>
                    </w:p>
                    <w:p>
                      <w:pPr>
                        <w:rPr>
                          <w:color w:val="FDEFBE"/>
                          <w:sz w:val="96"/>
                          <w:szCs w:val="96"/>
                          <w14:shadow w14:sx="100000" w14:sy="100000" w14:blurRad="38100" w14:dir="5400000" w14:dist="12700" w14:algn="tl">
                            <w14:srgbClr w14:val="000000">
                              <w14:alpha w14:val="70000"/>
                            </w14:srgbClr>
                          </w14:shadow>
                        </w:rPr>
                      </w:pPr>
                    </w:p>
                  </w:txbxContent>
                </v:textbox>
              </v:rect>
            </w:pict>
          </mc:Fallback>
        </mc:AlternateContent>
      </w:r>
    </w:p>
    <w:p>
      <w:pPr>
        <w:widowControl/>
        <w:jc w:val="center"/>
        <w:rPr>
          <w:rFonts w:ascii="黑体" w:eastAsia="黑体" w:hAnsi="黑体"/>
          <w:b/>
          <w:sz w:val="72"/>
          <w:szCs w:val="72"/>
        </w:rPr>
      </w:pPr>
    </w:p>
    <w:p>
      <w:pPr>
        <w:widowControl/>
        <w:jc w:val="center"/>
        <w:rPr>
          <w:rFonts w:ascii="黑体" w:eastAsia="黑体" w:hAnsi="黑体"/>
          <w:b/>
          <w:sz w:val="72"/>
          <w:szCs w:val="72"/>
        </w:rPr>
      </w:pPr>
    </w:p>
    <w:p>
      <w:pPr>
        <w:widowControl/>
        <w:jc w:val="center"/>
        <w:rPr>
          <w:rFonts w:ascii="黑体" w:eastAsia="黑体" w:hAnsi="黑体"/>
          <w:b/>
          <w:sz w:val="72"/>
          <w:szCs w:val="72"/>
        </w:rPr>
      </w:pPr>
    </w:p>
    <w:p>
      <w:pPr>
        <w:widowControl/>
        <w:jc w:val="center"/>
        <w:rPr>
          <w:rFonts w:ascii="黑体" w:eastAsia="黑体" w:hAnsi="黑体"/>
          <w:b/>
          <w:sz w:val="72"/>
          <w:szCs w:val="72"/>
        </w:rPr>
      </w:pPr>
    </w:p>
    <w:p>
      <w:pPr>
        <w:widowControl/>
        <w:jc w:val="center"/>
        <w:rPr>
          <w:rFonts w:ascii="黑体" w:eastAsia="黑体" w:hAnsi="黑体"/>
          <w:b/>
          <w:sz w:val="72"/>
          <w:szCs w:val="72"/>
        </w:rPr>
      </w:pPr>
    </w:p>
    <w:p>
      <w:pPr>
        <w:widowControl/>
        <w:jc w:val="center"/>
        <w:rPr>
          <w:rFonts w:ascii="黑体" w:eastAsia="黑体" w:hAnsi="黑体"/>
          <w:b/>
          <w:sz w:val="72"/>
          <w:szCs w:val="72"/>
        </w:rPr>
      </w:pPr>
    </w:p>
    <w:p>
      <w:pPr>
        <w:widowControl/>
        <w:jc w:val="center"/>
        <w:rPr>
          <w:rFonts w:ascii="黑体" w:eastAsia="黑体" w:hAnsi="黑体"/>
          <w:b/>
          <w:sz w:val="72"/>
          <w:szCs w:val="72"/>
        </w:rPr>
      </w:pPr>
    </w:p>
    <w:p>
      <w:pPr>
        <w:widowControl/>
        <w:jc w:val="center"/>
        <w:rPr>
          <w:rFonts w:ascii="黑体" w:eastAsia="黑体" w:hAnsi="黑体"/>
          <w:b/>
          <w:sz w:val="72"/>
          <w:szCs w:val="72"/>
        </w:rPr>
      </w:pPr>
    </w:p>
    <w:p>
      <w:pPr>
        <w:widowControl/>
        <w:jc w:val="center"/>
        <w:rPr>
          <w:rFonts w:ascii="楷体" w:eastAsia="楷体" w:cs="楷体" w:hAnsi="楷体"/>
          <w:b/>
          <w:sz w:val="44"/>
          <w:szCs w:val="44"/>
        </w:rPr>
        <w:sectPr>
          <w:headerReference w:type="default" r:id="rId2"/>
          <w:pgSz w:w="11906" w:h="16838"/>
          <w:pgMar w:top="2098" w:right="1474" w:bottom="1985" w:left="1588" w:header="851" w:footer="992" w:gutter="0"/>
          <w:pgNumType w:fmt="numberInDash" w:start="1"/>
          <w:cols w:num="1" w:space="425"/>
          <w:docGrid w:type="lines" w:linePitch="312" w:charSpace="0"/>
        </w:sectPr>
      </w:pPr>
      <w:r>
        <w:rPr>
          <w:rFonts w:ascii="楷体" w:eastAsia="楷体" w:cs="楷体" w:hAnsi="楷体" w:hint="eastAsia"/>
          <w:b/>
          <w:sz w:val="44"/>
          <w:szCs w:val="44"/>
        </w:rPr>
        <w:t>二〇一九年</w:t>
      </w:r>
      <w:r>
        <w:rPr>
          <w:rFonts w:ascii="楷体" w:eastAsia="楷体" w:cs="楷体" w:hAnsi="楷体" w:hint="eastAsia"/>
          <w:b/>
          <w:sz w:val="44"/>
          <w:szCs w:val="44"/>
          <w:lang w:eastAsia="zh-CN"/>
        </w:rPr>
        <w:t>七</w:t>
      </w:r>
      <w:r>
        <w:rPr>
          <w:rFonts w:ascii="楷体" w:eastAsia="楷体" w:cs="楷体" w:hAnsi="楷体" w:hint="eastAsia"/>
          <w:b/>
          <w:sz w:val="44"/>
          <w:szCs w:val="44"/>
        </w:rPr>
        <w:t>月</w:t>
      </w:r>
    </w:p>
    <w:p>
      <w:pPr>
        <w:rPr>
          <w:rFonts w:ascii="黑体" w:eastAsia="黑体" w:hint="eastAsia"/>
          <w:sz w:val="44"/>
          <w:szCs w:val="44"/>
          <w:lang w:eastAsia="zh-CN"/>
        </w:rPr>
      </w:pPr>
    </w:p>
    <w:p>
      <w:pPr>
        <w:rPr>
          <w:rFonts w:ascii="黑体" w:eastAsia="黑体" w:hint="eastAsia"/>
          <w:sz w:val="44"/>
          <w:szCs w:val="44"/>
          <w:lang w:eastAsia="zh-CN"/>
        </w:rPr>
      </w:pPr>
      <w:r>
        <w:rPr>
          <w:rFonts w:ascii="黑体" w:eastAsia="黑体" w:hint="eastAsia"/>
          <w:sz w:val="44"/>
          <w:szCs w:val="44"/>
          <w:lang w:eastAsia="zh-CN"/>
        </w:rPr>
        <w:drawing>
          <wp:inline distT="0" distB="0" distL="114300" distR="114300">
            <wp:extent cx="5588000" cy="7450455"/>
            <wp:effectExtent l="0" t="0" r="12700" b="17145"/>
            <wp:docPr id="1118" name="图片 1118" descr="tmp_f5d8cee54bd1e20e5b1f003676fb59c5"/>
            <wp:cNvGraphicFramePr>
              <a:graphicFrameLocks noChangeAspect="1"/>
            </wp:cNvGraphicFramePr>
            <a:graphic>
              <a:graphicData uri="http://schemas.openxmlformats.org/drawingml/2006/picture">
                <pic:pic>
                  <pic:nvPicPr>
                    <pic:cNvPr id="6" name="图片 6"/>
                    <pic:cNvPicPr/>
                  </pic:nvPicPr>
                  <pic:blipFill>
                    <a:blip r:embed="rId5"/>
                    <a:stretch>
                      <a:fillRect/>
                    </a:stretch>
                  </pic:blipFill>
                  <pic:spPr>
                    <a:xfrm rot="0">
                      <a:off x="0" y="0"/>
                      <a:ext cx="5588000" cy="7450455"/>
                    </a:xfrm>
                    <a:prstGeom prst="rect"/>
                    <a:noFill/>
                    <a:ln w="9525" cmpd="sng" cap="flat">
                      <a:noFill/>
                      <a:prstDash val="solid"/>
                      <a:miter/>
                    </a:ln>
                  </pic:spPr>
                </pic:pic>
              </a:graphicData>
            </a:graphic>
          </wp:inline>
        </w:drawing>
      </w:r>
    </w:p>
    <w:p>
      <w:pPr>
        <w:rPr>
          <w:rFonts w:ascii="黑体" w:eastAsia="黑体"/>
          <w:sz w:val="44"/>
          <w:szCs w:val="44"/>
        </w:rPr>
        <w:sectPr>
          <w:footerReference w:type="default" r:id="rId4"/>
          <w:pgSz w:w="11906" w:h="16838"/>
          <w:pgMar w:top="2098" w:right="1474" w:bottom="1984" w:left="1588" w:header="851" w:footer="992" w:gutter="0"/>
          <w:pgNumType w:fmt="numberInDash"/>
          <w:cols w:num="1" w:space="0"/>
          <w:docGrid w:type="lines" w:linePitch="312" w:charSpace="0"/>
        </w:sectPr>
      </w:pPr>
    </w:p>
    <w:p>
      <w:pPr>
        <w:spacing w:beforeLines="200" w:before="624" w:after="0" w:line="1000" w:lineRule="exact"/>
        <w:jc w:val="center"/>
        <w:rPr>
          <w:rFonts w:ascii="黑体" w:eastAsia="黑体"/>
          <w:sz w:val="48"/>
          <w:szCs w:val="48"/>
        </w:rPr>
      </w:pPr>
      <w:r>
        <w:rPr>
          <w:sz w:val="48"/>
          <w:szCs w:val="28"/>
        </w:rPr>
        <mc:AlternateContent>
          <mc:Choice Requires="wps">
            <w:drawing>
              <wp:anchor distT="0" distB="0" distL="0" distR="0" simplePos="0" relativeHeight="85" behindDoc="0" locked="1" layoutInCell="1" hidden="0" allowOverlap="1">
                <wp:simplePos x="0" y="0"/>
                <wp:positionH relativeFrom="column">
                  <wp:posOffset>-1025525</wp:posOffset>
                </wp:positionH>
                <wp:positionV relativeFrom="page">
                  <wp:posOffset>508000</wp:posOffset>
                </wp:positionV>
                <wp:extent cx="3175635" cy="593091"/>
                <wp:effectExtent l="3175" t="0" r="2540" b="16510"/>
                <wp:wrapNone/>
                <wp:docPr id="1119" name="组合 179"/>
                <wp:cNvGraphicFramePr>
                  <a:graphicFrameLocks noChangeAspect="0"/>
                </wp:cNvGraphicFramePr>
                <a:graphic>
                  <a:graphicData uri="http://schemas.microsoft.com/office/word/2010/wordprocessingGroup">
                    <wpg:wgp>
                      <wpg:cNvPr id="9" name="组合 179 9"/>
                      <wpg:cNvGrpSpPr/>
                      <wpg:grpSpPr>
                        <a:xfrm rot="0">
                          <a:off x="0" y="0"/>
                          <a:ext cx="3175635" cy="593091"/>
                          <a:chOff x="0" y="0"/>
                          <a:chExt cx="3175635" cy="593091"/>
                        </a:xfrm>
                        <a:prstGeom prst="rect"/>
                        <a:solidFill>
                          <a:srgbClr val="FFFFFF"/>
                        </a:solidFill>
                        <a:ln w="9525" cmpd="sng" cap="flat">
                          <a:solidFill>
                            <a:srgbClr val="000000"/>
                          </a:solidFill>
                          <a:prstDash val="solid"/>
                          <a:miter/>
                        </a:ln>
                      </wpg:grpSpPr>
                      <wps:wsp>
                        <wps:cNvPr id="10" name="矩形 1 10 10"/>
                        <wps:cNvSpPr/>
                        <wps:spPr>
                          <a:xfrm rot="0">
                            <a:off x="0" y="0"/>
                            <a:ext cx="3175635" cy="498484"/>
                          </a:xfrm>
                          <a:prstGeom prst="rect"/>
                          <a:solidFill>
                            <a:srgbClr val="D8D8D8"/>
                          </a:solidFill>
                          <a:ln cmpd="sng" cap="flat">
                            <a:noFill/>
                            <a:prstDash val="solid"/>
                            <a:round/>
                          </a:ln>
                        </wps:spPr>
                        <wps:bodyPr vert="horz" wrap="square" lIns="91440" tIns="45720" rIns="91440" bIns="45720" anchor="t" anchorCtr="0" upright="0">
                          <a:noAutofit/>
                        </wps:bodyPr>
                      </wps:wsp>
                      <wps:wsp>
                        <wps:cNvPr id="11" name="矩形 2 11 11"/>
                        <wps:cNvSpPr/>
                        <wps:spPr>
                          <a:xfrm rot="0">
                            <a:off x="9660" y="116667"/>
                            <a:ext cx="3093141" cy="476424"/>
                          </a:xfrm>
                          <a:prstGeom prst="rect"/>
                          <a:solidFill>
                            <a:srgbClr val="AD002D"/>
                          </a:solidFill>
                          <a:ln w="25400" cmpd="sng" cap="flat">
                            <a:solidFill>
                              <a:srgbClr val="AF7621"/>
                            </a:solidFill>
                            <a:prstDash val="solid"/>
                            <a:round/>
                          </a:ln>
                        </wps:spPr>
                        <wps:txbx id="12">
                          <w:txbxContent>
                            <w:p>
                              <w:pPr>
                                <w:widowControl/>
                                <w:jc w:val="left"/>
                                <w:rPr>
                                  <w:rFonts w:ascii="楷体" w:eastAsia="楷体" w:cs="楷体" w:hAnsi="楷体"/>
                                  <w:b/>
                                  <w:bCs/>
                                  <w:color w:val="FDEFBE"/>
                                  <w:sz w:val="36"/>
                                  <w:szCs w:val="36"/>
                                </w:rPr>
                              </w:pPr>
                              <w:r>
                                <w:rPr>
                                  <w:rFonts w:ascii="楷体" w:eastAsia="楷体" w:cs="楷体" w:hAnsi="楷体" w:hint="eastAsia"/>
                                  <w:b/>
                                  <w:bCs/>
                                  <w:color w:val="FDEFBE"/>
                                  <w:kern w:val="0"/>
                                  <w:sz w:val="36"/>
                                  <w:szCs w:val="36"/>
                                </w:rPr>
                                <w:t>2018年度部门决算☞目 录</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179" o:spid="_x0000_s13" coordorigin="-27,800" coordsize="5001,934" style="position:absolute;margin-left:-80.75pt;margin-top:40.0pt;width:250.05002pt;height:46.70008pt;z-index:85;mso-position-horizontal:absolute;mso-position-vertical:absolute;mso-position-vertical-relative:page;mso-wrap-distance-left:0.0pt;mso-wrap-distance-right:0.0pt;">
                <v:rect type="#_x0000_t1" id="矩形 1 10 10" o:spid="_x0000_s14" style="position:absolute;left:-27;top:800;width:5001;height:785;" fillcolor="#D8D8D8" stroked="f" strokeweight="-1.0pt">
                  <v:stroke/>
                </v:rect>
                <v:rect type="#_x0000_t1" id="_s15" o:spid="_x0000_s15" style="position:absolute;left:-11;top:983;width:4871;height:750;mso-wrap-style:square;" fillcolor="#AD002D" stroked="t" strokeweight="2.0pt">
                  <v:textbox id="851" inset="2.54mm,1.27mm,2.54mm,1.27mm" o:insetmode="custom" style="layout-flow:horizontal;v-text-anchor:middle;">
                    <w:txbxContent>
                      <w:p>
                        <w:pPr>
                          <w:widowControl/>
                          <w:jc w:val="left"/>
                          <w:rPr>
                            <w:rFonts w:ascii="楷体" w:eastAsia="楷体" w:cs="楷体" w:hAnsi="楷体"/>
                            <w:b/>
                            <w:bCs/>
                            <w:color w:val="FDEFBE"/>
                            <w:sz w:val="36"/>
                            <w:szCs w:val="36"/>
                          </w:rPr>
                        </w:pPr>
                        <w:r>
                          <w:rPr>
                            <w:rFonts w:ascii="楷体" w:eastAsia="楷体" w:cs="楷体" w:hAnsi="楷体" w:hint="eastAsia"/>
                            <w:b/>
                            <w:bCs/>
                            <w:color w:val="FDEFBE"/>
                            <w:kern w:val="0"/>
                            <w:sz w:val="36"/>
                            <w:szCs w:val="36"/>
                          </w:rPr>
                          <w:t>2018年度部门决算☞目 录</w:t>
                        </w:r>
                      </w:p>
                      <w:p>
                        <w:pPr>
                          <w:jc w:val="center"/>
                        </w:pPr>
                      </w:p>
                    </w:txbxContent>
                  </v:textbox>
                  <v:stroke color="#AF7621"/>
                </v:rect>
                <w10:anchorLock/>
              </v:group>
            </w:pict>
          </mc:Fallback>
        </mc:AlternateContent>
      </w:r>
      <w:r>
        <w:rPr>
          <w:rFonts w:ascii="黑体" w:eastAsia="黑体" w:hint="eastAsia"/>
          <w:sz w:val="48"/>
          <w:szCs w:val="48"/>
        </w:rPr>
        <w:t>目    录</w:t>
      </w:r>
    </w:p>
    <w:p>
      <w:pPr>
        <w:widowControl/>
        <w:spacing w:line="580" w:lineRule="exact"/>
        <w:ind w:firstLineChars="200" w:firstLine="640"/>
        <w:rPr>
          <w:rFonts w:eastAsia="黑体"/>
          <w:sz w:val="32"/>
          <w:szCs w:val="32"/>
        </w:rPr>
      </w:pPr>
    </w:p>
    <w:p>
      <w:pPr>
        <w:widowControl/>
        <w:spacing w:line="580" w:lineRule="exact"/>
        <w:ind w:firstLineChars="200" w:firstLine="640"/>
        <w:rPr>
          <w:rFonts w:eastAsia="仿宋_GB2312"/>
          <w:sz w:val="24"/>
          <w:szCs w:val="32"/>
        </w:rPr>
      </w:pPr>
      <w:r>
        <w:rPr>
          <w:rFonts w:eastAsia="黑体"/>
          <w:sz w:val="32"/>
          <w:szCs w:val="32"/>
        </w:rPr>
        <w:t>第一部分 部门概况</w:t>
      </w:r>
      <w:r>
        <w:rPr>
          <w:rFonts w:eastAsia="仿宋_GB2312" w:hint="eastAsia"/>
          <w:sz w:val="28"/>
          <w:szCs w:val="36"/>
        </w:rPr>
        <w:t xml:space="preserve">  </w:t>
      </w:r>
      <w:r>
        <w:rPr>
          <w:rFonts w:eastAsia="仿宋_GB2312" w:hint="eastAsia"/>
          <w:sz w:val="24"/>
          <w:szCs w:val="32"/>
        </w:rPr>
        <w:t xml:space="preserve"> </w:t>
      </w:r>
    </w:p>
    <w:p>
      <w:pPr>
        <w:widowControl/>
        <w:spacing w:line="580" w:lineRule="exact"/>
        <w:ind w:firstLineChars="398" w:firstLine="1274"/>
        <w:rPr>
          <w:rFonts w:eastAsia="仿宋_GB2312" w:hint="eastAsia"/>
          <w:sz w:val="32"/>
          <w:szCs w:val="32"/>
        </w:rPr>
      </w:pPr>
      <w:r>
        <w:rPr>
          <w:rFonts w:eastAsia="仿宋_GB2312"/>
          <w:sz w:val="32"/>
          <w:szCs w:val="32"/>
        </w:rPr>
        <w:t>一、部门</w:t>
      </w:r>
      <w:r>
        <w:rPr>
          <w:rFonts w:eastAsia="仿宋_GB2312" w:hint="eastAsia"/>
          <w:sz w:val="32"/>
          <w:szCs w:val="32"/>
        </w:rPr>
        <w:t>职责</w:t>
      </w:r>
    </w:p>
    <w:p>
      <w:pPr>
        <w:widowControl/>
        <w:spacing w:line="580" w:lineRule="exact"/>
        <w:ind w:firstLineChars="398" w:firstLine="1274"/>
        <w:rPr>
          <w:rFonts w:eastAsia="仿宋_GB2312" w:hint="eastAsia"/>
          <w:sz w:val="32"/>
          <w:szCs w:val="32"/>
          <w:lang w:eastAsia="zh-CN"/>
        </w:rPr>
      </w:pPr>
      <w:r>
        <w:rPr>
          <w:rFonts w:eastAsia="仿宋_GB2312" w:hint="eastAsia"/>
          <w:sz w:val="32"/>
          <w:szCs w:val="32"/>
          <w:lang w:eastAsia="zh-CN"/>
        </w:rPr>
        <w:t>二、机构设置</w:t>
      </w:r>
    </w:p>
    <w:p>
      <w:pPr>
        <w:widowControl/>
        <w:spacing w:line="580" w:lineRule="exact"/>
        <w:ind w:firstLineChars="200" w:firstLine="640"/>
        <w:rPr>
          <w:rFonts w:eastAsia="仿宋_GB2312"/>
          <w:sz w:val="20"/>
          <w:szCs w:val="32"/>
        </w:rPr>
      </w:pPr>
      <w:r>
        <w:rPr>
          <w:rFonts w:eastAsia="黑体"/>
          <w:sz w:val="32"/>
          <w:szCs w:val="32"/>
        </w:rPr>
        <w:t>第二部分   201</w:t>
      </w:r>
      <w:r>
        <w:rPr>
          <w:rFonts w:eastAsia="黑体" w:hint="eastAsia"/>
          <w:sz w:val="32"/>
          <w:szCs w:val="32"/>
        </w:rPr>
        <w:t>8</w:t>
      </w:r>
      <w:r>
        <w:rPr>
          <w:rFonts w:eastAsia="黑体"/>
          <w:sz w:val="32"/>
          <w:szCs w:val="32"/>
        </w:rPr>
        <w:t>年度部门决算报表</w:t>
      </w:r>
    </w:p>
    <w:p>
      <w:pPr>
        <w:widowControl/>
        <w:spacing w:line="580" w:lineRule="exact"/>
        <w:ind w:left="640" w:firstLineChars="200" w:firstLine="640"/>
        <w:rPr>
          <w:rFonts w:eastAsia="仿宋_GB2312"/>
          <w:sz w:val="32"/>
          <w:szCs w:val="32"/>
        </w:rPr>
      </w:pPr>
      <w:r>
        <w:rPr>
          <w:rFonts w:eastAsia="仿宋_GB2312"/>
          <w:sz w:val="32"/>
          <w:szCs w:val="32"/>
        </w:rPr>
        <w:t>一、收入支出决算总表</w:t>
      </w:r>
    </w:p>
    <w:p>
      <w:pPr>
        <w:widowControl/>
        <w:spacing w:line="580" w:lineRule="exact"/>
        <w:ind w:left="640" w:firstLineChars="200" w:firstLine="640"/>
        <w:rPr>
          <w:rFonts w:eastAsia="仿宋_GB2312"/>
          <w:sz w:val="32"/>
          <w:szCs w:val="32"/>
        </w:rPr>
      </w:pPr>
      <w:r>
        <w:rPr>
          <w:rFonts w:eastAsia="仿宋_GB2312"/>
          <w:sz w:val="32"/>
          <w:szCs w:val="32"/>
        </w:rPr>
        <w:t>二、收入决算表</w:t>
      </w:r>
    </w:p>
    <w:p>
      <w:pPr>
        <w:widowControl/>
        <w:spacing w:line="580" w:lineRule="exact"/>
        <w:ind w:left="640" w:firstLineChars="200" w:firstLine="640"/>
        <w:rPr>
          <w:rFonts w:eastAsia="仿宋_GB2312"/>
          <w:sz w:val="32"/>
          <w:szCs w:val="32"/>
        </w:rPr>
      </w:pPr>
      <w:r>
        <w:rPr>
          <w:rFonts w:eastAsia="仿宋_GB2312"/>
          <w:sz w:val="32"/>
          <w:szCs w:val="32"/>
        </w:rPr>
        <w:t>三、支出决算表</w:t>
      </w:r>
    </w:p>
    <w:p>
      <w:pPr>
        <w:widowControl/>
        <w:spacing w:line="580" w:lineRule="exact"/>
        <w:ind w:left="640" w:firstLineChars="200" w:firstLine="640"/>
        <w:rPr>
          <w:rFonts w:eastAsia="仿宋_GB2312"/>
          <w:sz w:val="32"/>
          <w:szCs w:val="32"/>
        </w:rPr>
      </w:pPr>
      <w:r>
        <w:rPr>
          <w:rFonts w:eastAsia="仿宋_GB2312"/>
          <w:sz w:val="32"/>
          <w:szCs w:val="32"/>
        </w:rPr>
        <w:t>四、财政拨款收入支出决算总表</w:t>
      </w:r>
    </w:p>
    <w:p>
      <w:pPr>
        <w:widowControl/>
        <w:spacing w:line="580" w:lineRule="exact"/>
        <w:ind w:left="640" w:firstLineChars="200" w:firstLine="640"/>
        <w:rPr>
          <w:rFonts w:eastAsia="仿宋_GB2312"/>
          <w:sz w:val="32"/>
          <w:szCs w:val="32"/>
        </w:rPr>
      </w:pPr>
      <w:r>
        <w:rPr>
          <w:rFonts w:eastAsia="仿宋_GB2312"/>
          <w:sz w:val="32"/>
          <w:szCs w:val="32"/>
        </w:rPr>
        <w:t>五、一般公共预算财政拨款支出决算表</w:t>
      </w:r>
    </w:p>
    <w:p>
      <w:pPr>
        <w:widowControl/>
        <w:spacing w:line="580" w:lineRule="exact"/>
        <w:ind w:left="640" w:firstLineChars="200" w:firstLine="64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Chars="200" w:firstLine="640"/>
        <w:rPr>
          <w:rFonts w:eastAsia="仿宋_GB2312"/>
          <w:sz w:val="32"/>
          <w:szCs w:val="32"/>
        </w:rPr>
      </w:pPr>
      <w:r>
        <w:rPr>
          <w:rFonts w:eastAsia="仿宋_GB2312"/>
          <w:sz w:val="32"/>
          <w:szCs w:val="32"/>
        </w:rPr>
        <w:t>七、</w:t>
      </w:r>
      <w:r>
        <w:rPr>
          <w:rFonts w:eastAsia="仿宋_GB2312" w:hint="eastAsia"/>
          <w:sz w:val="32"/>
          <w:szCs w:val="32"/>
        </w:rPr>
        <w:t>一般公共预算财政拨款</w:t>
      </w:r>
      <w:r>
        <w:rPr>
          <w:rFonts w:eastAsia="仿宋_GB2312"/>
          <w:sz w:val="32"/>
          <w:szCs w:val="32"/>
        </w:rPr>
        <w:t>“三公”经费</w:t>
      </w:r>
      <w:r>
        <w:rPr>
          <w:rFonts w:eastAsia="仿宋_GB2312" w:hint="eastAsia"/>
          <w:sz w:val="32"/>
          <w:szCs w:val="32"/>
        </w:rPr>
        <w:t>支出决算表</w:t>
      </w:r>
    </w:p>
    <w:p>
      <w:pPr>
        <w:widowControl/>
        <w:spacing w:line="580" w:lineRule="exact"/>
        <w:ind w:left="640" w:firstLineChars="200" w:firstLine="640"/>
        <w:rPr>
          <w:rFonts w:eastAsia="仿宋_GB2312"/>
          <w:sz w:val="32"/>
          <w:szCs w:val="32"/>
        </w:rPr>
      </w:pPr>
      <w:r>
        <w:rPr>
          <w:rFonts w:eastAsia="仿宋_GB2312" w:hint="eastAsia"/>
          <w:sz w:val="32"/>
          <w:szCs w:val="32"/>
        </w:rPr>
        <w:t>八、</w:t>
      </w:r>
      <w:r>
        <w:rPr>
          <w:rFonts w:eastAsia="仿宋_GB2312"/>
          <w:sz w:val="32"/>
          <w:szCs w:val="32"/>
        </w:rPr>
        <w:t>政府性基金预算财政拨款收入支出决算表</w:t>
      </w:r>
    </w:p>
    <w:p>
      <w:pPr>
        <w:widowControl/>
        <w:spacing w:line="580" w:lineRule="exact"/>
        <w:ind w:left="640" w:firstLineChars="200" w:firstLine="640"/>
        <w:rPr>
          <w:rFonts w:eastAsia="仿宋_GB2312"/>
          <w:sz w:val="32"/>
          <w:szCs w:val="32"/>
        </w:rPr>
      </w:pPr>
      <w:r>
        <w:rPr>
          <w:rFonts w:eastAsia="仿宋_GB2312" w:hint="eastAsia"/>
          <w:sz w:val="32"/>
          <w:szCs w:val="32"/>
        </w:rPr>
        <w:t>九</w:t>
      </w:r>
      <w:r>
        <w:rPr>
          <w:rFonts w:eastAsia="仿宋_GB2312"/>
          <w:sz w:val="32"/>
          <w:szCs w:val="32"/>
        </w:rPr>
        <w:t>、国有资本经营预算支出决算表</w:t>
      </w:r>
    </w:p>
    <w:p>
      <w:pPr>
        <w:widowControl/>
        <w:spacing w:line="580" w:lineRule="exact"/>
        <w:ind w:left="640" w:firstLineChars="200" w:firstLine="640"/>
        <w:rPr>
          <w:rFonts w:eastAsia="仿宋_GB2312"/>
          <w:sz w:val="32"/>
          <w:szCs w:val="32"/>
        </w:rPr>
      </w:pPr>
      <w:r>
        <w:rPr>
          <w:rFonts w:eastAsia="仿宋_GB2312" w:hint="eastAsia"/>
          <w:sz w:val="32"/>
          <w:szCs w:val="32"/>
        </w:rPr>
        <w:t>十</w:t>
      </w:r>
      <w:r>
        <w:rPr>
          <w:rFonts w:eastAsia="仿宋_GB2312"/>
          <w:sz w:val="32"/>
          <w:szCs w:val="32"/>
        </w:rPr>
        <w:t>、政府采购情况表</w:t>
      </w:r>
    </w:p>
    <w:p>
      <w:pPr>
        <w:widowControl/>
        <w:spacing w:line="580" w:lineRule="exact"/>
        <w:ind w:firstLineChars="200" w:firstLine="640"/>
        <w:rPr>
          <w:rFonts w:eastAsia="黑体"/>
          <w:sz w:val="32"/>
          <w:szCs w:val="32"/>
        </w:rPr>
      </w:pPr>
    </w:p>
    <w:p>
      <w:pPr>
        <w:widowControl/>
        <w:spacing w:line="580" w:lineRule="exact"/>
        <w:ind w:firstLineChars="200" w:firstLine="640"/>
        <w:rPr>
          <w:rFonts w:eastAsia="黑体"/>
          <w:sz w:val="32"/>
          <w:szCs w:val="32"/>
        </w:rPr>
      </w:pPr>
      <w:r>
        <w:rPr>
          <w:rFonts w:eastAsia="黑体"/>
          <w:sz w:val="32"/>
          <w:szCs w:val="32"/>
        </w:rPr>
        <w:t xml:space="preserve">第三部分  </w:t>
      </w:r>
      <w:r>
        <w:rPr>
          <w:rFonts w:eastAsia="黑体" w:hint="eastAsia"/>
          <w:sz w:val="32"/>
          <w:szCs w:val="32"/>
          <w:lang w:eastAsia="zh-CN"/>
        </w:rPr>
        <w:t>遵化市供销合作社</w:t>
      </w:r>
      <w:r>
        <w:rPr>
          <w:rFonts w:eastAsia="黑体"/>
          <w:sz w:val="32"/>
          <w:szCs w:val="32"/>
        </w:rPr>
        <w:t>部门201</w:t>
      </w:r>
      <w:r>
        <w:rPr>
          <w:rFonts w:eastAsia="黑体" w:hint="eastAsia"/>
          <w:sz w:val="32"/>
          <w:szCs w:val="32"/>
        </w:rPr>
        <w:t>8</w:t>
      </w:r>
      <w:r>
        <w:rPr>
          <w:rFonts w:eastAsia="黑体"/>
          <w:sz w:val="32"/>
          <w:szCs w:val="32"/>
        </w:rPr>
        <w:t>年部门决算情况说明</w:t>
      </w:r>
      <w:r>
        <w:rPr>
          <w:sz w:val="44"/>
        </w:rPr>
        <mc:AlternateContent>
          <mc:Choice Requires="wps">
            <w:drawing>
              <wp:anchor distT="0" distB="0" distL="0" distR="0" simplePos="0" relativeHeight="87" behindDoc="0" locked="1" layoutInCell="1" hidden="0" allowOverlap="1">
                <wp:simplePos x="0" y="0"/>
                <wp:positionH relativeFrom="column">
                  <wp:posOffset>-1025525</wp:posOffset>
                </wp:positionH>
                <wp:positionV relativeFrom="page">
                  <wp:posOffset>494665</wp:posOffset>
                </wp:positionV>
                <wp:extent cx="2829560" cy="593091"/>
                <wp:effectExtent l="3810" t="0" r="5080" b="16510"/>
                <wp:wrapNone/>
                <wp:docPr id="1120" name="组合 176"/>
                <wp:cNvGraphicFramePr>
                  <a:graphicFrameLocks noChangeAspect="0"/>
                </wp:cNvGraphicFramePr>
                <a:graphic>
                  <a:graphicData uri="http://schemas.microsoft.com/office/word/2010/wordprocessingGroup">
                    <wpg:wgp>
                      <wpg:cNvPr id="16" name="组合 176 16"/>
                      <wpg:cNvGrpSpPr/>
                      <wpg:grpSpPr>
                        <a:xfrm rot="0">
                          <a:off x="0" y="0"/>
                          <a:ext cx="2829560" cy="593091"/>
                          <a:chOff x="0" y="0"/>
                          <a:chExt cx="2829560" cy="593091"/>
                        </a:xfrm>
                        <a:prstGeom prst="rect"/>
                        <a:solidFill>
                          <a:srgbClr val="FFFFFF"/>
                        </a:solidFill>
                        <a:ln w="9525" cmpd="sng" cap="flat">
                          <a:solidFill>
                            <a:srgbClr val="000000"/>
                          </a:solidFill>
                          <a:prstDash val="solid"/>
                          <a:miter/>
                        </a:ln>
                      </wpg:grpSpPr>
                      <wps:wsp>
                        <wps:cNvPr id="17" name="矩形 3 17 17"/>
                        <wps:cNvSpPr/>
                        <wps:spPr>
                          <a:xfrm rot="0">
                            <a:off x="0" y="0"/>
                            <a:ext cx="2829560" cy="498484"/>
                          </a:xfrm>
                          <a:prstGeom prst="rect"/>
                          <a:solidFill>
                            <a:srgbClr val="D8D8D8"/>
                          </a:solidFill>
                          <a:ln cmpd="sng" cap="flat">
                            <a:noFill/>
                            <a:prstDash val="solid"/>
                            <a:round/>
                          </a:ln>
                        </wps:spPr>
                        <wps:bodyPr vert="horz" wrap="square" lIns="91440" tIns="45720" rIns="91440" bIns="45720" anchor="t" anchorCtr="0" upright="0">
                          <a:noAutofit/>
                        </wps:bodyPr>
                      </wps:wsp>
                      <wps:wsp>
                        <wps:cNvPr id="18" name="矩形 4 18 18"/>
                        <wps:cNvSpPr/>
                        <wps:spPr>
                          <a:xfrm rot="0">
                            <a:off x="8607" y="116667"/>
                            <a:ext cx="2756056" cy="476424"/>
                          </a:xfrm>
                          <a:prstGeom prst="rect"/>
                          <a:solidFill>
                            <a:srgbClr val="AD002D"/>
                          </a:solidFill>
                          <a:ln w="25400" cmpd="sng" cap="flat">
                            <a:solidFill>
                              <a:srgbClr val="AF7621"/>
                            </a:solidFill>
                            <a:prstDash val="solid"/>
                            <a:round/>
                          </a:ln>
                        </wps:spPr>
                        <wps:txbx id="19">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2018年度部门决算☞目 录</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176" o:spid="_x0000_s20" coordorigin="-27,779" coordsize="4456,934" style="position:absolute;margin-left:-80.75pt;margin-top:38.95pt;width:222.8pt;height:46.70008pt;z-index:87;mso-position-horizontal:absolute;mso-position-vertical:absolute;mso-position-vertical-relative:page;mso-wrap-distance-left:0.0pt;mso-wrap-distance-right:0.0pt;">
                <v:rect type="#_x0000_t1" id="矩形 3 17 17" o:spid="_x0000_s21" style="position:absolute;left:-27;top:779;width:4456;height:785;" fillcolor="#D8D8D8" stroked="f" strokeweight="-1.0pt">
                  <v:stroke/>
                </v:rect>
                <v:rect type="#_x0000_t1" id="_s22" o:spid="_x0000_s22" style="position:absolute;left:-13;top:962;width:4340;height:750;mso-wrap-style:square;" fillcolor="#AD002D" stroked="t" strokeweight="2.0pt">
                  <v:textbox id="852"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2018年度部门决算☞目 录</w:t>
                        </w:r>
                      </w:p>
                      <w:p>
                        <w:pPr>
                          <w:jc w:val="center"/>
                        </w:pPr>
                      </w:p>
                    </w:txbxContent>
                  </v:textbox>
                  <v:stroke color="#AF7621"/>
                </v:rect>
                <w10:anchorLock/>
              </v:group>
            </w:pict>
          </mc:Fallback>
        </mc:AlternateContent>
      </w:r>
    </w:p>
    <w:p>
      <w:pPr>
        <w:widowControl/>
        <w:spacing w:line="580" w:lineRule="exact"/>
        <w:ind w:left="640" w:firstLineChars="200" w:firstLine="640"/>
        <w:rPr>
          <w:rFonts w:eastAsia="仿宋_GB2312"/>
          <w:sz w:val="32"/>
          <w:szCs w:val="32"/>
        </w:rPr>
      </w:pPr>
      <w:r>
        <w:rPr>
          <w:rFonts w:eastAsia="仿宋_GB2312"/>
          <w:sz w:val="32"/>
          <w:szCs w:val="32"/>
        </w:rPr>
        <w:t>一、收入支出决算总体情况说明</w:t>
      </w:r>
    </w:p>
    <w:p>
      <w:pPr>
        <w:widowControl/>
        <w:spacing w:line="580" w:lineRule="exact"/>
        <w:ind w:left="640" w:firstLineChars="200" w:firstLine="640"/>
        <w:rPr>
          <w:rFonts w:eastAsia="仿宋_GB2312"/>
          <w:sz w:val="32"/>
          <w:szCs w:val="32"/>
        </w:rPr>
      </w:pPr>
      <w:r>
        <w:rPr>
          <w:rFonts w:eastAsia="仿宋_GB2312"/>
          <w:sz w:val="32"/>
          <w:szCs w:val="32"/>
        </w:rPr>
        <w:t>二、收入决算情况说明</w:t>
      </w:r>
    </w:p>
    <w:p>
      <w:pPr>
        <w:widowControl/>
        <w:spacing w:line="580" w:lineRule="exact"/>
        <w:ind w:left="640" w:firstLineChars="200" w:firstLine="640"/>
        <w:rPr>
          <w:rFonts w:eastAsia="仿宋_GB2312"/>
          <w:sz w:val="32"/>
          <w:szCs w:val="32"/>
        </w:rPr>
      </w:pPr>
      <w:r>
        <w:rPr>
          <w:rFonts w:eastAsia="仿宋_GB2312"/>
          <w:sz w:val="32"/>
          <w:szCs w:val="32"/>
        </w:rPr>
        <w:t>三、支出决算情况说明</w:t>
      </w:r>
    </w:p>
    <w:p>
      <w:pPr>
        <w:widowControl/>
        <w:spacing w:line="580" w:lineRule="exact"/>
        <w:ind w:left="640" w:firstLineChars="200" w:firstLine="640"/>
        <w:rPr>
          <w:rFonts w:eastAsia="仿宋_GB2312"/>
          <w:sz w:val="32"/>
          <w:szCs w:val="32"/>
        </w:rPr>
      </w:pPr>
      <w:r>
        <w:rPr>
          <w:rFonts w:eastAsia="仿宋_GB2312"/>
          <w:sz w:val="32"/>
          <w:szCs w:val="32"/>
        </w:rPr>
        <w:t>四、财政拨款收入支出决算总体情况说明</w:t>
      </w:r>
    </w:p>
    <w:p>
      <w:pPr>
        <w:widowControl/>
        <w:spacing w:line="580" w:lineRule="exact"/>
        <w:ind w:left="640" w:firstLineChars="200" w:firstLine="640"/>
        <w:rPr>
          <w:rFonts w:eastAsia="仿宋_GB2312"/>
          <w:sz w:val="32"/>
          <w:szCs w:val="32"/>
        </w:rPr>
      </w:pPr>
      <w:r>
        <w:rPr>
          <w:rFonts w:eastAsia="仿宋_GB2312" w:hint="eastAsia"/>
          <w:sz w:val="32"/>
          <w:szCs w:val="32"/>
        </w:rPr>
        <w:t>五、一般公共预算</w:t>
      </w:r>
      <w:r>
        <w:rPr>
          <w:rFonts w:eastAsia="仿宋_GB2312" w:hint="eastAsia"/>
          <w:sz w:val="32"/>
          <w:szCs w:val="32"/>
          <w:lang w:eastAsia="zh-CN"/>
        </w:rPr>
        <w:t>财政拨款</w:t>
      </w:r>
      <w:r>
        <w:rPr>
          <w:rFonts w:eastAsia="仿宋_GB2312"/>
          <w:sz w:val="32"/>
          <w:szCs w:val="32"/>
        </w:rPr>
        <w:t>“三公”经费支出决算情况说明</w:t>
      </w:r>
    </w:p>
    <w:p>
      <w:pPr>
        <w:widowControl/>
        <w:spacing w:line="580" w:lineRule="exact"/>
        <w:ind w:left="640" w:firstLineChars="200" w:firstLine="640"/>
        <w:rPr>
          <w:rFonts w:eastAsia="仿宋_GB2312"/>
          <w:sz w:val="32"/>
          <w:szCs w:val="32"/>
        </w:rPr>
      </w:pPr>
      <w:r>
        <w:rPr>
          <w:rFonts w:eastAsia="仿宋_GB2312" w:hint="eastAsia"/>
          <w:sz w:val="32"/>
          <w:szCs w:val="32"/>
        </w:rPr>
        <w:t>六</w:t>
      </w:r>
      <w:r>
        <w:rPr>
          <w:rFonts w:eastAsia="仿宋_GB2312"/>
          <w:sz w:val="32"/>
          <w:szCs w:val="32"/>
        </w:rPr>
        <w:t>、预算绩效情况说明</w:t>
      </w:r>
    </w:p>
    <w:p>
      <w:pPr>
        <w:widowControl/>
        <w:spacing w:line="580" w:lineRule="exact"/>
        <w:ind w:left="640" w:firstLineChars="200" w:firstLine="640"/>
        <w:rPr>
          <w:rFonts w:eastAsia="仿宋_GB2312"/>
          <w:sz w:val="32"/>
          <w:szCs w:val="32"/>
        </w:rPr>
      </w:pPr>
      <w:r>
        <w:rPr>
          <w:rFonts w:eastAsia="仿宋_GB2312" w:hint="eastAsia"/>
          <w:sz w:val="32"/>
          <w:szCs w:val="32"/>
        </w:rPr>
        <w:t>七</w:t>
      </w:r>
      <w:r>
        <w:rPr>
          <w:rFonts w:eastAsia="仿宋_GB2312"/>
          <w:sz w:val="32"/>
          <w:szCs w:val="32"/>
        </w:rPr>
        <w:t>、其他重要事项的说明</w:t>
      </w:r>
    </w:p>
    <w:p>
      <w:pPr>
        <w:widowControl/>
        <w:spacing w:line="580" w:lineRule="exact"/>
        <w:ind w:firstLineChars="200" w:firstLine="640"/>
        <w:rPr>
          <w:rFonts w:eastAsia="黑体"/>
          <w:sz w:val="32"/>
          <w:szCs w:val="32"/>
        </w:rPr>
      </w:pPr>
      <w:r>
        <w:rPr>
          <w:rFonts w:eastAsia="黑体"/>
          <w:sz w:val="32"/>
          <w:szCs w:val="32"/>
        </w:rPr>
        <w:t>第四部分  名词解释</w:t>
      </w:r>
    </w:p>
    <w:p>
      <w:pPr>
        <w:widowControl/>
        <w:spacing w:line="580" w:lineRule="exact"/>
        <w:ind w:firstLineChars="200" w:firstLine="640"/>
        <w:rPr>
          <w:rFonts w:eastAsia="黑体"/>
          <w:sz w:val="32"/>
          <w:szCs w:val="32"/>
        </w:rPr>
      </w:pPr>
    </w:p>
    <w:p>
      <w:pPr>
        <w:widowControl/>
        <w:spacing w:line="580" w:lineRule="exact"/>
        <w:ind w:firstLineChars="200" w:firstLine="640"/>
        <w:rPr>
          <w:rFonts w:eastAsia="黑体"/>
          <w:sz w:val="32"/>
          <w:szCs w:val="32"/>
        </w:rPr>
      </w:pPr>
    </w:p>
    <w:p>
      <w:pPr>
        <w:widowControl/>
        <w:spacing w:line="580" w:lineRule="exact"/>
        <w:ind w:firstLineChars="200" w:firstLine="640"/>
        <w:rPr>
          <w:rFonts w:eastAsia="黑体"/>
          <w:sz w:val="32"/>
          <w:szCs w:val="32"/>
        </w:rPr>
      </w:pPr>
    </w:p>
    <w:p>
      <w:pPr>
        <w:widowControl/>
        <w:spacing w:line="580" w:lineRule="exact"/>
        <w:ind w:firstLineChars="200" w:firstLine="640"/>
        <w:rPr>
          <w:rFonts w:eastAsia="黑体"/>
          <w:sz w:val="32"/>
          <w:szCs w:val="32"/>
        </w:rPr>
      </w:pPr>
    </w:p>
    <w:p>
      <w:r>
        <w:br w:type="page"/>
      </w:r>
    </w:p>
    <w:p>
      <w:r>
        <w:rPr>
          <w:rFonts w:ascii="宋体" w:cs="ArialUnicodeMS" w:hAnsi="宋体" w:hint="eastAsia"/>
          <w:color w:val="000000"/>
          <w:kern w:val="0"/>
        </w:rPr>
        <w:drawing>
          <wp:anchor distT="0" distB="0" distL="0" distR="0" simplePos="0" relativeHeight="4" behindDoc="1" locked="0" layoutInCell="1" hidden="0" allowOverlap="1">
            <wp:simplePos x="0" y="0"/>
            <wp:positionH relativeFrom="column">
              <wp:posOffset>-1024255</wp:posOffset>
            </wp:positionH>
            <wp:positionV relativeFrom="paragraph">
              <wp:posOffset>-1351915</wp:posOffset>
            </wp:positionV>
            <wp:extent cx="7585710" cy="10727055"/>
            <wp:effectExtent l="0" t="0" r="15240" b="17145"/>
            <wp:wrapNone/>
            <wp:docPr id="1121" name="图片 12"/>
            <wp:cNvGraphicFramePr>
              <a:graphicFrameLocks noChangeAspect="0"/>
            </wp:cNvGraphicFramePr>
            <a:graphic>
              <a:graphicData uri="http://schemas.openxmlformats.org/drawingml/2006/picture">
                <pic:pic>
                  <pic:nvPicPr>
                    <pic:cNvPr id="24" name="图片 12 24"/>
                    <pic:cNvPicPr/>
                  </pic:nvPicPr>
                  <pic:blipFill>
                    <a:blip r:embed="rId7"/>
                    <a:stretch>
                      <a:fillRect/>
                    </a:stretch>
                  </pic:blipFill>
                  <pic:spPr>
                    <a:xfrm rot="0">
                      <a:off x="0" y="0"/>
                      <a:ext cx="7585710" cy="10727055"/>
                    </a:xfrm>
                    <a:prstGeom prst="rect"/>
                    <a:noFill/>
                    <a:ln w="9525" cmpd="sng" cap="flat">
                      <a:noFill/>
                      <a:prstDash val="solid"/>
                      <a:miter/>
                    </a:ln>
                  </pic:spPr>
                </pic:pic>
              </a:graphicData>
            </a:graphic>
          </wp:anchor>
        </w:drawing>
      </w:r>
      <w:r>
        <w:rPr>
          <w:sz w:val="72"/>
        </w:rPr>
        <mc:AlternateContent>
          <mc:Choice Requires="wps">
            <w:drawing>
              <wp:anchor distT="0" distB="0" distL="0" distR="0" simplePos="0" relativeHeight="89" behindDoc="0" locked="0" layoutInCell="1" hidden="0" allowOverlap="1">
                <wp:simplePos x="0" y="0"/>
                <wp:positionH relativeFrom="column">
                  <wp:posOffset>-1235710</wp:posOffset>
                </wp:positionH>
                <wp:positionV relativeFrom="paragraph">
                  <wp:posOffset>3290570</wp:posOffset>
                </wp:positionV>
                <wp:extent cx="7793355" cy="1037590"/>
                <wp:effectExtent l="0" t="0" r="0" b="0"/>
                <wp:wrapNone/>
                <wp:docPr id="1035" name="文本框 118"/>
                <wp:cNvGraphicFramePr>
                  <a:graphicFrameLocks noChangeAspect="0"/>
                </wp:cNvGraphicFramePr>
                <a:graphic>
                  <a:graphicData uri="http://schemas.microsoft.com/office/word/2010/wordprocessingShape">
                    <wps:wsp>
                      <wps:cNvSpPr/>
                      <wps:spPr>
                        <a:xfrm rot="0">
                          <a:off x="0" y="0"/>
                          <a:ext cx="7793355" cy="1037590"/>
                        </a:xfrm>
                        <a:prstGeom prst="rect"/>
                        <a:noFill/>
                        <a:ln cmpd="sng" cap="flat">
                          <a:noFill/>
                          <a:prstDash val="solid"/>
                          <a:round/>
                        </a:ln>
                      </wps:spPr>
                      <wps:txbx id="25">
                        <w:txbxContent>
                          <w:p>
                            <w:pPr>
                              <w:widowControl/>
                              <w:jc w:val="center"/>
                              <w:rPr>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第一部分  部门概况</w:t>
                            </w:r>
                          </w:p>
                        </w:txbxContent>
                      </wps:txbx>
                      <wps:bodyPr vert="horz" wrap="square" lIns="91440" tIns="45720" rIns="91440" bIns="45720" anchor="t" anchorCtr="0" upright="0">
                        <a:noAutofit/>
                      </wps:bodyPr>
                    </wps:wsp>
                  </a:graphicData>
                </a:graphic>
              </wp:anchor>
            </w:drawing>
          </mc:Choice>
          <mc:Fallback>
            <w:pict>
              <v:rect type="#_x0000_t1" id="文本框 118" o:spid="_x0000_s26" filled="f" stroked="f" strokeweight="-1.0pt" style="position:absolute;margin-left:-97.3pt;margin-top:259.1pt;width:613.65pt;height:81.70001pt;z-index:89;mso-position-horizontal:absolute;mso-position-vertical:absolute;mso-wrap-distance-left:0.0pt;mso-wrap-distance-right:0.0pt;mso-wrap-style:square;">
                <v:stroke/>
                <v:textbox id="854" inset="2.54mm,1.27mm,2.54mm,1.27mm" o:insetmode="custom" style="layout-flow:horizontal;v-text-anchor:top;">
                  <w:txbxContent>
                    <w:p>
                      <w:pPr>
                        <w:widowControl/>
                        <w:jc w:val="center"/>
                        <w:rPr>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第一部分  部门概况</w:t>
                      </w:r>
                    </w:p>
                  </w:txbxContent>
                </v:textbox>
              </v:rect>
            </w:pict>
          </mc:Fallback>
        </mc:AlternateContent>
      </w:r>
    </w:p>
    <w:p/>
    <w:p/>
    <w:p/>
    <w:p/>
    <w:p/>
    <w:p/>
    <w:p/>
    <w:p/>
    <w:p/>
    <w:p/>
    <w:p/>
    <w:p/>
    <w:p/>
    <w:p/>
    <w:p/>
    <w:p>
      <w:pPr>
        <w:pStyle w:val="1"/>
        <w:spacing w:before="0" w:after="0" w:line="600" w:lineRule="exact"/>
        <w:jc w:val="left"/>
        <w:rPr>
          <w:rFonts w:ascii="黑体" w:eastAsia="黑体" w:cs="黑体" w:hAnsi="Cambria"/>
          <w:b w:val="0"/>
          <w:bCs w:val="0"/>
          <w:kern w:val="0"/>
          <w:sz w:val="32"/>
          <w:szCs w:val="32"/>
        </w:rPr>
      </w:pPr>
      <w:r>
        <w:rPr>
          <w:b w:val="0"/>
          <w:bCs w:val="0"/>
          <w:sz w:val="32"/>
          <w:szCs w:val="32"/>
        </w:rPr>
        <mc:AlternateContent>
          <mc:Choice Requires="wps">
            <w:drawing>
              <wp:anchor distT="0" distB="0" distL="0" distR="0" simplePos="0" relativeHeight="91" behindDoc="0" locked="1" layoutInCell="1" hidden="0" allowOverlap="1">
                <wp:simplePos x="0" y="0"/>
                <wp:positionH relativeFrom="column">
                  <wp:posOffset>-1025525</wp:posOffset>
                </wp:positionH>
                <wp:positionV relativeFrom="page">
                  <wp:posOffset>501650</wp:posOffset>
                </wp:positionV>
                <wp:extent cx="3114675" cy="593091"/>
                <wp:effectExtent l="3175" t="0" r="6350" b="16510"/>
                <wp:wrapNone/>
                <wp:docPr id="1122" name="组合 15"/>
                <wp:cNvGraphicFramePr>
                  <a:graphicFrameLocks noChangeAspect="0"/>
                </wp:cNvGraphicFramePr>
                <a:graphic>
                  <a:graphicData uri="http://schemas.microsoft.com/office/word/2010/wordprocessingGroup">
                    <wpg:wgp>
                      <wpg:cNvPr id="27" name="组合 15 27"/>
                      <wpg:cNvGrpSpPr/>
                      <wpg:grpSpPr>
                        <a:xfrm rot="0">
                          <a:off x="0" y="0"/>
                          <a:ext cx="3114675" cy="593091"/>
                          <a:chOff x="0" y="0"/>
                          <a:chExt cx="3114675" cy="593091"/>
                        </a:xfrm>
                        <a:prstGeom prst="rect"/>
                        <a:solidFill>
                          <a:srgbClr val="FFFFFF"/>
                        </a:solidFill>
                        <a:ln w="9525" cmpd="sng" cap="flat">
                          <a:solidFill>
                            <a:srgbClr val="000000"/>
                          </a:solidFill>
                          <a:prstDash val="solid"/>
                          <a:miter/>
                        </a:ln>
                      </wpg:grpSpPr>
                      <wps:wsp>
                        <wps:cNvPr id="28" name="矩形 5 28 28"/>
                        <wps:cNvSpPr/>
                        <wps:spPr>
                          <a:xfrm rot="0">
                            <a:off x="0" y="0"/>
                            <a:ext cx="3114675" cy="498485"/>
                          </a:xfrm>
                          <a:prstGeom prst="rect"/>
                          <a:solidFill>
                            <a:srgbClr val="D8D8D8"/>
                          </a:solidFill>
                          <a:ln cmpd="sng" cap="flat">
                            <a:noFill/>
                            <a:prstDash val="solid"/>
                            <a:round/>
                          </a:ln>
                        </wps:spPr>
                        <wps:bodyPr vert="horz" wrap="square" lIns="91440" tIns="45720" rIns="91440" bIns="45720" anchor="t" anchorCtr="0" upright="0">
                          <a:noAutofit/>
                        </wps:bodyPr>
                      </wps:wsp>
                      <wps:wsp>
                        <wps:cNvPr id="29" name="矩形 6 29 29"/>
                        <wps:cNvSpPr/>
                        <wps:spPr>
                          <a:xfrm rot="0">
                            <a:off x="9475" y="116666"/>
                            <a:ext cx="3033764" cy="476424"/>
                          </a:xfrm>
                          <a:prstGeom prst="rect"/>
                          <a:solidFill>
                            <a:srgbClr val="AD002D"/>
                          </a:solidFill>
                          <a:ln w="25400" cmpd="sng" cap="flat">
                            <a:solidFill>
                              <a:srgbClr val="AF7621"/>
                            </a:solidFill>
                            <a:prstDash val="solid"/>
                            <a:round/>
                          </a:ln>
                        </wps:spPr>
                        <wps:txbx id="30">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2018年度部门决算☞部门概况</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15" o:spid="_x0000_s31" coordorigin="-27,790" coordsize="4905,934" style="position:absolute;margin-left:-80.75pt;margin-top:39.5pt;width:245.25pt;height:46.700085pt;z-index:91;mso-position-horizontal:absolute;mso-position-vertical:absolute;mso-position-vertical-relative:page;mso-wrap-distance-left:0.0pt;mso-wrap-distance-right:0.0pt;">
                <v:rect type="#_x0000_t1" id="矩形 5 28 28" o:spid="_x0000_s32" style="position:absolute;left:-27;top:790;width:4905;height:785;" fillcolor="#D8D8D8" stroked="f" strokeweight="-1.0pt">
                  <v:stroke/>
                </v:rect>
                <v:rect type="#_x0000_t1" id="_s33" o:spid="_x0000_s33" style="position:absolute;left:-12;top:973;width:4777;height:750;mso-wrap-style:square;" fillcolor="#AD002D" stroked="t" strokeweight="2.0pt">
                  <v:textbox id="855"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2018年度部门决算☞部门概况</w:t>
                        </w:r>
                      </w:p>
                      <w:p>
                        <w:pPr>
                          <w:jc w:val="center"/>
                        </w:pPr>
                      </w:p>
                    </w:txbxContent>
                  </v:textbox>
                  <v:stroke color="#AF7621"/>
                </v:rect>
                <w10:anchorLock/>
              </v:group>
            </w:pict>
          </mc:Fallback>
        </mc:AlternateContent>
      </w:r>
      <w:r>
        <w:rPr>
          <w:rFonts w:ascii="黑体" w:eastAsia="黑体" w:cs="黑体" w:hAnsi="Cambria" w:hint="eastAsia"/>
          <w:b w:val="0"/>
          <w:bCs w:val="0"/>
          <w:kern w:val="0"/>
          <w:sz w:val="32"/>
          <w:szCs w:val="32"/>
        </w:rPr>
        <w:t>一、部门职责</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Chars="200" w:firstLine="640"/>
        <w:jc w:val="left"/>
        <w:textAlignment w:val="auto"/>
        <w:rPr>
          <w:rFonts w:ascii="仿宋_GB2312" w:eastAsia="仿宋_GB2312" w:cs="ArialUnicodeMS" w:hAnsi="Cambria" w:hint="eastAsia"/>
          <w:kern w:val="0"/>
          <w:sz w:val="32"/>
          <w:szCs w:val="32"/>
        </w:rPr>
      </w:pPr>
      <w:r>
        <w:rPr>
          <w:rFonts w:ascii="仿宋_GB2312" w:eastAsia="仿宋_GB2312" w:cs="ArialUnicodeMS" w:hAnsi="Cambria" w:hint="eastAsia"/>
          <w:kern w:val="0"/>
          <w:sz w:val="32"/>
          <w:szCs w:val="32"/>
        </w:rPr>
        <w:t xml:space="preserve">根据《中共遵化市委遵化市人民政府关于大力推进供销合作社改革与发展的实施意见》等有关文件，我单位主要职责是：   </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Chars="200" w:firstLine="640"/>
        <w:jc w:val="left"/>
        <w:textAlignment w:val="auto"/>
        <w:rPr>
          <w:rFonts w:ascii="仿宋_GB2312" w:eastAsia="仿宋_GB2312" w:cs="ArialUnicodeMS" w:hAnsi="Cambria" w:hint="eastAsia"/>
          <w:kern w:val="0"/>
          <w:sz w:val="32"/>
          <w:szCs w:val="32"/>
        </w:rPr>
      </w:pPr>
      <w:r>
        <w:rPr>
          <w:rFonts w:ascii="仿宋_GB2312" w:eastAsia="仿宋_GB2312" w:cs="ArialUnicodeMS" w:hAnsi="Cambria" w:hint="eastAsia"/>
          <w:kern w:val="0"/>
          <w:sz w:val="32"/>
          <w:szCs w:val="32"/>
        </w:rPr>
        <w:t>1.承担全市农村流通服务网络体系建设，组建企业经营集团，以多元投资模式发展配送中心，开展农业生产资料、农产品、再生资源回收利用、日用工业品的新型连锁经营。</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Chars="200" w:firstLine="640"/>
        <w:jc w:val="left"/>
        <w:textAlignment w:val="auto"/>
        <w:rPr>
          <w:rFonts w:ascii="仿宋_GB2312" w:eastAsia="仿宋_GB2312" w:cs="ArialUnicodeMS" w:hAnsi="Cambria" w:hint="eastAsia"/>
          <w:kern w:val="0"/>
          <w:sz w:val="32"/>
          <w:szCs w:val="32"/>
        </w:rPr>
      </w:pPr>
      <w:r>
        <w:rPr>
          <w:rFonts w:ascii="仿宋_GB2312" w:eastAsia="仿宋_GB2312" w:cs="ArialUnicodeMS" w:hAnsi="Cambria" w:hint="eastAsia"/>
          <w:kern w:val="0"/>
          <w:sz w:val="32"/>
          <w:szCs w:val="32"/>
        </w:rPr>
        <w:t>2.统领全市农村合作经济组织建设，进行统一组织、协调、指导、考核和管理，负责制定、落实农村合作经济组织发展规划。积极发展和吸纳各类农村合作经济组织，提高农民组织化程度，参与和推动有关农村经济和农村合作经济组织政策的制定，促进全市合作经济的发展。</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Chars="200" w:firstLine="640"/>
        <w:jc w:val="left"/>
        <w:textAlignment w:val="auto"/>
        <w:rPr>
          <w:rFonts w:ascii="仿宋_GB2312" w:eastAsia="仿宋_GB2312" w:cs="ArialUnicodeMS" w:hAnsi="Cambria" w:hint="eastAsia"/>
          <w:kern w:val="0"/>
          <w:sz w:val="32"/>
          <w:szCs w:val="32"/>
        </w:rPr>
      </w:pPr>
      <w:r>
        <w:rPr>
          <w:rFonts w:ascii="仿宋_GB2312" w:eastAsia="仿宋_GB2312" w:cs="ArialUnicodeMS" w:hAnsi="Cambria" w:hint="eastAsia"/>
          <w:kern w:val="0"/>
          <w:sz w:val="32"/>
          <w:szCs w:val="32"/>
        </w:rPr>
        <w:t>3.承担村镇社区综合服务中心的建设，延伸服务网络，大力发展村级综合服务站，完善农村综合服务体系。</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Chars="200" w:firstLine="640"/>
        <w:jc w:val="left"/>
        <w:textAlignment w:val="auto"/>
        <w:rPr>
          <w:rFonts w:ascii="仿宋_GB2312" w:eastAsia="仿宋_GB2312" w:cs="ArialUnicodeMS" w:hAnsi="Cambria" w:hint="eastAsia"/>
          <w:kern w:val="0"/>
          <w:sz w:val="32"/>
          <w:szCs w:val="32"/>
        </w:rPr>
      </w:pPr>
      <w:r>
        <w:rPr>
          <w:rFonts w:ascii="仿宋_GB2312" w:eastAsia="仿宋_GB2312" w:cs="ArialUnicodeMS" w:hAnsi="Cambria" w:hint="eastAsia"/>
          <w:kern w:val="0"/>
          <w:sz w:val="32"/>
          <w:szCs w:val="32"/>
        </w:rPr>
        <w:t>4.承担农资、食盐等物资的储备供应工作。</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Chars="200" w:firstLine="640"/>
        <w:jc w:val="left"/>
        <w:textAlignment w:val="auto"/>
        <w:rPr>
          <w:rFonts w:ascii="仿宋_GB2312" w:eastAsia="仿宋_GB2312" w:cs="ArialUnicodeMS" w:hAnsi="Cambria" w:hint="eastAsia"/>
          <w:kern w:val="0"/>
          <w:sz w:val="32"/>
          <w:szCs w:val="32"/>
        </w:rPr>
      </w:pPr>
      <w:r>
        <w:rPr>
          <w:rFonts w:ascii="仿宋_GB2312" w:eastAsia="仿宋_GB2312" w:cs="ArialUnicodeMS" w:hAnsi="Cambria" w:hint="eastAsia"/>
          <w:kern w:val="0"/>
          <w:sz w:val="32"/>
          <w:szCs w:val="32"/>
        </w:rPr>
        <w:t>5.负责全市食盐专营及食盐批发、零售各个环节的计划和许可证管理。负责市场工业用盐供应的组织管理和全市盐业流通领域行政执法管理工作。</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Chars="200" w:firstLine="640"/>
        <w:jc w:val="left"/>
        <w:textAlignment w:val="auto"/>
        <w:rPr>
          <w:rFonts w:ascii="仿宋_GB2312" w:eastAsia="仿宋_GB2312" w:cs="ArialUnicodeMS" w:hAnsi="Cambria" w:hint="eastAsia"/>
          <w:kern w:val="0"/>
          <w:sz w:val="32"/>
          <w:szCs w:val="32"/>
        </w:rPr>
      </w:pPr>
      <w:r>
        <w:rPr>
          <w:rFonts w:ascii="仿宋_GB2312" w:eastAsia="仿宋_GB2312" w:cs="ArialUnicodeMS" w:hAnsi="Cambria" w:hint="eastAsia"/>
          <w:kern w:val="0"/>
          <w:sz w:val="32"/>
          <w:szCs w:val="32"/>
        </w:rPr>
        <w:t>6.组织和指导全系统企业改革，承担对改制企业的监督、管理和服务的职能。负责和指导全系统供销社企业的财务、会计、审计、统计工作，负责管理运营本级社有资产。</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Chars="200" w:firstLine="640"/>
        <w:jc w:val="left"/>
        <w:textAlignment w:val="auto"/>
        <w:rPr>
          <w:rFonts w:ascii="仿宋_GB2312" w:eastAsia="仿宋_GB2312" w:cs="ArialUnicodeMS" w:hAnsi="Cambria" w:hint="eastAsia"/>
          <w:kern w:val="0"/>
          <w:sz w:val="32"/>
          <w:szCs w:val="32"/>
        </w:rPr>
      </w:pPr>
      <w:r>
        <w:rPr>
          <w:rFonts w:ascii="仿宋_GB2312" w:eastAsia="仿宋_GB2312" w:cs="ArialUnicodeMS" w:hAnsi="Cambria" w:hint="eastAsia"/>
          <w:kern w:val="0"/>
          <w:sz w:val="32"/>
          <w:szCs w:val="32"/>
        </w:rPr>
        <w:t>7.对全系统所属企业行使出资人职能，负责企业党建、廉政建设，按干部管理权限考察任免干部。依法享有所有者的资产收益、重大问题决策和选择管理者的权力。</w:t>
      </w:r>
    </w:p>
    <w:p>
      <w:pPr>
        <w:pStyle w:val="1"/>
        <w:spacing w:before="0" w:after="0" w:line="600" w:lineRule="exact"/>
        <w:jc w:val="left"/>
        <w:rPr>
          <w:rFonts w:ascii="黑体" w:eastAsia="黑体" w:cs="黑体" w:hAnsi="Cambria"/>
          <w:b w:val="0"/>
          <w:bCs w:val="0"/>
          <w:kern w:val="0"/>
          <w:sz w:val="32"/>
          <w:szCs w:val="32"/>
        </w:rPr>
      </w:pPr>
      <w:r>
        <w:rPr>
          <w:rFonts w:ascii="黑体" w:eastAsia="黑体" w:cs="黑体" w:hAnsi="Cambria" w:hint="eastAsia"/>
          <w:b w:val="0"/>
          <w:bCs w:val="0"/>
          <w:kern w:val="0"/>
          <w:sz w:val="32"/>
          <w:szCs w:val="32"/>
        </w:rPr>
        <w:t>二、机构设置</w:t>
      </w:r>
    </w:p>
    <w:p>
      <w:pPr>
        <w:spacing w:after="0" w:line="560" w:lineRule="exact"/>
        <w:rPr>
          <w:rFonts w:ascii="仿宋_GB2312" w:eastAsia="仿宋_GB2312" w:cs="ArialUnicodeMS" w:hAnsi="Cambria"/>
          <w:kern w:val="0"/>
          <w:sz w:val="32"/>
          <w:szCs w:val="32"/>
        </w:rPr>
      </w:pPr>
      <w:r>
        <w:rPr>
          <w:rFonts w:ascii="仿宋_GB2312" w:eastAsia="仿宋_GB2312" w:cs="ArialUnicodeMS" w:hAnsi="Cambria" w:hint="eastAsia"/>
          <w:kern w:val="0"/>
          <w:sz w:val="32"/>
          <w:szCs w:val="32"/>
        </w:rPr>
        <w:t>从决算编报单位构成看，纳入2018 年度本部门决算汇编范围的独立核算单位（以下简称“单位”）共</w:t>
      </w:r>
      <w:r>
        <w:rPr>
          <w:rFonts w:ascii="仿宋_GB2312" w:eastAsia="仿宋_GB2312" w:cs="ArialUnicodeMS" w:hAnsi="Cambria" w:hint="eastAsia"/>
          <w:kern w:val="0"/>
          <w:sz w:val="32"/>
          <w:szCs w:val="32"/>
          <w:lang w:val="en-US" w:eastAsia="zh-CN"/>
        </w:rPr>
        <w:t>1</w:t>
      </w:r>
      <w:r>
        <w:rPr>
          <w:rFonts w:ascii="仿宋_GB2312" w:eastAsia="仿宋_GB2312" w:cs="ArialUnicodeMS" w:hAnsi="Cambria" w:hint="eastAsia"/>
          <w:kern w:val="0"/>
          <w:sz w:val="32"/>
          <w:szCs w:val="32"/>
        </w:rPr>
        <w:t>个，具体情况如下：</w:t>
      </w:r>
    </w:p>
    <w:tbl>
      <w:tblPr>
        <w:tblpPr w:leftFromText="180" w:rightFromText="180" w:vertAnchor="text" w:horzAnchor="page" w:tblpXSpec="center" w:tblpY="10"/>
        <w:tblOverlap w:val="never"/>
        <w:tblW w:w="958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985"/>
        <w:gridCol w:w="3485"/>
        <w:gridCol w:w="2660"/>
        <w:gridCol w:w="2450"/>
      </w:tblGrid>
      <w:tr>
        <w:trPr>
          <w:trHeight w:val="811"/>
        </w:trPr>
        <w:tc>
          <w:tcPr>
            <w:tcW w:w="985" w:type="dxa"/>
            <w:vAlign w:val="center"/>
          </w:tcPr>
          <w:p>
            <w:pPr>
              <w:spacing w:after="0" w:line="560" w:lineRule="exact"/>
              <w:jc w:val="center"/>
              <w:rPr>
                <w:rFonts w:ascii="仿宋_GB2312" w:eastAsia="仿宋_GB2312" w:cs="ArialUnicodeMS" w:hAnsi="Cambria"/>
                <w:b/>
                <w:bCs/>
                <w:kern w:val="0"/>
                <w:sz w:val="28"/>
                <w:szCs w:val="28"/>
              </w:rPr>
            </w:pPr>
            <w:r>
              <w:rPr>
                <w:rFonts w:ascii="仿宋_GB2312" w:eastAsia="仿宋_GB2312" w:cs="ArialUnicodeMS" w:hAnsi="Cambria" w:hint="eastAsia"/>
                <w:b/>
                <w:bCs/>
                <w:kern w:val="0"/>
                <w:sz w:val="28"/>
                <w:szCs w:val="28"/>
              </w:rPr>
              <w:t>序号</w:t>
            </w:r>
          </w:p>
        </w:tc>
        <w:tc>
          <w:tcPr>
            <w:tcW w:w="3485" w:type="dxa"/>
            <w:vAlign w:val="center"/>
          </w:tcPr>
          <w:p>
            <w:pPr>
              <w:spacing w:after="0" w:line="560" w:lineRule="exact"/>
              <w:jc w:val="center"/>
              <w:rPr>
                <w:rFonts w:ascii="仿宋_GB2312" w:eastAsia="仿宋_GB2312" w:cs="ArialUnicodeMS" w:hAnsi="Cambria"/>
                <w:b/>
                <w:bCs/>
                <w:kern w:val="0"/>
                <w:sz w:val="28"/>
                <w:szCs w:val="28"/>
              </w:rPr>
            </w:pPr>
            <w:r>
              <w:rPr>
                <w:rFonts w:ascii="仿宋_GB2312" w:eastAsia="仿宋_GB2312" w:cs="ArialUnicodeMS" w:hAnsi="Cambria" w:hint="eastAsia"/>
                <w:b/>
                <w:bCs/>
                <w:kern w:val="0"/>
                <w:sz w:val="28"/>
                <w:szCs w:val="28"/>
              </w:rPr>
              <w:t>单位名称</w:t>
            </w:r>
          </w:p>
        </w:tc>
        <w:tc>
          <w:tcPr>
            <w:tcW w:w="2660" w:type="dxa"/>
            <w:vAlign w:val="center"/>
          </w:tcPr>
          <w:p>
            <w:pPr>
              <w:spacing w:after="0" w:line="560" w:lineRule="exact"/>
              <w:jc w:val="center"/>
              <w:rPr>
                <w:rFonts w:ascii="仿宋_GB2312" w:eastAsia="仿宋_GB2312" w:cs="ArialUnicodeMS" w:hAnsi="Cambria"/>
                <w:b/>
                <w:bCs/>
                <w:kern w:val="0"/>
                <w:sz w:val="28"/>
                <w:szCs w:val="28"/>
              </w:rPr>
            </w:pPr>
            <w:r>
              <w:rPr>
                <w:rFonts w:ascii="仿宋_GB2312" w:eastAsia="仿宋_GB2312" w:cs="ArialUnicodeMS" w:hAnsi="Cambria" w:hint="eastAsia"/>
                <w:b/>
                <w:bCs/>
                <w:kern w:val="0"/>
                <w:sz w:val="28"/>
                <w:szCs w:val="28"/>
              </w:rPr>
              <w:t>单位基本性质</w:t>
            </w:r>
          </w:p>
        </w:tc>
        <w:tc>
          <w:tcPr>
            <w:tcW w:w="2450" w:type="dxa"/>
            <w:vAlign w:val="center"/>
          </w:tcPr>
          <w:p>
            <w:pPr>
              <w:spacing w:after="0" w:line="560" w:lineRule="exact"/>
              <w:jc w:val="center"/>
              <w:rPr>
                <w:rFonts w:ascii="仿宋_GB2312" w:eastAsia="仿宋_GB2312" w:cs="ArialUnicodeMS" w:hAnsi="Cambria"/>
                <w:b/>
                <w:bCs/>
                <w:kern w:val="0"/>
                <w:sz w:val="28"/>
                <w:szCs w:val="28"/>
              </w:rPr>
            </w:pPr>
            <w:r>
              <w:rPr>
                <w:rFonts w:ascii="仿宋_GB2312" w:eastAsia="仿宋_GB2312" w:cs="ArialUnicodeMS" w:hAnsi="Cambria" w:hint="eastAsia"/>
                <w:b/>
                <w:bCs/>
                <w:kern w:val="0"/>
                <w:sz w:val="28"/>
                <w:szCs w:val="28"/>
              </w:rPr>
              <w:t>经费形式</w:t>
            </w:r>
          </w:p>
        </w:tc>
      </w:tr>
      <w:tr>
        <w:trPr>
          <w:trHeight w:val="596"/>
        </w:trPr>
        <w:tc>
          <w:tcPr>
            <w:tcW w:w="985" w:type="dxa"/>
          </w:tcPr>
          <w:p>
            <w:pPr>
              <w:spacing w:after="0" w:line="560" w:lineRule="exact"/>
              <w:jc w:val="center"/>
              <w:rPr>
                <w:rFonts w:ascii="仿宋_GB2312" w:eastAsia="仿宋_GB2312" w:cs="ArialUnicodeMS" w:hAnsi="Cambria"/>
                <w:kern w:val="0"/>
                <w:sz w:val="28"/>
                <w:szCs w:val="28"/>
              </w:rPr>
            </w:pPr>
            <w:r>
              <w:rPr>
                <w:rFonts w:ascii="仿宋_GB2312" w:eastAsia="仿宋_GB2312" w:cs="ArialUnicodeMS" w:hAnsi="Cambria" w:hint="eastAsia"/>
                <w:kern w:val="0"/>
                <w:sz w:val="28"/>
                <w:szCs w:val="28"/>
              </w:rPr>
              <w:t>1</w:t>
            </w:r>
          </w:p>
        </w:tc>
        <w:tc>
          <w:tcPr>
            <w:tcW w:w="3485" w:type="dxa"/>
            <w:tcBorders>
              <w:left w:val="single" w:sz="4" w:space="0" w:color="auto"/>
            </w:tcBorders>
          </w:tcPr>
          <w:p>
            <w:pPr>
              <w:spacing w:after="0" w:line="560" w:lineRule="exact"/>
              <w:rPr>
                <w:rFonts w:ascii="仿宋_GB2312" w:eastAsia="仿宋_GB2312" w:cs="ArialUnicodeMS" w:hAnsi="Cambria"/>
                <w:kern w:val="0"/>
                <w:sz w:val="28"/>
                <w:szCs w:val="28"/>
              </w:rPr>
            </w:pPr>
            <w:r>
              <w:rPr>
                <w:rFonts w:ascii="仿宋_GB2312" w:eastAsia="仿宋_GB2312" w:cs="ArialUnicodeMS" w:hAnsi="Cambria" w:hint="eastAsia"/>
                <w:kern w:val="0"/>
                <w:sz w:val="28"/>
                <w:szCs w:val="28"/>
                <w:lang w:eastAsia="zh-CN"/>
              </w:rPr>
              <w:t>遵化市供销合作社</w:t>
            </w:r>
            <w:r>
              <w:rPr>
                <w:rFonts w:ascii="仿宋_GB2312" w:eastAsia="仿宋_GB2312" w:cs="ArialUnicodeMS" w:hAnsi="Cambria" w:hint="eastAsia"/>
                <w:kern w:val="0"/>
                <w:sz w:val="28"/>
                <w:szCs w:val="28"/>
              </w:rPr>
              <w:t>(本级)</w:t>
            </w:r>
          </w:p>
        </w:tc>
        <w:tc>
          <w:tcPr>
            <w:tcW w:w="2660" w:type="dxa"/>
            <w:tcBorders>
              <w:left w:val="single" w:sz="4" w:space="0" w:color="auto"/>
            </w:tcBorders>
          </w:tcPr>
          <w:p>
            <w:pPr>
              <w:spacing w:after="0" w:line="560" w:lineRule="exact"/>
              <w:jc w:val="center"/>
              <w:rPr>
                <w:rFonts w:ascii="仿宋_GB2312" w:eastAsia="仿宋_GB2312" w:cs="ArialUnicodeMS" w:hAnsi="Cambria" w:hint="eastAsia"/>
                <w:kern w:val="0"/>
                <w:sz w:val="28"/>
                <w:szCs w:val="28"/>
                <w:lang w:eastAsia="zh-CN"/>
              </w:rPr>
            </w:pPr>
            <w:r>
              <w:rPr>
                <w:rFonts w:ascii="仿宋_GB2312" w:eastAsia="仿宋_GB2312" w:cs="ArialUnicodeMS" w:hAnsi="Cambria" w:hint="eastAsia"/>
                <w:kern w:val="0"/>
                <w:sz w:val="28"/>
                <w:szCs w:val="28"/>
                <w:lang w:eastAsia="zh-CN"/>
              </w:rPr>
              <w:t>财政补助事业单位</w:t>
            </w:r>
          </w:p>
        </w:tc>
        <w:tc>
          <w:tcPr>
            <w:tcW w:w="2450" w:type="dxa"/>
            <w:tcBorders>
              <w:left w:val="single" w:sz="4" w:space="0" w:color="auto"/>
            </w:tcBorders>
          </w:tcPr>
          <w:p>
            <w:pPr>
              <w:spacing w:after="0" w:line="560" w:lineRule="exact"/>
              <w:jc w:val="center"/>
              <w:rPr>
                <w:rFonts w:ascii="仿宋_GB2312" w:eastAsia="仿宋_GB2312" w:cs="ArialUnicodeMS" w:hAnsi="Cambria" w:hint="eastAsia"/>
                <w:kern w:val="0"/>
                <w:sz w:val="28"/>
                <w:szCs w:val="28"/>
                <w:lang w:eastAsia="zh-CN"/>
              </w:rPr>
            </w:pPr>
            <w:r>
              <w:rPr>
                <w:rFonts w:ascii="仿宋_GB2312" w:eastAsia="仿宋_GB2312" w:cs="ArialUnicodeMS" w:hAnsi="Cambria" w:hint="eastAsia"/>
                <w:kern w:val="0"/>
                <w:sz w:val="28"/>
                <w:szCs w:val="28"/>
                <w:lang w:eastAsia="zh-CN"/>
              </w:rPr>
              <w:t>财政拨款</w:t>
            </w:r>
          </w:p>
        </w:tc>
      </w:tr>
      <w:tr>
        <w:trPr>
          <w:trHeight w:val="596"/>
        </w:trPr>
        <w:tc>
          <w:tcPr>
            <w:tcW w:w="985" w:type="dxa"/>
          </w:tcPr>
          <w:p>
            <w:pPr>
              <w:spacing w:after="0" w:line="560" w:lineRule="exact"/>
              <w:jc w:val="center"/>
              <w:rPr>
                <w:rFonts w:ascii="仿宋_GB2312" w:eastAsia="仿宋_GB2312" w:cs="ArialUnicodeMS" w:hAnsi="Cambria"/>
                <w:kern w:val="0"/>
                <w:sz w:val="28"/>
                <w:szCs w:val="28"/>
              </w:rPr>
            </w:pPr>
          </w:p>
        </w:tc>
        <w:tc>
          <w:tcPr>
            <w:tcW w:w="3485" w:type="dxa"/>
            <w:tcBorders>
              <w:left w:val="single" w:sz="4" w:space="0" w:color="auto"/>
            </w:tcBorders>
          </w:tcPr>
          <w:p>
            <w:pPr>
              <w:spacing w:after="0" w:line="560" w:lineRule="exact"/>
              <w:rPr>
                <w:rFonts w:ascii="仿宋_GB2312" w:eastAsia="仿宋_GB2312" w:cs="ArialUnicodeMS" w:hAnsi="Cambria"/>
                <w:kern w:val="0"/>
                <w:sz w:val="28"/>
                <w:szCs w:val="28"/>
              </w:rPr>
            </w:pPr>
          </w:p>
        </w:tc>
        <w:tc>
          <w:tcPr>
            <w:tcW w:w="2660" w:type="dxa"/>
            <w:tcBorders>
              <w:left w:val="single" w:sz="4" w:space="0" w:color="auto"/>
            </w:tcBorders>
          </w:tcPr>
          <w:p>
            <w:pPr>
              <w:spacing w:after="0" w:line="560" w:lineRule="exact"/>
              <w:jc w:val="center"/>
              <w:rPr>
                <w:rFonts w:ascii="仿宋_GB2312" w:eastAsia="仿宋_GB2312" w:cs="ArialUnicodeMS" w:hAnsi="Cambria"/>
                <w:kern w:val="0"/>
                <w:sz w:val="28"/>
                <w:szCs w:val="28"/>
              </w:rPr>
            </w:pPr>
          </w:p>
        </w:tc>
        <w:tc>
          <w:tcPr>
            <w:tcW w:w="2450" w:type="dxa"/>
            <w:tcBorders>
              <w:left w:val="single" w:sz="4" w:space="0" w:color="auto"/>
            </w:tcBorders>
          </w:tcPr>
          <w:p>
            <w:pPr>
              <w:spacing w:after="0" w:line="560" w:lineRule="exact"/>
              <w:jc w:val="center"/>
              <w:rPr>
                <w:rFonts w:ascii="仿宋_GB2312" w:eastAsia="仿宋_GB2312" w:cs="ArialUnicodeMS" w:hAnsi="Cambria"/>
                <w:kern w:val="0"/>
                <w:sz w:val="28"/>
                <w:szCs w:val="28"/>
              </w:rPr>
            </w:pPr>
          </w:p>
        </w:tc>
      </w:tr>
    </w:tbl>
    <w:p>
      <w:pPr>
        <w:keepNext w:val="0"/>
        <w:keepLines w:val="0"/>
        <w:pageBreakBefore w:val="0"/>
        <w:widowControl w:val="0"/>
        <w:kinsoku/>
        <w:wordWrap/>
        <w:overflowPunct/>
        <w:topLinePunct w:val="0"/>
        <w:autoSpaceDE/>
        <w:autoSpaceDN/>
        <w:bidi w:val="0"/>
        <w:adjustRightInd/>
        <w:snapToGrid/>
        <w:spacing w:after="0" w:line="560" w:lineRule="exact"/>
        <w:ind w:firstLineChars="200" w:firstLine="640"/>
        <w:textAlignment w:val="auto"/>
        <w:rPr>
          <w:rFonts w:ascii="仿宋_GB2312" w:eastAsia="仿宋_GB2312" w:cs="ArialUnicodeMS" w:hAnsi="Cambria" w:hint="eastAsia"/>
          <w:kern w:val="0"/>
          <w:sz w:val="32"/>
          <w:szCs w:val="32"/>
          <w:lang w:eastAsia="zh-CN"/>
        </w:rPr>
      </w:pPr>
      <w:r>
        <w:rPr>
          <w:rFonts w:ascii="仿宋_GB2312" w:eastAsia="仿宋_GB2312" w:cs="ArialUnicodeMS" w:hAnsi="Cambria" w:hint="eastAsia"/>
          <w:kern w:val="0"/>
          <w:sz w:val="32"/>
          <w:szCs w:val="32"/>
        </w:rPr>
        <w:t>遵化市供销合作社机关设7个职能科室，分别为：综合办公室、财务审计科、信访保卫监察科、人事教育科、合作指导科、农合联秘书处、资产运营管理中心。纳入遵化市供销合作社部门决算编报范围的单位共1家，即遵化市供销合作社机关本级</w:t>
      </w:r>
      <w:r>
        <w:rPr>
          <w:rFonts w:ascii="仿宋_GB2312" w:eastAsia="仿宋_GB2312" w:cs="ArialUnicodeMS" w:hAnsi="Cambria" w:hint="eastAsia"/>
          <w:kern w:val="0"/>
          <w:sz w:val="32"/>
          <w:szCs w:val="32"/>
          <w:lang w:eastAsia="zh-CN"/>
        </w:rPr>
        <w:t>。</w:t>
      </w:r>
    </w:p>
    <w:p>
      <w:pPr>
        <w:widowControl/>
        <w:spacing w:line="560" w:lineRule="exact"/>
        <w:jc w:val="center"/>
        <w:rPr>
          <w:rFonts w:ascii="黑体" w:eastAsia="黑体" w:cs="MS-UIGothic,Bold" w:hAnsi="Cambria"/>
          <w:bCs/>
          <w:kern w:val="0"/>
          <w:sz w:val="52"/>
          <w:szCs w:val="52"/>
        </w:rPr>
      </w:pPr>
    </w:p>
    <w:p>
      <w:pPr>
        <w:widowControl/>
        <w:spacing w:line="560" w:lineRule="exact"/>
        <w:jc w:val="center"/>
        <w:rPr>
          <w:rFonts w:ascii="黑体" w:eastAsia="黑体" w:cs="MS-UIGothic,Bold" w:hAnsi="Cambria"/>
          <w:bCs/>
          <w:kern w:val="0"/>
          <w:sz w:val="52"/>
          <w:szCs w:val="52"/>
        </w:rPr>
      </w:pPr>
    </w:p>
    <w:p>
      <w:pPr>
        <w:widowControl/>
        <w:spacing w:line="560" w:lineRule="exact"/>
        <w:jc w:val="center"/>
        <w:rPr>
          <w:rFonts w:ascii="黑体" w:eastAsia="黑体" w:cs="MS-UIGothic,Bold" w:hAnsi="Cambria"/>
          <w:bCs/>
          <w:kern w:val="0"/>
          <w:sz w:val="52"/>
          <w:szCs w:val="52"/>
        </w:rPr>
        <w:sectPr>
          <w:footerReference w:type="default" r:id="rId6"/>
          <w:pgSz w:w="11906" w:h="16838"/>
          <w:pgMar w:top="2098" w:right="1474" w:bottom="1984" w:left="1588" w:header="851" w:footer="992" w:gutter="0"/>
          <w:pgNumType w:fmt="numberInDash" w:start="1"/>
          <w:cols w:num="1" w:space="0"/>
          <w:docGrid w:type="lines" w:linePitch="312" w:charSpace="0"/>
        </w:sectPr>
      </w:pPr>
    </w:p>
    <w:p>
      <w:pPr>
        <w:widowControl/>
        <w:spacing w:line="560" w:lineRule="exact"/>
        <w:jc w:val="center"/>
        <w:rPr>
          <w:rFonts w:ascii="黑体" w:eastAsia="黑体" w:cs="MS-UIGothic,Bold" w:hAnsi="Cambria"/>
          <w:bCs/>
          <w:kern w:val="0"/>
          <w:sz w:val="52"/>
          <w:szCs w:val="52"/>
        </w:rPr>
      </w:pPr>
      <w:r>
        <w:rPr>
          <w:rFonts w:ascii="宋体" w:cs="ArialUnicodeMS" w:hAnsi="宋体" w:hint="eastAsia"/>
          <w:color w:val="000000"/>
          <w:kern w:val="0"/>
        </w:rPr>
        <w:drawing>
          <wp:anchor distT="0" distB="0" distL="0" distR="0" simplePos="0" relativeHeight="6" behindDoc="1" locked="0" layoutInCell="1" hidden="0" allowOverlap="1">
            <wp:simplePos x="0" y="0"/>
            <wp:positionH relativeFrom="column">
              <wp:posOffset>-1023619</wp:posOffset>
            </wp:positionH>
            <wp:positionV relativeFrom="paragraph">
              <wp:posOffset>-1327150</wp:posOffset>
            </wp:positionV>
            <wp:extent cx="7571105" cy="10680065"/>
            <wp:effectExtent l="0" t="0" r="10795" b="6985"/>
            <wp:wrapNone/>
            <wp:docPr id="1123" name="图片 16"/>
            <wp:cNvGraphicFramePr>
              <a:graphicFrameLocks noChangeAspect="0"/>
            </wp:cNvGraphicFramePr>
            <a:graphic>
              <a:graphicData uri="http://schemas.openxmlformats.org/drawingml/2006/picture">
                <pic:pic>
                  <pic:nvPicPr>
                    <pic:cNvPr id="34" name="图片 16 34"/>
                    <pic:cNvPicPr/>
                  </pic:nvPicPr>
                  <pic:blipFill>
                    <a:blip r:embed="rId8"/>
                    <a:stretch>
                      <a:fillRect/>
                    </a:stretch>
                  </pic:blipFill>
                  <pic:spPr>
                    <a:xfrm rot="0">
                      <a:off x="0" y="0"/>
                      <a:ext cx="7571105" cy="10680065"/>
                    </a:xfrm>
                    <a:prstGeom prst="rect"/>
                    <a:noFill/>
                    <a:ln w="9525" cmpd="sng" cap="flat">
                      <a:noFill/>
                      <a:prstDash val="solid"/>
                      <a:miter/>
                    </a:ln>
                  </pic:spPr>
                </pic:pic>
              </a:graphicData>
            </a:graphic>
          </wp:anchor>
        </w:drawing>
      </w:r>
    </w:p>
    <w:p>
      <w:pPr>
        <w:widowControl/>
        <w:spacing w:line="560" w:lineRule="exact"/>
        <w:jc w:val="center"/>
        <w:rPr>
          <w:rFonts w:ascii="黑体" w:eastAsia="黑体" w:cs="MS-UIGothic,Bold" w:hAnsi="Cambria"/>
          <w:bCs/>
          <w:kern w:val="0"/>
          <w:sz w:val="52"/>
          <w:szCs w:val="52"/>
        </w:rPr>
      </w:pPr>
    </w:p>
    <w:p>
      <w:pPr>
        <w:rPr>
          <w:rFonts w:ascii="宋体" w:cs="ArialUnicodeMS" w:hAnsi="宋体"/>
          <w:color w:val="000000"/>
          <w:kern w:val="0"/>
        </w:rPr>
        <w:sectPr>
          <w:pgSz w:w="11906" w:h="16838"/>
          <w:pgMar w:top="2098" w:right="1474" w:bottom="1984" w:left="1588" w:header="851" w:footer="992" w:gutter="0"/>
          <w:pgNumType w:fmt="numberInDash"/>
          <w:cols w:num="1" w:space="0"/>
          <w:docGrid w:type="lines" w:linePitch="312" w:charSpace="0"/>
        </w:sectPr>
      </w:pPr>
      <w:r>
        <w:rPr>
          <w:sz w:val="72"/>
        </w:rPr>
        <mc:AlternateContent>
          <mc:Choice Requires="wps">
            <w:drawing>
              <wp:anchor distT="0" distB="0" distL="0" distR="0" simplePos="0" relativeHeight="93" behindDoc="0" locked="0" layoutInCell="1" hidden="0" allowOverlap="1">
                <wp:simplePos x="0" y="0"/>
                <wp:positionH relativeFrom="column">
                  <wp:posOffset>-942340</wp:posOffset>
                </wp:positionH>
                <wp:positionV relativeFrom="paragraph">
                  <wp:posOffset>1527810</wp:posOffset>
                </wp:positionV>
                <wp:extent cx="7571740" cy="2020570"/>
                <wp:effectExtent l="0" t="0" r="0" b="0"/>
                <wp:wrapNone/>
                <wp:docPr id="1040" name="文本框 17"/>
                <wp:cNvGraphicFramePr>
                  <a:graphicFrameLocks noChangeAspect="0"/>
                </wp:cNvGraphicFramePr>
                <a:graphic>
                  <a:graphicData uri="http://schemas.microsoft.com/office/word/2010/wordprocessingShape">
                    <wps:wsp>
                      <wps:cNvSpPr/>
                      <wps:spPr>
                        <a:xfrm rot="0">
                          <a:off x="0" y="0"/>
                          <a:ext cx="7571740" cy="2020570"/>
                        </a:xfrm>
                        <a:prstGeom prst="rect"/>
                        <a:noFill/>
                        <a:ln cmpd="sng" cap="flat">
                          <a:noFill/>
                          <a:prstDash val="solid"/>
                          <a:round/>
                        </a:ln>
                      </wps:spPr>
                      <wps:txbx id="35">
                        <w:txbxContent>
                          <w:p>
                            <w:pPr>
                              <w:widowControl/>
                              <w:spacing w:line="1200" w:lineRule="exact"/>
                              <w:jc w:val="center"/>
                              <w:rPr>
                                <w:rFonts w:ascii="黑体" w:eastAsia="黑体" w:hAnsi="宋体"/>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第二部分</w:t>
                            </w:r>
                          </w:p>
                          <w:p>
                            <w:pPr>
                              <w:widowControl/>
                              <w:spacing w:line="1200" w:lineRule="exact"/>
                              <w:jc w:val="center"/>
                              <w:rPr>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2018年度部门决算报表</w:t>
                            </w:r>
                          </w:p>
                        </w:txbxContent>
                      </wps:txbx>
                      <wps:bodyPr vert="horz" wrap="square" lIns="91440" tIns="45720" rIns="91440" bIns="45720" anchor="t" anchorCtr="0" upright="0">
                        <a:noAutofit/>
                      </wps:bodyPr>
                    </wps:wsp>
                  </a:graphicData>
                </a:graphic>
              </wp:anchor>
            </w:drawing>
          </mc:Choice>
          <mc:Fallback>
            <w:pict>
              <v:rect type="#_x0000_t1" id="文本框 17" o:spid="_x0000_s36" filled="f" stroked="f" strokeweight="-1.0pt" style="position:absolute;margin-left:-74.2pt;margin-top:120.3pt;width:596.2pt;height:159.1pt;z-index:93;mso-position-horizontal:absolute;mso-position-vertical:absolute;mso-wrap-distance-left:0.0pt;mso-wrap-distance-right:0.0pt;mso-wrap-style:square;">
                <v:stroke/>
                <v:textbox id="857" inset="2.54mm,1.27mm,2.54mm,1.27mm" o:insetmode="custom" style="layout-flow:horizontal;v-text-anchor:top;">
                  <w:txbxContent>
                    <w:p>
                      <w:pPr>
                        <w:widowControl/>
                        <w:spacing w:line="1200" w:lineRule="exact"/>
                        <w:jc w:val="center"/>
                        <w:rPr>
                          <w:rFonts w:ascii="黑体" w:eastAsia="黑体" w:hAnsi="宋体"/>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第二部分</w:t>
                      </w:r>
                    </w:p>
                    <w:p>
                      <w:pPr>
                        <w:widowControl/>
                        <w:spacing w:line="1200" w:lineRule="exact"/>
                        <w:jc w:val="center"/>
                        <w:rPr>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2018年度部门决算报表</w:t>
                      </w:r>
                    </w:p>
                  </w:txbxContent>
                </v:textbox>
              </v:rect>
            </w:pict>
          </mc:Fallback>
        </mc:AlternateContent>
      </w:r>
    </w:p>
    <w:tbl>
      <w:tblPr>
        <w:jc w:val="center"/>
        <w:tblW w:w="9300" w:type="dxa"/>
        <w:tblBorders>
          <w:top w:val="none" w:sz="0" w:space="0" w:color="auto"/>
          <w:left w:val="none" w:sz="0" w:space="0" w:color="auto"/>
          <w:bottom w:val="none" w:sz="0" w:space="0" w:color="auto"/>
          <w:right w:val="none" w:sz="0" w:space="0" w:color="auto"/>
        </w:tblBorders>
        <w:tblLayout w:type="fixed"/>
        <w:tblCellMar>
          <w:top w:w="0" w:type="dxa"/>
          <w:left w:w="0" w:type="dxa"/>
          <w:bottom w:w="0" w:type="dxa"/>
          <w:right w:w="0" w:type="dxa"/>
        </w:tblCellMar>
        <w:tblLook w:val="0600" w:firstRow="0" w:lastRow="0" w:firstColumn="0" w:lastColumn="0" w:noHBand="1" w:noVBand="1"/>
      </w:tblPr>
      <w:tblGrid>
        <w:gridCol w:w="2700"/>
        <w:gridCol w:w="567"/>
        <w:gridCol w:w="1336"/>
        <w:gridCol w:w="2700"/>
        <w:gridCol w:w="567"/>
        <w:gridCol w:w="1430"/>
      </w:tblGrid>
      <w:tr>
        <w:trPr>
          <w:trHeight w:val="567"/>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eastAsia="黑体" w:cs="黑体" w:hAnsi="宋体"/>
                <w:sz w:val="40"/>
                <w:szCs w:val="40"/>
              </w:rPr>
            </w:pPr>
            <w:r>
              <w:rPr>
                <w:sz w:val="44"/>
              </w:rPr>
              <mc:AlternateContent>
                <mc:Choice Requires="wps">
                  <w:drawing>
                    <wp:anchor distT="0" distB="0" distL="0" distR="0" simplePos="0" relativeHeight="95" behindDoc="0" locked="1" layoutInCell="1" hidden="0" allowOverlap="1">
                      <wp:simplePos x="0" y="0"/>
                      <wp:positionH relativeFrom="column">
                        <wp:posOffset>-892175</wp:posOffset>
                      </wp:positionH>
                      <wp:positionV relativeFrom="page">
                        <wp:posOffset>-1039494</wp:posOffset>
                      </wp:positionV>
                      <wp:extent cx="3088639" cy="523240"/>
                      <wp:effectExtent l="3175" t="0" r="13334" b="29208"/>
                      <wp:wrapNone/>
                      <wp:docPr id="1124" name="组合 10"/>
                      <wp:cNvGraphicFramePr>
                        <a:graphicFrameLocks noChangeAspect="0"/>
                      </wp:cNvGraphicFramePr>
                      <a:graphic>
                        <a:graphicData uri="http://schemas.microsoft.com/office/word/2010/wordprocessingGroup">
                          <wpg:wgp>
                            <wpg:cNvPr id="37" name="组合 10 37"/>
                            <wpg:cNvGrpSpPr/>
                            <wpg:grpSpPr>
                              <a:xfrm rot="0">
                                <a:off x="0" y="0"/>
                                <a:ext cx="3088639" cy="523240"/>
                                <a:chOff x="0" y="0"/>
                                <a:chExt cx="3088639" cy="523240"/>
                              </a:xfrm>
                              <a:prstGeom prst="rect"/>
                              <a:solidFill>
                                <a:srgbClr val="FFFFFF"/>
                              </a:solidFill>
                              <a:ln w="9525" cmpd="sng" cap="flat">
                                <a:solidFill>
                                  <a:srgbClr val="000000"/>
                                </a:solidFill>
                                <a:prstDash val="solid"/>
                                <a:miter/>
                              </a:ln>
                            </wpg:grpSpPr>
                            <wps:wsp>
                              <wps:cNvPr id="38" name="矩形 7 38 38"/>
                              <wps:cNvSpPr/>
                              <wps:spPr>
                                <a:xfrm rot="0">
                                  <a:off x="0" y="0"/>
                                  <a:ext cx="3088639" cy="439777"/>
                                </a:xfrm>
                                <a:prstGeom prst="rect"/>
                                <a:solidFill>
                                  <a:srgbClr val="D8D8D8"/>
                                </a:solidFill>
                                <a:ln cmpd="sng" cap="flat">
                                  <a:noFill/>
                                  <a:prstDash val="solid"/>
                                  <a:round/>
                                </a:ln>
                              </wps:spPr>
                              <wps:bodyPr vert="horz" wrap="square" lIns="91440" tIns="45720" rIns="91440" bIns="45720" anchor="t" anchorCtr="0" upright="0">
                                <a:noAutofit/>
                              </wps:bodyPr>
                            </wps:wsp>
                            <wps:wsp>
                              <wps:cNvPr id="39" name="矩形 8 39 39"/>
                              <wps:cNvSpPr/>
                              <wps:spPr>
                                <a:xfrm rot="0">
                                  <a:off x="9396" y="102927"/>
                                  <a:ext cx="3008405" cy="420313"/>
                                </a:xfrm>
                                <a:prstGeom prst="rect"/>
                                <a:solidFill>
                                  <a:srgbClr val="AD002D"/>
                                </a:solidFill>
                                <a:ln w="25400" cmpd="sng" cap="flat">
                                  <a:solidFill>
                                    <a:srgbClr val="AF7621"/>
                                  </a:solidFill>
                                  <a:prstDash val="solid"/>
                                  <a:round/>
                                </a:ln>
                              </wps:spPr>
                              <wps:txbx id="40">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10" o:spid="_x0000_s41" coordorigin="-29,461" coordsize="4863,824" style="position:absolute;margin-left:-70.25pt;margin-top:-81.84992pt;width:243.19992pt;height:41.200077pt;z-index:95;mso-position-horizontal:absolute;mso-position-vertical:absolute;mso-position-vertical-relative:page;mso-wrap-distance-left:0.0pt;mso-wrap-distance-right:0.0pt;">
                      <v:rect type="#_x0000_t1" id="矩形 7 38 38" o:spid="_x0000_s42" style="position:absolute;left:-29;top:461;width:4863;height:692;" fillcolor="#D8D8D8" stroked="f" strokeweight="-1.0pt">
                        <v:stroke/>
                      </v:rect>
                      <v:rect type="#_x0000_t1" id="_s43" o:spid="_x0000_s43" style="position:absolute;left:-15;top:623;width:4737;height:661;mso-wrap-style:square;" fillcolor="#AD002D" stroked="t" strokeweight="2.0pt">
                        <v:textbox id="858"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v:textbox>
                        <v:stroke color="#AF7621"/>
                      </v:rect>
                      <w10:anchorLock/>
                    </v:group>
                  </w:pict>
                </mc:Fallback>
              </mc:AlternateContent>
            </w:r>
            <w:r>
              <w:rPr>
                <w:rFonts w:ascii="黑体" w:eastAsia="黑体" w:cs="黑体" w:hAnsi="宋体" w:hint="eastAsia"/>
                <w:kern w:val="0"/>
                <w:sz w:val="40"/>
                <w:szCs w:val="40"/>
              </w:rPr>
              <w:t>收入支出决算总表</w:t>
            </w:r>
          </w:p>
        </w:tc>
      </w:tr>
      <w:tr>
        <w:trPr>
          <w:trHeight w:val="321"/>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cs="Arial" w:hAnsi="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cs="Arial" w:hAnsi="Arial"/>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cs="Arial" w:hAnsi="Arial"/>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cs="Arial" w:hAnsi="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cs="Arial" w:hAnsi="Arial"/>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cs="宋体" w:hAnsi="宋体"/>
                <w:sz w:val="20"/>
                <w:szCs w:val="20"/>
              </w:rPr>
            </w:pPr>
            <w:r>
              <w:rPr>
                <w:rFonts w:ascii="宋体" w:cs="宋体" w:hAnsi="宋体" w:hint="eastAsia"/>
                <w:kern w:val="0"/>
                <w:sz w:val="20"/>
                <w:szCs w:val="20"/>
              </w:rPr>
              <w:t>公开01表</w:t>
            </w:r>
          </w:p>
        </w:tc>
      </w:tr>
      <w:tr>
        <w:trPr>
          <w:trHeight w:val="418"/>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eastAsia="宋体" w:cs="宋体" w:hAnsi="宋体"/>
                <w:sz w:val="20"/>
                <w:szCs w:val="20"/>
                <w:lang w:val="en-US" w:eastAsia="zh-CN"/>
              </w:rPr>
            </w:pPr>
            <w:r>
              <w:rPr>
                <w:rFonts w:ascii="宋体" w:cs="宋体" w:hAnsi="宋体" w:hint="eastAsia"/>
                <w:kern w:val="0"/>
                <w:sz w:val="20"/>
                <w:szCs w:val="20"/>
              </w:rPr>
              <w:t>部门：</w:t>
            </w:r>
            <w:r>
              <w:rPr>
                <w:rFonts w:ascii="宋体" w:cs="宋体" w:hAnsi="宋体" w:hint="eastAsia"/>
                <w:kern w:val="0"/>
                <w:sz w:val="20"/>
                <w:szCs w:val="20"/>
                <w:lang w:eastAsia="zh-CN"/>
              </w:rPr>
              <w:t>遵化市供销合作社</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cs="宋体" w:hAnsi="宋体"/>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cs="宋体" w:hAnsi="宋体"/>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cs="宋体" w:hAnsi="宋体"/>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cs="宋体" w:hAnsi="宋体"/>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cs="宋体" w:hAnsi="宋体"/>
                <w:sz w:val="20"/>
                <w:szCs w:val="20"/>
              </w:rPr>
            </w:pPr>
            <w:r>
              <w:rPr>
                <w:rFonts w:ascii="宋体" w:cs="宋体" w:hAnsi="宋体" w:hint="eastAsia"/>
                <w:kern w:val="0"/>
                <w:sz w:val="20"/>
                <w:szCs w:val="20"/>
              </w:rPr>
              <w:t>金额单位：万元</w:t>
            </w:r>
          </w:p>
        </w:tc>
      </w:tr>
      <w:tr>
        <w:trPr>
          <w:trHeight w:val="295"/>
        </w:trPr>
        <w:tc>
          <w:tcPr>
            <w:tcW w:w="46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exact"/>
              <w:jc w:val="center"/>
              <w:textAlignment w:val="center"/>
              <w:rPr>
                <w:rFonts w:ascii="宋体" w:cs="宋体" w:hAnsi="宋体"/>
                <w:sz w:val="22"/>
                <w:szCs w:val="22"/>
              </w:rPr>
            </w:pPr>
            <w:r>
              <w:rPr>
                <w:rFonts w:ascii="宋体" w:cs="宋体" w:hAnsi="宋体" w:hint="eastAsia"/>
                <w:kern w:val="0"/>
                <w:sz w:val="22"/>
                <w:szCs w:val="22"/>
              </w:rPr>
              <w:t>收入</w:t>
            </w:r>
          </w:p>
        </w:tc>
        <w:tc>
          <w:tcPr>
            <w:tcW w:w="4697"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exact"/>
              <w:jc w:val="center"/>
              <w:textAlignment w:val="center"/>
              <w:rPr>
                <w:rFonts w:ascii="宋体" w:cs="宋体" w:hAnsi="宋体"/>
                <w:sz w:val="22"/>
                <w:szCs w:val="22"/>
              </w:rPr>
            </w:pPr>
            <w:r>
              <w:rPr>
                <w:rFonts w:ascii="宋体" w:cs="宋体" w:hAnsi="宋体" w:hint="eastAsia"/>
                <w:kern w:val="0"/>
                <w:sz w:val="22"/>
                <w:szCs w:val="22"/>
              </w:rPr>
              <w:t>支出</w:t>
            </w:r>
          </w:p>
        </w:tc>
      </w:tr>
      <w:tr>
        <w:trPr>
          <w:trHeight w:val="295"/>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exact"/>
              <w:jc w:val="center"/>
              <w:textAlignment w:val="center"/>
              <w:rPr>
                <w:rFonts w:ascii="宋体" w:cs="宋体" w:hAnsi="宋体"/>
                <w:sz w:val="22"/>
                <w:szCs w:val="22"/>
              </w:rPr>
            </w:pPr>
            <w:r>
              <w:rPr>
                <w:rFonts w:ascii="宋体" w:cs="宋体" w:hAnsi="宋体" w:hint="eastAsia"/>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cs="宋体" w:hAnsi="宋体"/>
                <w:sz w:val="22"/>
                <w:szCs w:val="22"/>
              </w:rPr>
            </w:pPr>
            <w:r>
              <w:rPr>
                <w:rFonts w:ascii="宋体" w:cs="宋体" w:hAnsi="宋体" w:hint="eastAsia"/>
                <w:kern w:val="0"/>
                <w:sz w:val="22"/>
                <w:szCs w:val="22"/>
              </w:rPr>
              <w:t>行次</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cs="宋体" w:hAnsi="宋体"/>
                <w:sz w:val="22"/>
                <w:szCs w:val="22"/>
              </w:rPr>
            </w:pPr>
            <w:r>
              <w:rPr>
                <w:rFonts w:ascii="宋体" w:cs="宋体" w:hAnsi="宋体" w:hint="eastAsia"/>
                <w:kern w:val="0"/>
                <w:sz w:val="22"/>
                <w:szCs w:val="22"/>
              </w:rPr>
              <w:t>金额</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exact"/>
              <w:jc w:val="center"/>
              <w:textAlignment w:val="center"/>
              <w:rPr>
                <w:rFonts w:ascii="宋体" w:cs="宋体" w:hAnsi="宋体"/>
                <w:sz w:val="22"/>
                <w:szCs w:val="22"/>
              </w:rPr>
            </w:pPr>
            <w:r>
              <w:rPr>
                <w:rFonts w:ascii="宋体" w:cs="宋体" w:hAnsi="宋体" w:hint="eastAsia"/>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cs="宋体" w:hAnsi="宋体"/>
                <w:sz w:val="22"/>
                <w:szCs w:val="22"/>
              </w:rPr>
            </w:pPr>
            <w:r>
              <w:rPr>
                <w:rFonts w:ascii="宋体" w:cs="宋体" w:hAnsi="宋体" w:hint="eastAsia"/>
                <w:kern w:val="0"/>
                <w:sz w:val="22"/>
                <w:szCs w:val="22"/>
              </w:rPr>
              <w:t>行次</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cs="宋体" w:hAnsi="宋体"/>
                <w:sz w:val="22"/>
                <w:szCs w:val="22"/>
              </w:rPr>
            </w:pPr>
            <w:r>
              <w:rPr>
                <w:rFonts w:ascii="宋体" w:cs="宋体" w:hAnsi="宋体" w:hint="eastAsia"/>
                <w:kern w:val="0"/>
                <w:sz w:val="22"/>
                <w:szCs w:val="22"/>
              </w:rPr>
              <w:t>金额</w:t>
            </w:r>
          </w:p>
        </w:tc>
      </w:tr>
      <w:tr>
        <w:trPr>
          <w:trHeight w:val="295"/>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exact"/>
              <w:jc w:val="center"/>
              <w:textAlignment w:val="center"/>
              <w:rPr>
                <w:rFonts w:ascii="宋体" w:cs="宋体" w:hAnsi="宋体"/>
                <w:sz w:val="20"/>
                <w:szCs w:val="20"/>
              </w:rPr>
            </w:pPr>
            <w:r>
              <w:rPr>
                <w:rFonts w:ascii="宋体" w:cs="宋体" w:hAnsi="宋体" w:hint="eastAsia"/>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exact"/>
              <w:jc w:val="center"/>
              <w:rPr>
                <w:rFonts w:ascii="宋体" w:cs="宋体" w:hAnsi="宋体"/>
                <w:sz w:val="20"/>
                <w:szCs w:val="20"/>
              </w:rPr>
            </w:pP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cs="宋体" w:hAnsi="宋体"/>
                <w:sz w:val="20"/>
                <w:szCs w:val="20"/>
              </w:rPr>
            </w:pPr>
            <w:r>
              <w:rPr>
                <w:rFonts w:ascii="宋体" w:cs="宋体" w:hAnsi="宋体" w:hint="eastAsia"/>
                <w:kern w:val="0"/>
                <w:sz w:val="20"/>
                <w:szCs w:val="20"/>
              </w:rPr>
              <w:t>1</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exact"/>
              <w:jc w:val="center"/>
              <w:textAlignment w:val="center"/>
              <w:rPr>
                <w:rFonts w:ascii="宋体" w:cs="宋体" w:hAnsi="宋体"/>
                <w:sz w:val="20"/>
                <w:szCs w:val="20"/>
              </w:rPr>
            </w:pPr>
            <w:r>
              <w:rPr>
                <w:rFonts w:ascii="宋体" w:cs="宋体" w:hAnsi="宋体" w:hint="eastAsia"/>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exact"/>
              <w:jc w:val="center"/>
              <w:rPr>
                <w:rFonts w:ascii="宋体" w:cs="宋体" w:hAnsi="宋体"/>
                <w:sz w:val="20"/>
                <w:szCs w:val="20"/>
              </w:rPr>
            </w:pP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cs="宋体" w:hAnsi="宋体"/>
                <w:sz w:val="20"/>
                <w:szCs w:val="20"/>
              </w:rPr>
            </w:pPr>
            <w:r>
              <w:rPr>
                <w:rFonts w:ascii="宋体" w:cs="宋体" w:hAnsi="宋体" w:hint="eastAsia"/>
                <w:kern w:val="0"/>
                <w:sz w:val="20"/>
                <w:szCs w:val="20"/>
              </w:rPr>
              <w:t>2</w:t>
            </w:r>
          </w:p>
        </w:tc>
      </w:tr>
      <w:tr>
        <w:trPr>
          <w:trHeight w:val="365"/>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一、财政拨款收入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eastAsia="宋体" w:cs="宋体" w:hAnsi="宋体"/>
                <w:sz w:val="20"/>
                <w:szCs w:val="20"/>
                <w:lang w:val="en-US" w:eastAsia="zh-CN"/>
              </w:rPr>
            </w:pPr>
            <w:r>
              <w:rPr>
                <w:rFonts w:ascii="宋体" w:cs="宋体" w:hAnsi="宋体" w:hint="eastAsia"/>
                <w:sz w:val="20"/>
                <w:szCs w:val="20"/>
                <w:lang w:val="en-US" w:eastAsia="zh-CN"/>
              </w:rPr>
              <w:t>686.95</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一、一般公共服务支出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28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二、上级补助收入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二、外交支出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29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三、事业收入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三、国防支出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30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四、经营收入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四、公共安全支出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31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五、附属单位上缴收入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五、教育支出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32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六、其他收入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六、科学技术支出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33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七、文化体育与传媒支出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34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八、社会保障和就业支出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35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eastAsia="宋体" w:cs="宋体" w:hAnsi="宋体"/>
                <w:sz w:val="20"/>
                <w:szCs w:val="20"/>
                <w:lang w:val="en-US" w:eastAsia="zh-CN"/>
              </w:rPr>
            </w:pPr>
            <w:r>
              <w:rPr>
                <w:rFonts w:ascii="宋体" w:cs="宋体" w:hAnsi="宋体" w:hint="eastAsia"/>
                <w:sz w:val="20"/>
                <w:szCs w:val="20"/>
                <w:lang w:val="en-US" w:eastAsia="zh-CN"/>
              </w:rPr>
              <w:t>69.36</w:t>
            </w: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九、医疗卫生与计划生育支出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36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eastAsia="宋体" w:cs="宋体" w:hAnsi="宋体"/>
                <w:sz w:val="20"/>
                <w:szCs w:val="20"/>
                <w:lang w:val="en-US" w:eastAsia="zh-CN"/>
              </w:rPr>
            </w:pPr>
            <w:r>
              <w:rPr>
                <w:rFonts w:ascii="宋体" w:cs="宋体" w:hAnsi="宋体" w:hint="eastAsia"/>
                <w:sz w:val="20"/>
                <w:szCs w:val="20"/>
                <w:lang w:val="en-US" w:eastAsia="zh-CN"/>
              </w:rPr>
              <w:t>44.66</w:t>
            </w: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10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十、节能环保支出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37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11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十一、城乡社区支出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38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eastAsia="宋体" w:cs="宋体" w:hAnsi="宋体"/>
                <w:sz w:val="20"/>
                <w:szCs w:val="20"/>
                <w:lang w:val="en-US" w:eastAsia="zh-CN"/>
              </w:rPr>
            </w:pPr>
            <w:r>
              <w:rPr>
                <w:rFonts w:ascii="宋体" w:cs="宋体" w:hAnsi="宋体" w:hint="eastAsia"/>
                <w:sz w:val="20"/>
                <w:szCs w:val="20"/>
                <w:lang w:val="en-US" w:eastAsia="zh-CN"/>
              </w:rPr>
              <w:t>410.19</w:t>
            </w: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12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十二、农林水支出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39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13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十三、交通运输支出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40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14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十四、资源勘探信息等支出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41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15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十五、商业服务业等支出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42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eastAsia="宋体" w:cs="宋体" w:hAnsi="宋体"/>
                <w:sz w:val="20"/>
                <w:szCs w:val="20"/>
                <w:lang w:val="en-US" w:eastAsia="zh-CN"/>
              </w:rPr>
            </w:pPr>
            <w:r>
              <w:rPr>
                <w:rFonts w:ascii="宋体" w:cs="宋体" w:hAnsi="宋体" w:hint="eastAsia"/>
                <w:sz w:val="20"/>
                <w:szCs w:val="20"/>
                <w:lang w:val="en-US" w:eastAsia="zh-CN"/>
              </w:rPr>
              <w:t>150.21</w:t>
            </w: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16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十六、金融支出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43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17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十七、援助其他地区支出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44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18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十八、国土海洋气象等支出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45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19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十九、住房保障支出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46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eastAsia="宋体" w:cs="宋体" w:hAnsi="宋体"/>
                <w:sz w:val="20"/>
                <w:szCs w:val="20"/>
                <w:lang w:val="en-US" w:eastAsia="zh-CN"/>
              </w:rPr>
            </w:pPr>
            <w:r>
              <w:rPr>
                <w:rFonts w:ascii="宋体" w:cs="宋体" w:hAnsi="宋体" w:hint="eastAsia"/>
                <w:sz w:val="20"/>
                <w:szCs w:val="20"/>
                <w:lang w:val="en-US" w:eastAsia="zh-CN"/>
              </w:rPr>
              <w:t>12.53</w:t>
            </w: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20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二十、粮油物资储备支出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47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21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二十一、其他支出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48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22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二十二、债务还本支出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49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rPr>
                <w:rFonts w:ascii="宋体" w:cs="宋体" w:hAnsi="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23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二十三、债务付息支出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50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本年收入合计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24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eastAsia="宋体" w:cs="宋体" w:hAnsi="宋体"/>
                <w:sz w:val="18"/>
                <w:szCs w:val="18"/>
                <w:lang w:val="en-US" w:eastAsia="zh-CN"/>
              </w:rPr>
            </w:pPr>
            <w:r>
              <w:rPr>
                <w:rFonts w:ascii="宋体" w:cs="宋体" w:hAnsi="宋体" w:hint="eastAsia"/>
                <w:sz w:val="18"/>
                <w:szCs w:val="18"/>
                <w:lang w:val="en-US" w:eastAsia="zh-CN"/>
              </w:rPr>
              <w:t>686.95</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本年支出合计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51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eastAsia="宋体" w:cs="宋体" w:hAnsi="宋体"/>
                <w:sz w:val="20"/>
                <w:szCs w:val="20"/>
                <w:lang w:val="en-US" w:eastAsia="zh-CN"/>
              </w:rPr>
            </w:pPr>
            <w:r>
              <w:rPr>
                <w:rFonts w:ascii="宋体" w:cs="宋体" w:hAnsi="宋体" w:hint="eastAsia"/>
                <w:sz w:val="20"/>
                <w:szCs w:val="20"/>
                <w:lang w:val="en-US" w:eastAsia="zh-CN"/>
              </w:rPr>
              <w:t>686.95</w:t>
            </w:r>
          </w:p>
        </w:tc>
      </w:tr>
      <w:tr>
        <w:trPr>
          <w:trHeight w:val="385"/>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用事业基金弥补收支差额</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25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18"/>
                <w:szCs w:val="18"/>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结余分配</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52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年初结转和结余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26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18"/>
                <w:szCs w:val="18"/>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 w:val="20"/>
                <w:szCs w:val="20"/>
              </w:rPr>
            </w:pPr>
            <w:r>
              <w:rPr>
                <w:rFonts w:ascii="宋体" w:cs="宋体" w:hAnsi="宋体" w:hint="eastAsia"/>
                <w:kern w:val="0"/>
                <w:sz w:val="20"/>
                <w:szCs w:val="20"/>
              </w:rPr>
              <w:t>年末结转和结余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53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cs="宋体" w:hAnsi="宋体"/>
                <w:sz w:val="20"/>
                <w:szCs w:val="20"/>
              </w:rPr>
            </w:pPr>
          </w:p>
        </w:tc>
      </w:tr>
      <w:tr>
        <w:trPr>
          <w:trHeight w:val="337"/>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center"/>
              <w:textAlignment w:val="center"/>
              <w:rPr>
                <w:rFonts w:ascii="宋体" w:cs="宋体" w:hAnsi="宋体"/>
                <w:b/>
                <w:sz w:val="20"/>
                <w:szCs w:val="20"/>
              </w:rPr>
            </w:pPr>
            <w:r>
              <w:rPr>
                <w:rFonts w:ascii="宋体" w:cs="宋体" w:hAnsi="宋体" w:hint="eastAsia"/>
                <w:b/>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27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eastAsia="宋体" w:cs="宋体" w:hAnsi="宋体"/>
                <w:sz w:val="18"/>
                <w:szCs w:val="18"/>
                <w:lang w:val="en-US" w:eastAsia="zh-CN"/>
              </w:rPr>
            </w:pPr>
            <w:r>
              <w:rPr>
                <w:rFonts w:ascii="宋体" w:cs="宋体" w:hAnsi="宋体" w:hint="eastAsia"/>
                <w:sz w:val="18"/>
                <w:szCs w:val="18"/>
                <w:lang w:val="en-US" w:eastAsia="zh-CN"/>
              </w:rPr>
              <w:t>686.95</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00" w:lineRule="exact"/>
              <w:jc w:val="center"/>
              <w:textAlignment w:val="center"/>
              <w:rPr>
                <w:rFonts w:ascii="宋体" w:cs="宋体" w:hAnsi="宋体"/>
                <w:b/>
                <w:sz w:val="20"/>
                <w:szCs w:val="20"/>
              </w:rPr>
            </w:pPr>
            <w:r>
              <w:rPr>
                <w:rFonts w:ascii="宋体" w:cs="宋体" w:hAnsi="宋体" w:hint="eastAsia"/>
                <w:b/>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cs="宋体" w:hAnsi="宋体"/>
                <w:sz w:val="20"/>
                <w:szCs w:val="20"/>
              </w:rPr>
            </w:pPr>
            <w:r>
              <w:rPr>
                <w:rFonts w:ascii="宋体" w:cs="宋体" w:hAnsi="宋体" w:hint="eastAsia"/>
                <w:kern w:val="0"/>
                <w:sz w:val="20"/>
                <w:szCs w:val="20"/>
              </w:rPr>
              <w:t>54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00" w:lineRule="exact"/>
              <w:jc w:val="right"/>
              <w:rPr>
                <w:rFonts w:ascii="宋体" w:eastAsia="宋体" w:cs="宋体" w:hAnsi="宋体"/>
                <w:sz w:val="20"/>
                <w:szCs w:val="20"/>
                <w:lang w:val="en-US" w:eastAsia="zh-CN"/>
              </w:rPr>
            </w:pPr>
            <w:r>
              <w:rPr>
                <w:rFonts w:ascii="宋体" w:cs="宋体" w:hAnsi="宋体" w:hint="eastAsia"/>
                <w:sz w:val="20"/>
                <w:szCs w:val="20"/>
                <w:lang w:val="en-US" w:eastAsia="zh-CN"/>
              </w:rPr>
              <w:t>686.95</w:t>
            </w:r>
          </w:p>
        </w:tc>
      </w:tr>
      <w:tr>
        <w:trPr>
          <w:trHeight w:val="417"/>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cs="宋体" w:hAnsi="宋体"/>
                <w:szCs w:val="21"/>
              </w:rPr>
            </w:pPr>
            <w:r>
              <w:rPr>
                <w:rFonts w:ascii="宋体" w:cs="宋体" w:hAnsi="宋体" w:hint="eastAsia"/>
                <w:kern w:val="0"/>
                <w:szCs w:val="21"/>
              </w:rPr>
              <w:t>注：本表反映部门本年度的总收支和年末结转结余情况。</w:t>
            </w:r>
          </w:p>
        </w:tc>
      </w:tr>
    </w:tbl>
    <w:p>
      <w:pPr>
        <w:widowControl/>
        <w:spacing w:after="0" w:line="560" w:lineRule="exact"/>
        <w:jc w:val="left"/>
        <w:rPr>
          <w:rFonts w:ascii="仿宋_GB2312" w:eastAsia="仿宋_GB2312" w:hAnsi="宋体"/>
          <w:b/>
          <w:sz w:val="28"/>
          <w:szCs w:val="28"/>
          <w:highlight w:val="yellow"/>
        </w:rPr>
        <w:sectPr>
          <w:pgSz w:w="11906" w:h="16838"/>
          <w:pgMar w:top="2098" w:right="1474" w:bottom="1984" w:left="1588" w:header="851" w:footer="992" w:gutter="0"/>
          <w:pgNumType w:fmt="numberInDash"/>
          <w:cols w:num="1" w:space="0"/>
          <w:docGrid w:type="lines" w:linePitch="312" w:charSpace="0"/>
        </w:sectPr>
      </w:pPr>
    </w:p>
    <w:tbl>
      <w:tblPr>
        <w:jc w:val="center"/>
        <w:tblW w:w="8855" w:type="dxa"/>
        <w:tblBorders>
          <w:top w:val="none" w:sz="0" w:space="0" w:color="auto"/>
          <w:left w:val="none" w:sz="0" w:space="0" w:color="auto"/>
          <w:bottom w:val="none" w:sz="0" w:space="0" w:color="auto"/>
          <w:right w:val="none" w:sz="0" w:space="0" w:color="auto"/>
        </w:tblBorders>
        <w:tblLayout w:type="fixed"/>
        <w:tblCellMar>
          <w:top w:w="0" w:type="dxa"/>
          <w:left w:w="0" w:type="dxa"/>
          <w:bottom w:w="0" w:type="dxa"/>
          <w:right w:w="0" w:type="dxa"/>
        </w:tblCellMar>
        <w:tblLook w:val="0600" w:firstRow="0" w:lastRow="0" w:firstColumn="0" w:lastColumn="0" w:noHBand="1" w:noVBand="1"/>
      </w:tblPr>
      <w:tblGrid>
        <w:gridCol w:w="390"/>
        <w:gridCol w:w="179"/>
        <w:gridCol w:w="520"/>
        <w:gridCol w:w="1318"/>
        <w:gridCol w:w="533"/>
        <w:gridCol w:w="260"/>
        <w:gridCol w:w="127"/>
        <w:gridCol w:w="688"/>
        <w:gridCol w:w="232"/>
        <w:gridCol w:w="584"/>
        <w:gridCol w:w="337"/>
        <w:gridCol w:w="478"/>
        <w:gridCol w:w="442"/>
        <w:gridCol w:w="373"/>
        <w:gridCol w:w="548"/>
        <w:gridCol w:w="920"/>
        <w:gridCol w:w="926"/>
      </w:tblGrid>
      <w:tr>
        <w:trPr>
          <w:trHeight w:val="770"/>
        </w:trPr>
        <w:tc>
          <w:tcPr>
            <w:tcW w:w="8855"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eastAsia="黑体" w:cs="黑体" w:hAnsi="宋体"/>
                <w:color w:val="000000"/>
                <w:sz w:val="40"/>
                <w:szCs w:val="40"/>
              </w:rPr>
            </w:pPr>
            <w:r>
              <w:rPr>
                <w:rFonts w:ascii="黑体" w:eastAsia="黑体" w:cs="黑体" w:hAnsi="宋体" w:hint="eastAsia"/>
                <w:color w:val="000000"/>
                <w:kern w:val="0"/>
                <w:sz w:val="40"/>
                <w:szCs w:val="40"/>
              </w:rPr>
              <w:t>收入决</w:t>
            </w:r>
            <w:r>
              <w:rPr>
                <w:sz w:val="44"/>
              </w:rPr>
              <mc:AlternateContent>
                <mc:Choice Requires="wps">
                  <w:drawing>
                    <wp:anchor distT="0" distB="0" distL="0" distR="0" simplePos="0" relativeHeight="97" behindDoc="0" locked="1" layoutInCell="1" hidden="0" allowOverlap="1">
                      <wp:simplePos x="0" y="0"/>
                      <wp:positionH relativeFrom="column">
                        <wp:posOffset>-1050925</wp:posOffset>
                      </wp:positionH>
                      <wp:positionV relativeFrom="page">
                        <wp:posOffset>-1029969</wp:posOffset>
                      </wp:positionV>
                      <wp:extent cx="3088639" cy="523240"/>
                      <wp:effectExtent l="3175" t="0" r="13334" b="29208"/>
                      <wp:wrapNone/>
                      <wp:docPr id="1125" name="组合 34"/>
                      <wp:cNvGraphicFramePr>
                        <a:graphicFrameLocks noChangeAspect="0"/>
                      </wp:cNvGraphicFramePr>
                      <a:graphic>
                        <a:graphicData uri="http://schemas.microsoft.com/office/word/2010/wordprocessingGroup">
                          <wpg:wgp>
                            <wpg:cNvPr id="44" name="组合 34 44"/>
                            <wpg:cNvGrpSpPr/>
                            <wpg:grpSpPr>
                              <a:xfrm rot="0">
                                <a:off x="0" y="0"/>
                                <a:ext cx="3088639" cy="523240"/>
                                <a:chOff x="0" y="0"/>
                                <a:chExt cx="3088639" cy="523240"/>
                              </a:xfrm>
                              <a:prstGeom prst="rect"/>
                              <a:solidFill>
                                <a:srgbClr val="FFFFFF"/>
                              </a:solidFill>
                              <a:ln w="9525" cmpd="sng" cap="flat">
                                <a:solidFill>
                                  <a:srgbClr val="000000"/>
                                </a:solidFill>
                                <a:prstDash val="solid"/>
                                <a:miter/>
                              </a:ln>
                            </wpg:grpSpPr>
                            <wps:wsp>
                              <wps:cNvPr id="45" name="矩形 9 45 45"/>
                              <wps:cNvSpPr/>
                              <wps:spPr>
                                <a:xfrm rot="0">
                                  <a:off x="0" y="0"/>
                                  <a:ext cx="3088639" cy="439777"/>
                                </a:xfrm>
                                <a:prstGeom prst="rect"/>
                                <a:solidFill>
                                  <a:srgbClr val="D8D8D8"/>
                                </a:solidFill>
                                <a:ln cmpd="sng" cap="flat">
                                  <a:noFill/>
                                  <a:prstDash val="solid"/>
                                  <a:round/>
                                </a:ln>
                              </wps:spPr>
                              <wps:bodyPr vert="horz" wrap="square" lIns="91440" tIns="45720" rIns="91440" bIns="45720" anchor="t" anchorCtr="0" upright="0">
                                <a:noAutofit/>
                              </wps:bodyPr>
                            </wps:wsp>
                            <wps:wsp>
                              <wps:cNvPr id="46" name="矩形 10 46 46"/>
                              <wps:cNvSpPr/>
                              <wps:spPr>
                                <a:xfrm rot="0">
                                  <a:off x="9396" y="102927"/>
                                  <a:ext cx="3008404" cy="420313"/>
                                </a:xfrm>
                                <a:prstGeom prst="rect"/>
                                <a:solidFill>
                                  <a:srgbClr val="AD002D"/>
                                </a:solidFill>
                                <a:ln w="25400" cmpd="sng" cap="flat">
                                  <a:solidFill>
                                    <a:srgbClr val="AF7621"/>
                                  </a:solidFill>
                                  <a:prstDash val="solid"/>
                                  <a:round/>
                                </a:ln>
                              </wps:spPr>
                              <wps:txbx id="47">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34" o:spid="_x0000_s48" coordorigin="-57,476" coordsize="4863,824" style="position:absolute;margin-left:-82.75pt;margin-top:-81.09992pt;width:243.19992pt;height:41.200077pt;z-index:97;mso-position-horizontal:absolute;mso-position-vertical:absolute;mso-position-vertical-relative:page;mso-wrap-distance-left:0.0pt;mso-wrap-distance-right:0.0pt;">
                      <v:rect type="#_x0000_t1" id="矩形 9 45 45" o:spid="_x0000_s49" style="position:absolute;left:-57;top:476;width:4863;height:692;" fillcolor="#D8D8D8" stroked="f" strokeweight="-1.0pt">
                        <v:stroke/>
                      </v:rect>
                      <v:rect type="#_x0000_t1" id="_s50" o:spid="_x0000_s50" style="position:absolute;left:-42;top:638;width:4737;height:661;mso-wrap-style:square;" fillcolor="#AD002D" stroked="t" strokeweight="2.0pt">
                        <v:textbox id="859"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v:textbox>
                        <v:stroke color="#AF7621"/>
                      </v:rect>
                      <w10:anchorLock/>
                    </v:group>
                  </w:pict>
                </mc:Fallback>
              </mc:AlternateContent>
            </w:r>
            <w:r>
              <w:rPr>
                <w:rFonts w:ascii="黑体" w:eastAsia="黑体" w:cs="黑体" w:hAnsi="宋体" w:hint="eastAsia"/>
                <w:color w:val="000000"/>
                <w:kern w:val="0"/>
                <w:sz w:val="40"/>
                <w:szCs w:val="40"/>
              </w:rPr>
              <w:t>算表</w:t>
            </w:r>
          </w:p>
        </w:tc>
      </w:tr>
      <w:tr>
        <w:trPr>
          <w:trHeight w:val="362"/>
        </w:trPr>
        <w:tc>
          <w:tcPr>
            <w:tcW w:w="3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cs="宋体" w:hAnsi="宋体"/>
                <w:color w:val="000000"/>
                <w:szCs w:val="21"/>
              </w:rPr>
            </w:pPr>
            <w:r>
              <w:rPr>
                <w:rFonts w:ascii="宋体" w:cs="宋体" w:hAnsi="宋体" w:hint="eastAsia"/>
                <w:color w:val="000000"/>
                <w:kern w:val="0"/>
                <w:szCs w:val="21"/>
              </w:rPr>
              <w:t>公开02表</w:t>
            </w:r>
          </w:p>
        </w:tc>
      </w:tr>
      <w:tr>
        <w:trPr>
          <w:trHeight w:val="362"/>
        </w:trPr>
        <w:tc>
          <w:tcPr>
            <w:tcW w:w="2940"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eastAsia="宋体" w:cs="宋体" w:hAnsi="宋体" w:hint="eastAsia"/>
                <w:color w:val="000000"/>
                <w:szCs w:val="21"/>
                <w:lang w:eastAsia="zh-CN"/>
              </w:rPr>
            </w:pPr>
            <w:r>
              <w:rPr>
                <w:rFonts w:ascii="宋体" w:cs="宋体" w:hAnsi="宋体" w:hint="eastAsia"/>
                <w:color w:val="000000"/>
                <w:kern w:val="0"/>
                <w:szCs w:val="21"/>
              </w:rPr>
              <w:t>部门：</w:t>
            </w:r>
            <w:r>
              <w:rPr>
                <w:rFonts w:ascii="宋体" w:cs="宋体" w:hAnsi="宋体" w:hint="eastAsia"/>
                <w:color w:val="000000"/>
                <w:kern w:val="0"/>
                <w:szCs w:val="21"/>
                <w:lang w:eastAsia="zh-CN"/>
              </w:rPr>
              <w:t>遵化市供销合作社</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cs="宋体" w:hAnsi="宋体"/>
                <w:color w:val="000000"/>
                <w:szCs w:val="21"/>
              </w:rPr>
            </w:pPr>
            <w:r>
              <w:rPr>
                <w:rFonts w:ascii="宋体" w:cs="宋体" w:hAnsi="宋体" w:hint="eastAsia"/>
                <w:color w:val="000000"/>
                <w:kern w:val="0"/>
                <w:szCs w:val="21"/>
              </w:rPr>
              <w:t>金额单位：万元</w:t>
            </w:r>
          </w:p>
        </w:tc>
      </w:tr>
      <w:tr>
        <w:trPr>
          <w:trHeight w:val="325"/>
        </w:trPr>
        <w:tc>
          <w:tcPr>
            <w:tcW w:w="2407" w:type="dxa"/>
            <w:gridSpan w:val="4"/>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20"/>
                <w:szCs w:val="20"/>
              </w:rPr>
            </w:pPr>
            <w:r>
              <w:rPr>
                <w:rFonts w:ascii="宋体" w:cs="宋体" w:hAnsi="宋体" w:hint="eastAsia"/>
                <w:color w:val="000000"/>
                <w:kern w:val="0"/>
                <w:sz w:val="20"/>
                <w:szCs w:val="20"/>
              </w:rPr>
              <w:t>项目</w:t>
            </w:r>
          </w:p>
        </w:tc>
        <w:tc>
          <w:tcPr>
            <w:tcW w:w="920" w:type="dxa"/>
            <w:gridSpan w:val="3"/>
            <w:vMerge w:val="restart"/>
            <w:tcBorders>
              <w:top w:val="single" w:sz="4" w:space="0" w:color="auto"/>
              <w:left w:val="single" w:sz="4" w:space="0" w:color="auto"/>
              <w:bottom w:val="single" w:sz="4" w:space="0" w:color="auto"/>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20"/>
                <w:szCs w:val="20"/>
              </w:rPr>
            </w:pPr>
            <w:r>
              <w:rPr>
                <w:rFonts w:ascii="宋体" w:cs="宋体" w:hAnsi="宋体" w:hint="eastAsia"/>
                <w:color w:val="000000"/>
                <w:kern w:val="0"/>
                <w:sz w:val="20"/>
                <w:szCs w:val="20"/>
              </w:rPr>
              <w:t>本年收入合计</w:t>
            </w:r>
          </w:p>
        </w:tc>
        <w:tc>
          <w:tcPr>
            <w:tcW w:w="920" w:type="dxa"/>
            <w:gridSpan w:val="2"/>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kern w:val="0"/>
                <w:sz w:val="20"/>
                <w:szCs w:val="20"/>
              </w:rPr>
            </w:pPr>
            <w:r>
              <w:rPr>
                <w:rFonts w:ascii="宋体" w:cs="宋体" w:hAnsi="宋体" w:hint="eastAsia"/>
                <w:color w:val="000000"/>
                <w:kern w:val="0"/>
                <w:sz w:val="20"/>
                <w:szCs w:val="20"/>
              </w:rPr>
              <w:t>财政拨款收入</w:t>
            </w:r>
          </w:p>
        </w:tc>
        <w:tc>
          <w:tcPr>
            <w:tcW w:w="921" w:type="dxa"/>
            <w:gridSpan w:val="2"/>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kern w:val="0"/>
                <w:sz w:val="20"/>
                <w:szCs w:val="20"/>
              </w:rPr>
            </w:pPr>
            <w:r>
              <w:rPr>
                <w:rFonts w:ascii="宋体" w:cs="宋体" w:hAnsi="宋体" w:hint="eastAsia"/>
                <w:color w:val="000000"/>
                <w:kern w:val="0"/>
                <w:sz w:val="20"/>
                <w:szCs w:val="20"/>
              </w:rPr>
              <w:t>上级补助收入</w:t>
            </w:r>
          </w:p>
        </w:tc>
        <w:tc>
          <w:tcPr>
            <w:tcW w:w="920" w:type="dxa"/>
            <w:gridSpan w:val="2"/>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kern w:val="0"/>
                <w:sz w:val="20"/>
                <w:szCs w:val="20"/>
              </w:rPr>
            </w:pPr>
            <w:r>
              <w:rPr>
                <w:rFonts w:ascii="宋体" w:cs="宋体" w:hAnsi="宋体" w:hint="eastAsia"/>
                <w:color w:val="000000"/>
                <w:kern w:val="0"/>
                <w:sz w:val="20"/>
                <w:szCs w:val="20"/>
              </w:rPr>
              <w:t>事业收入</w:t>
            </w:r>
          </w:p>
        </w:tc>
        <w:tc>
          <w:tcPr>
            <w:tcW w:w="921" w:type="dxa"/>
            <w:gridSpan w:val="2"/>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kern w:val="0"/>
                <w:sz w:val="20"/>
                <w:szCs w:val="20"/>
              </w:rPr>
            </w:pPr>
            <w:r>
              <w:rPr>
                <w:rFonts w:ascii="宋体" w:cs="宋体" w:hAnsi="宋体" w:hint="eastAsia"/>
                <w:color w:val="000000"/>
                <w:kern w:val="0"/>
                <w:sz w:val="20"/>
                <w:szCs w:val="20"/>
              </w:rPr>
              <w:t>经营收入</w:t>
            </w:r>
          </w:p>
        </w:tc>
        <w:tc>
          <w:tcPr>
            <w:tcW w:w="920" w:type="dxa"/>
            <w:vMerge w:val="restart"/>
            <w:tcBorders>
              <w:top w:val="single" w:sz="4" w:space="0" w:color="auto"/>
              <w:left w:val="nil"/>
              <w:bottom w:val="single" w:sz="4" w:space="0" w:color="auto"/>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kern w:val="0"/>
                <w:sz w:val="20"/>
                <w:szCs w:val="20"/>
              </w:rPr>
            </w:pPr>
            <w:r>
              <w:rPr>
                <w:rFonts w:ascii="宋体" w:cs="宋体" w:hAnsi="宋体" w:hint="eastAsia"/>
                <w:color w:val="000000"/>
                <w:kern w:val="0"/>
                <w:sz w:val="20"/>
                <w:szCs w:val="20"/>
              </w:rPr>
              <w:t>附属单位上缴收入</w:t>
            </w:r>
          </w:p>
        </w:tc>
        <w:tc>
          <w:tcPr>
            <w:tcW w:w="926" w:type="dxa"/>
            <w:vMerge w:val="restart"/>
            <w:tcBorders>
              <w:top w:val="single" w:sz="4" w:space="0" w:color="auto"/>
              <w:left w:val="nil"/>
              <w:bottom w:val="single" w:sz="4" w:space="0" w:color="auto"/>
              <w:right w:val="single" w:sz="4" w:space="0" w:color="auto"/>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kern w:val="0"/>
                <w:sz w:val="20"/>
                <w:szCs w:val="20"/>
              </w:rPr>
            </w:pPr>
            <w:r>
              <w:rPr>
                <w:rFonts w:ascii="宋体" w:cs="宋体" w:hAnsi="宋体" w:hint="eastAsia"/>
                <w:color w:val="000000"/>
                <w:kern w:val="0"/>
                <w:sz w:val="20"/>
                <w:szCs w:val="20"/>
              </w:rPr>
              <w:t>其他收入</w:t>
            </w:r>
          </w:p>
        </w:tc>
      </w:tr>
      <w:tr>
        <w:trPr>
          <w:trHeight w:val="626"/>
        </w:trPr>
        <w:tc>
          <w:tcPr>
            <w:tcW w:w="1089"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20"/>
                <w:szCs w:val="20"/>
              </w:rPr>
            </w:pPr>
            <w:r>
              <w:rPr>
                <w:rFonts w:ascii="宋体" w:cs="宋体" w:hAnsi="宋体" w:hint="eastAsia"/>
                <w:color w:val="000000"/>
                <w:kern w:val="0"/>
                <w:sz w:val="20"/>
                <w:szCs w:val="20"/>
              </w:rPr>
              <w:t>功能分类科目编码</w:t>
            </w:r>
          </w:p>
        </w:tc>
        <w:tc>
          <w:tcPr>
            <w:tcW w:w="1318" w:type="dxa"/>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20"/>
                <w:szCs w:val="20"/>
              </w:rPr>
            </w:pPr>
            <w:r>
              <w:rPr>
                <w:rFonts w:ascii="宋体" w:cs="宋体" w:hAnsi="宋体" w:hint="eastAsia"/>
                <w:color w:val="000000"/>
                <w:kern w:val="0"/>
                <w:sz w:val="20"/>
                <w:szCs w:val="20"/>
              </w:rPr>
              <w:t>科目名称</w:t>
            </w:r>
          </w:p>
        </w:tc>
        <w:tc>
          <w:tcPr>
            <w:tcW w:w="920" w:type="dxa"/>
            <w:gridSpan w:val="3"/>
            <w:vMerge/>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tc>
        <w:tc>
          <w:tcPr>
            <w:tcW w:w="920" w:type="dxa"/>
            <w:gridSpan w:val="2"/>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tc>
        <w:tc>
          <w:tcPr>
            <w:tcW w:w="921" w:type="dxa"/>
            <w:gridSpan w:val="2"/>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tc>
        <w:tc>
          <w:tcPr>
            <w:tcW w:w="920" w:type="dxa"/>
            <w:gridSpan w:val="2"/>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tc>
        <w:tc>
          <w:tcPr>
            <w:tcW w:w="921" w:type="dxa"/>
            <w:gridSpan w:val="2"/>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tc>
        <w:tc>
          <w:tcPr>
            <w:tcW w:w="920" w:type="dxa"/>
            <w:vMerge/>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tc>
        <w:tc>
          <w:tcPr>
            <w:tcW w:w="926" w:type="dxa"/>
            <w:vMerge/>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tc>
      </w:tr>
      <w:tr>
        <w:trPr>
          <w:trHeight w:val="391"/>
        </w:trPr>
        <w:tc>
          <w:tcPr>
            <w:tcW w:w="2407"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栏次</w:t>
            </w:r>
          </w:p>
        </w:tc>
        <w:tc>
          <w:tcPr>
            <w:tcW w:w="9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1</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2</w:t>
            </w: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3</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4</w:t>
            </w: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5</w:t>
            </w:r>
          </w:p>
        </w:tc>
        <w:tc>
          <w:tcPr>
            <w:tcW w:w="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6</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7</w:t>
            </w:r>
          </w:p>
        </w:tc>
      </w:tr>
      <w:tr>
        <w:trPr>
          <w:trHeight w:val="90"/>
        </w:trPr>
        <w:tc>
          <w:tcPr>
            <w:tcW w:w="2407"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合计</w:t>
            </w:r>
          </w:p>
        </w:tc>
        <w:tc>
          <w:tcPr>
            <w:tcW w:w="920"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color w:val="000000"/>
                <w:sz w:val="18"/>
                <w:szCs w:val="18"/>
                <w:lang w:val="en-US" w:eastAsia="zh-CN"/>
              </w:rPr>
            </w:pPr>
            <w:r>
              <w:rPr>
                <w:rFonts w:ascii="宋体" w:cs="宋体" w:hAnsi="宋体" w:hint="eastAsia"/>
                <w:b/>
                <w:color w:val="000000"/>
                <w:sz w:val="18"/>
                <w:szCs w:val="18"/>
                <w:lang w:val="en-US" w:eastAsia="zh-CN"/>
              </w:rPr>
              <w:t>686.95</w:t>
            </w:r>
          </w:p>
        </w:tc>
        <w:tc>
          <w:tcPr>
            <w:tcW w:w="920" w:type="dxa"/>
            <w:gridSpan w:val="2"/>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color w:val="000000"/>
                <w:sz w:val="18"/>
                <w:szCs w:val="18"/>
                <w:lang w:val="en-US" w:eastAsia="zh-CN"/>
              </w:rPr>
            </w:pPr>
            <w:r>
              <w:rPr>
                <w:rFonts w:ascii="宋体" w:cs="宋体" w:hAnsi="宋体" w:hint="eastAsia"/>
                <w:b/>
                <w:color w:val="000000"/>
                <w:sz w:val="18"/>
                <w:szCs w:val="18"/>
                <w:lang w:val="en-US" w:eastAsia="zh-CN"/>
              </w:rPr>
              <w:t>686.95</w:t>
            </w:r>
          </w:p>
        </w:tc>
        <w:tc>
          <w:tcPr>
            <w:tcW w:w="921" w:type="dxa"/>
            <w:gridSpan w:val="2"/>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color w:val="000000"/>
                <w:sz w:val="18"/>
                <w:szCs w:val="18"/>
              </w:rPr>
            </w:pPr>
          </w:p>
        </w:tc>
        <w:tc>
          <w:tcPr>
            <w:tcW w:w="920" w:type="dxa"/>
            <w:gridSpan w:val="2"/>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color w:val="000000"/>
                <w:sz w:val="18"/>
                <w:szCs w:val="18"/>
              </w:rPr>
            </w:pPr>
          </w:p>
        </w:tc>
        <w:tc>
          <w:tcPr>
            <w:tcW w:w="921" w:type="dxa"/>
            <w:gridSpan w:val="2"/>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color w:val="000000"/>
                <w:sz w:val="18"/>
                <w:szCs w:val="18"/>
              </w:rPr>
            </w:pPr>
          </w:p>
        </w:tc>
        <w:tc>
          <w:tcPr>
            <w:tcW w:w="920"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color w:val="000000"/>
                <w:sz w:val="18"/>
                <w:szCs w:val="18"/>
              </w:rPr>
            </w:pPr>
          </w:p>
        </w:tc>
        <w:tc>
          <w:tcPr>
            <w:tcW w:w="926"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color w:val="000000"/>
                <w:sz w:val="18"/>
                <w:szCs w:val="18"/>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208</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b/>
                <w:bCs/>
                <w:color w:val="000000"/>
                <w:szCs w:val="21"/>
                <w:lang w:eastAsia="zh-CN"/>
              </w:rPr>
            </w:pPr>
            <w:r>
              <w:rPr>
                <w:rFonts w:ascii="宋体" w:cs="宋体" w:hAnsi="宋体" w:hint="eastAsia"/>
                <w:b/>
                <w:bCs/>
                <w:color w:val="000000"/>
                <w:szCs w:val="21"/>
                <w:lang w:eastAsia="zh-CN"/>
              </w:rPr>
              <w:t>社会保障和就业支出</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69.36</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69.36</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20805</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b/>
                <w:bCs/>
                <w:color w:val="000000"/>
                <w:szCs w:val="21"/>
                <w:lang w:eastAsia="zh-CN"/>
              </w:rPr>
            </w:pPr>
            <w:r>
              <w:rPr>
                <w:rFonts w:ascii="宋体" w:cs="宋体" w:hAnsi="宋体" w:hint="eastAsia"/>
                <w:b/>
                <w:bCs/>
                <w:color w:val="000000"/>
                <w:szCs w:val="21"/>
                <w:lang w:eastAsia="zh-CN"/>
              </w:rPr>
              <w:t>行政事业单位离退休</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20.62</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20.62</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color w:val="000000"/>
                <w:szCs w:val="21"/>
                <w:lang w:val="en-US" w:eastAsia="zh-CN"/>
              </w:rPr>
            </w:pPr>
            <w:r>
              <w:rPr>
                <w:rFonts w:ascii="宋体" w:cs="宋体" w:hAnsi="宋体" w:hint="eastAsia"/>
                <w:color w:val="000000"/>
                <w:szCs w:val="21"/>
                <w:lang w:val="en-US" w:eastAsia="zh-CN"/>
              </w:rPr>
              <w:t>2080505</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color w:val="000000"/>
                <w:szCs w:val="21"/>
                <w:lang w:eastAsia="zh-CN"/>
              </w:rPr>
            </w:pPr>
            <w:r>
              <w:rPr>
                <w:rFonts w:ascii="宋体" w:cs="宋体" w:hAnsi="宋体" w:hint="eastAsia"/>
                <w:color w:val="000000"/>
                <w:szCs w:val="21"/>
                <w:lang w:eastAsia="zh-CN"/>
              </w:rPr>
              <w:t>机关事业单位基本养老保险缴费支出</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20.62</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20.62</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20806</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b/>
                <w:bCs/>
                <w:color w:val="000000"/>
                <w:szCs w:val="21"/>
                <w:lang w:eastAsia="zh-CN"/>
              </w:rPr>
            </w:pPr>
            <w:r>
              <w:rPr>
                <w:rFonts w:ascii="宋体" w:cs="宋体" w:hAnsi="宋体" w:hint="eastAsia"/>
                <w:b/>
                <w:bCs/>
                <w:color w:val="000000"/>
                <w:szCs w:val="21"/>
                <w:lang w:eastAsia="zh-CN"/>
              </w:rPr>
              <w:t>企业改革补助</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48.74</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48.74</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color w:val="000000"/>
                <w:szCs w:val="21"/>
                <w:lang w:val="en-US" w:eastAsia="zh-CN"/>
              </w:rPr>
            </w:pPr>
            <w:r>
              <w:rPr>
                <w:rFonts w:ascii="宋体" w:cs="宋体" w:hAnsi="宋体" w:hint="eastAsia"/>
                <w:color w:val="000000"/>
                <w:szCs w:val="21"/>
                <w:lang w:val="en-US" w:eastAsia="zh-CN"/>
              </w:rPr>
              <w:t>2080601</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color w:val="000000"/>
                <w:szCs w:val="21"/>
                <w:lang w:eastAsia="zh-CN"/>
              </w:rPr>
            </w:pPr>
            <w:r>
              <w:rPr>
                <w:rFonts w:ascii="宋体" w:cs="宋体" w:hAnsi="宋体" w:hint="eastAsia"/>
                <w:color w:val="000000"/>
                <w:szCs w:val="21"/>
                <w:lang w:eastAsia="zh-CN"/>
              </w:rPr>
              <w:t>企业关闭破产补助</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48.74</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48.74</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210</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b/>
                <w:bCs/>
                <w:color w:val="000000"/>
                <w:szCs w:val="21"/>
                <w:lang w:eastAsia="zh-CN"/>
              </w:rPr>
            </w:pPr>
            <w:r>
              <w:rPr>
                <w:rFonts w:ascii="宋体" w:cs="宋体" w:hAnsi="宋体" w:hint="eastAsia"/>
                <w:b/>
                <w:bCs/>
                <w:color w:val="000000"/>
                <w:szCs w:val="21"/>
                <w:lang w:eastAsia="zh-CN"/>
              </w:rPr>
              <w:t>医疗卫生与计划生育支出</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44.66</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44.66</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b/>
                <w:bCs/>
                <w:color w:val="000000"/>
                <w:szCs w:val="21"/>
                <w:lang w:val="en-US" w:eastAsia="zh-CN"/>
              </w:rPr>
            </w:pPr>
            <w:r>
              <w:rPr>
                <w:rFonts w:ascii="宋体" w:cs="宋体" w:hAnsi="宋体" w:hint="eastAsia"/>
                <w:b/>
                <w:bCs/>
                <w:color w:val="000000"/>
                <w:szCs w:val="21"/>
                <w:lang w:val="en-US" w:eastAsia="zh-CN"/>
              </w:rPr>
              <w:t>21011</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hint="eastAsia"/>
                <w:b/>
                <w:bCs/>
                <w:color w:val="000000"/>
                <w:szCs w:val="21"/>
                <w:lang w:eastAsia="zh-CN"/>
              </w:rPr>
            </w:pPr>
            <w:r>
              <w:rPr>
                <w:rFonts w:ascii="宋体" w:cs="宋体" w:hAnsi="宋体" w:hint="eastAsia"/>
                <w:b/>
                <w:bCs/>
                <w:color w:val="000000"/>
                <w:szCs w:val="21"/>
                <w:lang w:val="en-US" w:eastAsia="zh-CN"/>
              </w:rPr>
              <w:t>行政事业单位医疗</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bCs/>
                <w:color w:val="000000"/>
                <w:szCs w:val="21"/>
                <w:lang w:val="en-US" w:eastAsia="zh-CN"/>
              </w:rPr>
            </w:pPr>
            <w:r>
              <w:rPr>
                <w:rFonts w:ascii="宋体" w:cs="宋体" w:hAnsi="宋体" w:hint="eastAsia"/>
                <w:b/>
                <w:bCs/>
                <w:color w:val="000000"/>
                <w:szCs w:val="21"/>
                <w:lang w:val="en-US" w:eastAsia="zh-CN"/>
              </w:rPr>
              <w:t>44.66</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bCs/>
                <w:color w:val="000000"/>
                <w:szCs w:val="21"/>
                <w:lang w:val="en-US" w:eastAsia="zh-CN"/>
              </w:rPr>
            </w:pPr>
            <w:r>
              <w:rPr>
                <w:rFonts w:ascii="宋体" w:cs="宋体" w:hAnsi="宋体" w:hint="eastAsia"/>
                <w:b/>
                <w:bCs/>
                <w:color w:val="000000"/>
                <w:szCs w:val="21"/>
                <w:lang w:val="en-US" w:eastAsia="zh-CN"/>
              </w:rPr>
              <w:t>44.66</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color w:val="000000"/>
                <w:szCs w:val="21"/>
                <w:lang w:val="en-US" w:eastAsia="zh-CN"/>
              </w:rPr>
            </w:pPr>
            <w:r>
              <w:rPr>
                <w:rFonts w:ascii="宋体" w:cs="宋体" w:hAnsi="宋体" w:hint="eastAsia"/>
                <w:color w:val="000000"/>
                <w:szCs w:val="21"/>
                <w:lang w:val="en-US" w:eastAsia="zh-CN"/>
              </w:rPr>
              <w:t>2101101</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color w:val="000000"/>
                <w:szCs w:val="21"/>
                <w:lang w:eastAsia="zh-CN"/>
              </w:rPr>
            </w:pPr>
            <w:r>
              <w:rPr>
                <w:rFonts w:ascii="宋体" w:cs="宋体" w:hAnsi="宋体" w:hint="eastAsia"/>
                <w:color w:val="000000"/>
                <w:szCs w:val="21"/>
                <w:lang w:eastAsia="zh-CN"/>
              </w:rPr>
              <w:t>行政单位医疗</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44.66</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44.66</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212</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bCs/>
                <w:color w:val="000000"/>
                <w:szCs w:val="21"/>
                <w:lang w:val="en-US" w:eastAsia="zh-CN"/>
              </w:rPr>
            </w:pPr>
            <w:r>
              <w:rPr>
                <w:rFonts w:ascii="宋体" w:cs="宋体" w:hAnsi="宋体" w:hint="eastAsia"/>
                <w:b/>
                <w:bCs/>
                <w:color w:val="000000"/>
                <w:szCs w:val="21"/>
                <w:lang w:eastAsia="zh-CN"/>
              </w:rPr>
              <w:t>城乡社区支出</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410.19</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410.19</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21208</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b/>
                <w:bCs/>
                <w:color w:val="000000"/>
                <w:szCs w:val="21"/>
                <w:lang w:eastAsia="zh-CN"/>
              </w:rPr>
            </w:pPr>
            <w:r>
              <w:rPr>
                <w:rFonts w:ascii="宋体" w:cs="宋体" w:hAnsi="宋体" w:hint="eastAsia"/>
                <w:b/>
                <w:bCs/>
                <w:color w:val="000000"/>
                <w:szCs w:val="21"/>
                <w:lang w:eastAsia="zh-CN"/>
              </w:rPr>
              <w:t>国有土地使用权出让收入及对应专项债务收入安排的支出</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410.19</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410.19</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color w:val="000000"/>
                <w:szCs w:val="21"/>
                <w:lang w:val="en-US" w:eastAsia="zh-CN"/>
              </w:rPr>
            </w:pPr>
            <w:r>
              <w:rPr>
                <w:rFonts w:ascii="宋体" w:cs="宋体" w:hAnsi="宋体" w:hint="eastAsia"/>
                <w:color w:val="000000"/>
                <w:szCs w:val="21"/>
                <w:lang w:val="en-US" w:eastAsia="zh-CN"/>
              </w:rPr>
              <w:t>2120809</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color w:val="000000"/>
                <w:szCs w:val="21"/>
                <w:lang w:eastAsia="zh-CN"/>
              </w:rPr>
            </w:pPr>
            <w:r>
              <w:rPr>
                <w:rFonts w:ascii="宋体" w:cs="宋体" w:hAnsi="宋体" w:hint="eastAsia"/>
                <w:color w:val="000000"/>
                <w:szCs w:val="21"/>
                <w:lang w:eastAsia="zh-CN"/>
              </w:rPr>
              <w:t>支付破产或改制企业职工安置费</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405.19</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405.19</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color w:val="000000"/>
                <w:szCs w:val="21"/>
                <w:lang w:val="en-US" w:eastAsia="zh-CN"/>
              </w:rPr>
            </w:pPr>
            <w:r>
              <w:rPr>
                <w:rFonts w:ascii="宋体" w:cs="宋体" w:hAnsi="宋体" w:hint="eastAsia"/>
                <w:color w:val="000000"/>
                <w:szCs w:val="21"/>
                <w:lang w:val="en-US" w:eastAsia="zh-CN"/>
              </w:rPr>
              <w:t>2120899</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color w:val="000000"/>
                <w:szCs w:val="21"/>
                <w:lang w:eastAsia="zh-CN"/>
              </w:rPr>
            </w:pPr>
            <w:r>
              <w:rPr>
                <w:rFonts w:ascii="宋体" w:cs="宋体" w:hAnsi="宋体" w:hint="eastAsia"/>
                <w:color w:val="000000"/>
                <w:szCs w:val="21"/>
                <w:lang w:eastAsia="zh-CN"/>
              </w:rPr>
              <w:t>其他国有土地使用权出让收入安排的支出</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5.00</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5.00</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216</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b/>
                <w:bCs/>
                <w:color w:val="000000"/>
                <w:szCs w:val="21"/>
                <w:lang w:eastAsia="zh-CN"/>
              </w:rPr>
            </w:pPr>
            <w:r>
              <w:rPr>
                <w:rFonts w:ascii="宋体" w:cs="宋体" w:hAnsi="宋体" w:hint="eastAsia"/>
                <w:b/>
                <w:bCs/>
                <w:color w:val="000000"/>
                <w:szCs w:val="21"/>
                <w:lang w:eastAsia="zh-CN"/>
              </w:rPr>
              <w:t>商业服务业等支出</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150.21</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150.21</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21602</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bCs/>
                <w:color w:val="000000"/>
                <w:szCs w:val="21"/>
                <w:lang w:val="en-US" w:eastAsia="zh-CN"/>
              </w:rPr>
            </w:pPr>
            <w:r>
              <w:rPr>
                <w:rFonts w:ascii="宋体" w:cs="宋体" w:hAnsi="宋体" w:hint="eastAsia"/>
                <w:b/>
                <w:bCs/>
                <w:color w:val="000000"/>
                <w:szCs w:val="21"/>
                <w:lang w:eastAsia="zh-CN"/>
              </w:rPr>
              <w:t>商业流通事</w:t>
            </w:r>
            <w:r>
              <w:rPr>
                <w:rFonts w:ascii="宋体" w:cs="宋体" w:hAnsi="宋体"/>
                <w:b/>
                <w:bCs/>
                <w:color w:val="000000"/>
                <w:szCs w:val="21"/>
                <w:lang w:eastAsia="zh-CN"/>
              </w:rPr>
              <w:t>务</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150.21</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150.21</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color w:val="000000"/>
                <w:szCs w:val="21"/>
                <w:lang w:val="en-US" w:eastAsia="zh-CN"/>
              </w:rPr>
            </w:pPr>
            <w:r>
              <w:rPr>
                <w:rFonts w:ascii="宋体" w:cs="宋体" w:hAnsi="宋体" w:hint="eastAsia"/>
                <w:color w:val="000000"/>
                <w:szCs w:val="21"/>
                <w:lang w:val="en-US" w:eastAsia="zh-CN"/>
              </w:rPr>
              <w:t>2160201</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color w:val="000000"/>
                <w:szCs w:val="21"/>
                <w:lang w:eastAsia="zh-CN"/>
              </w:rPr>
            </w:pPr>
            <w:r>
              <w:rPr>
                <w:rFonts w:ascii="宋体" w:cs="宋体" w:hAnsi="宋体" w:hint="eastAsia"/>
                <w:color w:val="000000"/>
                <w:szCs w:val="21"/>
                <w:lang w:eastAsia="zh-CN"/>
              </w:rPr>
              <w:t>行政运行</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131.52</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131.52</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color w:val="000000"/>
                <w:szCs w:val="21"/>
                <w:lang w:val="en-US" w:eastAsia="zh-CN"/>
              </w:rPr>
            </w:pPr>
            <w:r>
              <w:rPr>
                <w:rFonts w:ascii="宋体" w:cs="宋体" w:hAnsi="宋体" w:hint="eastAsia"/>
                <w:color w:val="000000"/>
                <w:szCs w:val="21"/>
                <w:lang w:val="en-US" w:eastAsia="zh-CN"/>
              </w:rPr>
              <w:t>2160202</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color w:val="000000"/>
                <w:szCs w:val="21"/>
                <w:lang w:eastAsia="zh-CN"/>
              </w:rPr>
            </w:pPr>
            <w:r>
              <w:rPr>
                <w:rFonts w:ascii="宋体" w:cs="宋体" w:hAnsi="宋体" w:hint="eastAsia"/>
                <w:color w:val="000000"/>
                <w:szCs w:val="21"/>
                <w:lang w:eastAsia="zh-CN"/>
              </w:rPr>
              <w:t>一般行政管理事</w:t>
            </w:r>
            <w:r>
              <w:rPr>
                <w:rFonts w:ascii="宋体" w:cs="宋体" w:hAnsi="宋体"/>
                <w:color w:val="000000"/>
                <w:szCs w:val="21"/>
                <w:lang w:eastAsia="zh-CN"/>
              </w:rPr>
              <w:t>务</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18.69</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18.69</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221</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bCs/>
                <w:color w:val="000000"/>
                <w:szCs w:val="21"/>
                <w:lang w:val="en-US" w:eastAsia="zh-CN"/>
              </w:rPr>
            </w:pPr>
            <w:r>
              <w:rPr>
                <w:rFonts w:ascii="宋体" w:cs="宋体" w:hAnsi="宋体" w:hint="eastAsia"/>
                <w:b/>
                <w:bCs/>
                <w:color w:val="000000"/>
                <w:szCs w:val="21"/>
                <w:lang w:eastAsia="zh-CN"/>
              </w:rPr>
              <w:t>住房保障支出</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12.53</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12.53</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22102</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b/>
                <w:bCs/>
                <w:color w:val="000000"/>
                <w:szCs w:val="21"/>
                <w:lang w:eastAsia="zh-CN"/>
              </w:rPr>
            </w:pPr>
            <w:r>
              <w:rPr>
                <w:rFonts w:ascii="宋体" w:cs="宋体" w:hAnsi="宋体" w:hint="eastAsia"/>
                <w:b/>
                <w:bCs/>
                <w:color w:val="000000"/>
                <w:szCs w:val="21"/>
                <w:lang w:eastAsia="zh-CN"/>
              </w:rPr>
              <w:t>住房改革支出</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12.53</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12.53</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71"/>
        </w:trPr>
        <w:tc>
          <w:tcPr>
            <w:tcW w:w="1089"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b w:val="0"/>
                <w:bCs w:val="0"/>
                <w:color w:val="000000"/>
                <w:szCs w:val="21"/>
                <w:lang w:val="en-US" w:eastAsia="zh-CN"/>
              </w:rPr>
            </w:pPr>
            <w:r>
              <w:rPr>
                <w:rFonts w:ascii="宋体" w:cs="宋体" w:hAnsi="宋体" w:hint="eastAsia"/>
                <w:b w:val="0"/>
                <w:bCs w:val="0"/>
                <w:color w:val="000000"/>
                <w:szCs w:val="21"/>
                <w:lang w:val="en-US" w:eastAsia="zh-CN"/>
              </w:rPr>
              <w:t>2210201</w:t>
            </w:r>
          </w:p>
        </w:tc>
        <w:tc>
          <w:tcPr>
            <w:tcW w:w="131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hint="eastAsia"/>
                <w:b w:val="0"/>
                <w:bCs w:val="0"/>
                <w:color w:val="000000"/>
                <w:szCs w:val="21"/>
                <w:lang w:eastAsia="zh-CN"/>
              </w:rPr>
            </w:pPr>
            <w:r>
              <w:rPr>
                <w:rFonts w:ascii="宋体" w:cs="宋体" w:hAnsi="宋体" w:hint="eastAsia"/>
                <w:b w:val="0"/>
                <w:bCs w:val="0"/>
                <w:color w:val="000000"/>
                <w:szCs w:val="21"/>
                <w:lang w:eastAsia="zh-CN"/>
              </w:rPr>
              <w:t>住房公积金</w:t>
            </w:r>
          </w:p>
        </w:tc>
        <w:tc>
          <w:tcPr>
            <w:tcW w:w="920" w:type="dxa"/>
            <w:gridSpan w:val="3"/>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val="0"/>
                <w:bCs w:val="0"/>
                <w:color w:val="000000"/>
                <w:szCs w:val="21"/>
                <w:lang w:val="en-US" w:eastAsia="zh-CN"/>
              </w:rPr>
            </w:pPr>
            <w:r>
              <w:rPr>
                <w:rFonts w:ascii="宋体" w:cs="宋体" w:hAnsi="宋体" w:hint="eastAsia"/>
                <w:b w:val="0"/>
                <w:bCs w:val="0"/>
                <w:color w:val="000000"/>
                <w:szCs w:val="21"/>
                <w:lang w:val="en-US" w:eastAsia="zh-CN"/>
              </w:rPr>
              <w:t>12.53</w:t>
            </w: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val="0"/>
                <w:bCs w:val="0"/>
                <w:color w:val="000000"/>
                <w:szCs w:val="21"/>
                <w:lang w:val="en-US" w:eastAsia="zh-CN"/>
              </w:rPr>
            </w:pPr>
            <w:r>
              <w:rPr>
                <w:rFonts w:ascii="宋体" w:cs="宋体" w:hAnsi="宋体" w:hint="eastAsia"/>
                <w:b w:val="0"/>
                <w:bCs w:val="0"/>
                <w:color w:val="000000"/>
                <w:szCs w:val="21"/>
                <w:lang w:val="en-US" w:eastAsia="zh-CN"/>
              </w:rPr>
              <w:t>12.53</w:t>
            </w: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1"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9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81"/>
        </w:trPr>
        <w:tc>
          <w:tcPr>
            <w:tcW w:w="8855"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Cs w:val="21"/>
              </w:rPr>
            </w:pPr>
            <w:r>
              <w:rPr>
                <w:rFonts w:ascii="宋体" w:cs="宋体" w:hAnsi="宋体" w:hint="eastAsia"/>
                <w:color w:val="000000"/>
                <w:kern w:val="0"/>
                <w:szCs w:val="21"/>
              </w:rPr>
              <w:t>注：本表反映部门本年度取得的各项收入情况。</w:t>
            </w:r>
          </w:p>
        </w:tc>
      </w:tr>
    </w:tbl>
    <w:p>
      <w:pPr>
        <w:widowControl/>
        <w:spacing w:after="0" w:line="560" w:lineRule="exact"/>
        <w:jc w:val="left"/>
        <w:rPr>
          <w:rFonts w:ascii="仿宋_GB2312" w:eastAsia="仿宋_GB2312" w:hAnsi="宋体"/>
          <w:b/>
          <w:sz w:val="28"/>
          <w:szCs w:val="28"/>
          <w:highlight w:val="yellow"/>
        </w:rPr>
        <w:sectPr>
          <w:pgSz w:w="11906" w:h="16838"/>
          <w:pgMar w:top="2098" w:right="1474" w:bottom="1984" w:left="1588" w:header="851" w:footer="992" w:gutter="0"/>
          <w:pgNumType w:fmt="numberInDash"/>
          <w:cols w:num="1" w:space="0"/>
          <w:docGrid w:type="lines" w:linePitch="312" w:charSpace="0"/>
        </w:sectPr>
      </w:pPr>
    </w:p>
    <w:tbl>
      <w:tblPr>
        <w:jc w:val="left"/>
        <w:tblInd w:w="0" w:type="dxa"/>
        <w:tblW w:w="9000" w:type="dxa"/>
        <w:tblBorders>
          <w:top w:val="none" w:sz="0" w:space="0" w:color="auto"/>
          <w:left w:val="none" w:sz="0" w:space="0" w:color="auto"/>
          <w:bottom w:val="none" w:sz="0" w:space="0" w:color="auto"/>
          <w:right w:val="none" w:sz="0" w:space="0" w:color="auto"/>
        </w:tblBorders>
        <w:tblLayout w:type="fixed"/>
        <w:tblCellMar>
          <w:top w:w="0" w:type="dxa"/>
          <w:left w:w="0" w:type="dxa"/>
          <w:bottom w:w="0" w:type="dxa"/>
          <w:right w:w="0" w:type="dxa"/>
        </w:tblCellMar>
        <w:tblLook w:val="0600" w:firstRow="0" w:lastRow="0" w:firstColumn="0" w:lastColumn="0" w:noHBand="1" w:noVBand="1"/>
      </w:tblPr>
      <w:tblGrid>
        <w:gridCol w:w="290"/>
        <w:gridCol w:w="289"/>
        <w:gridCol w:w="803"/>
        <w:gridCol w:w="1117"/>
        <w:gridCol w:w="647"/>
        <w:gridCol w:w="436"/>
        <w:gridCol w:w="682"/>
        <w:gridCol w:w="402"/>
        <w:gridCol w:w="718"/>
        <w:gridCol w:w="365"/>
        <w:gridCol w:w="753"/>
        <w:gridCol w:w="331"/>
        <w:gridCol w:w="789"/>
        <w:gridCol w:w="294"/>
        <w:gridCol w:w="1084"/>
      </w:tblGrid>
      <w:tr>
        <w:trPr>
          <w:trHeight w:val="798"/>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eastAsia="黑体" w:cs="黑体" w:hAnsi="宋体"/>
                <w:color w:val="000000"/>
                <w:sz w:val="40"/>
                <w:szCs w:val="40"/>
              </w:rPr>
            </w:pPr>
            <w:r>
              <w:rPr>
                <w:rFonts w:ascii="黑体" w:eastAsia="黑体" w:cs="黑体" w:hAnsi="宋体" w:hint="eastAsia"/>
                <w:color w:val="000000"/>
                <w:kern w:val="0"/>
                <w:sz w:val="40"/>
                <w:szCs w:val="40"/>
              </w:rPr>
              <w:t>支出决算</w:t>
            </w:r>
            <w:r>
              <w:rPr>
                <w:sz w:val="44"/>
              </w:rPr>
              <mc:AlternateContent>
                <mc:Choice Requires="wps">
                  <w:drawing>
                    <wp:anchor distT="0" distB="0" distL="0" distR="0" simplePos="0" relativeHeight="99" behindDoc="0" locked="1" layoutInCell="1" hidden="0" allowOverlap="1">
                      <wp:simplePos x="0" y="0"/>
                      <wp:positionH relativeFrom="column">
                        <wp:posOffset>-1027430</wp:posOffset>
                      </wp:positionH>
                      <wp:positionV relativeFrom="page">
                        <wp:posOffset>-1029969</wp:posOffset>
                      </wp:positionV>
                      <wp:extent cx="3088639" cy="523240"/>
                      <wp:effectExtent l="3175" t="0" r="13334" b="29208"/>
                      <wp:wrapNone/>
                      <wp:docPr id="1126" name="组合 38"/>
                      <wp:cNvGraphicFramePr>
                        <a:graphicFrameLocks noChangeAspect="0"/>
                      </wp:cNvGraphicFramePr>
                      <a:graphic>
                        <a:graphicData uri="http://schemas.microsoft.com/office/word/2010/wordprocessingGroup">
                          <wpg:wgp>
                            <wpg:cNvPr id="51" name="组合 38 51"/>
                            <wpg:cNvGrpSpPr/>
                            <wpg:grpSpPr>
                              <a:xfrm rot="0">
                                <a:off x="0" y="0"/>
                                <a:ext cx="3088639" cy="523240"/>
                                <a:chOff x="0" y="0"/>
                                <a:chExt cx="3088639" cy="523240"/>
                              </a:xfrm>
                              <a:prstGeom prst="rect"/>
                              <a:solidFill>
                                <a:srgbClr val="FFFFFF"/>
                              </a:solidFill>
                              <a:ln w="9525" cmpd="sng" cap="flat">
                                <a:solidFill>
                                  <a:srgbClr val="000000"/>
                                </a:solidFill>
                                <a:prstDash val="solid"/>
                                <a:miter/>
                              </a:ln>
                            </wpg:grpSpPr>
                            <wps:wsp>
                              <wps:cNvPr id="52" name="矩形 11 52 52"/>
                              <wps:cNvSpPr/>
                              <wps:spPr>
                                <a:xfrm rot="0">
                                  <a:off x="0" y="0"/>
                                  <a:ext cx="3088639" cy="439777"/>
                                </a:xfrm>
                                <a:prstGeom prst="rect"/>
                                <a:solidFill>
                                  <a:srgbClr val="D8D8D8"/>
                                </a:solidFill>
                                <a:ln cmpd="sng" cap="flat">
                                  <a:noFill/>
                                  <a:prstDash val="solid"/>
                                  <a:round/>
                                </a:ln>
                              </wps:spPr>
                              <wps:bodyPr vert="horz" wrap="square" lIns="91440" tIns="45720" rIns="91440" bIns="45720" anchor="t" anchorCtr="0" upright="0">
                                <a:noAutofit/>
                              </wps:bodyPr>
                            </wps:wsp>
                            <wps:wsp>
                              <wps:cNvPr id="53" name="矩形 12 53 53"/>
                              <wps:cNvSpPr/>
                              <wps:spPr>
                                <a:xfrm rot="0">
                                  <a:off x="9396" y="102927"/>
                                  <a:ext cx="3008405" cy="420313"/>
                                </a:xfrm>
                                <a:prstGeom prst="rect"/>
                                <a:solidFill>
                                  <a:srgbClr val="AD002D"/>
                                </a:solidFill>
                                <a:ln w="25400" cmpd="sng" cap="flat">
                                  <a:solidFill>
                                    <a:srgbClr val="AF7621"/>
                                  </a:solidFill>
                                  <a:prstDash val="solid"/>
                                  <a:round/>
                                </a:ln>
                              </wps:spPr>
                              <wps:txbx id="54">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38" o:spid="_x0000_s55" coordorigin="-30,476" coordsize="4863,824" style="position:absolute;margin-left:-80.9pt;margin-top:-81.09992pt;width:243.19992pt;height:41.200077pt;z-index:99;mso-position-horizontal:absolute;mso-position-vertical:absolute;mso-position-vertical-relative:page;mso-wrap-distance-left:0.0pt;mso-wrap-distance-right:0.0pt;">
                      <v:rect type="#_x0000_t1" id="矩形 11 52 52" o:spid="_x0000_s56" style="position:absolute;left:-30;top:476;width:4863;height:692;" fillcolor="#D8D8D8" stroked="f" strokeweight="-1.0pt">
                        <v:stroke/>
                      </v:rect>
                      <v:rect type="#_x0000_t1" id="_s57" o:spid="_x0000_s57" style="position:absolute;left:-15;top:638;width:4737;height:661;mso-wrap-style:square;" fillcolor="#AD002D" stroked="t" strokeweight="2.0pt">
                        <v:textbox id="860"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v:textbox>
                        <v:stroke color="#AF7621"/>
                      </v:rect>
                      <w10:anchorLock/>
                    </v:group>
                  </w:pict>
                </mc:Fallback>
              </mc:AlternateContent>
            </w:r>
            <w:r>
              <w:rPr>
                <w:rFonts w:ascii="黑体" w:eastAsia="黑体" w:cs="黑体" w:hAnsi="宋体" w:hint="eastAsia"/>
                <w:color w:val="000000"/>
                <w:kern w:val="0"/>
                <w:sz w:val="40"/>
                <w:szCs w:val="40"/>
              </w:rPr>
              <w:t>表</w:t>
            </w:r>
          </w:p>
        </w:tc>
      </w:tr>
      <w:tr>
        <w:trPr>
          <w:trHeight w:val="404"/>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cs="宋体" w:hAnsi="宋体"/>
                <w:color w:val="000000"/>
                <w:szCs w:val="21"/>
              </w:rPr>
            </w:pPr>
            <w:r>
              <w:rPr>
                <w:rFonts w:ascii="宋体" w:cs="宋体" w:hAnsi="宋体" w:hint="eastAsia"/>
                <w:color w:val="000000"/>
                <w:kern w:val="0"/>
                <w:szCs w:val="21"/>
              </w:rPr>
              <w:t>公开03表</w:t>
            </w:r>
          </w:p>
        </w:tc>
      </w:tr>
      <w:tr>
        <w:trPr>
          <w:trHeight w:val="380"/>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eastAsia="宋体" w:cs="宋体" w:hAnsi="宋体" w:hint="eastAsia"/>
                <w:color w:val="000000"/>
                <w:szCs w:val="21"/>
                <w:lang w:eastAsia="zh-CN"/>
              </w:rPr>
            </w:pPr>
            <w:r>
              <w:rPr>
                <w:rFonts w:ascii="宋体" w:cs="宋体" w:hAnsi="宋体" w:hint="eastAsia"/>
                <w:color w:val="000000"/>
                <w:kern w:val="0"/>
                <w:szCs w:val="21"/>
              </w:rPr>
              <w:t>部门：</w:t>
            </w:r>
            <w:r>
              <w:rPr>
                <w:rFonts w:ascii="宋体" w:cs="宋体" w:hAnsi="宋体" w:hint="eastAsia"/>
                <w:color w:val="000000"/>
                <w:kern w:val="0"/>
                <w:szCs w:val="21"/>
                <w:lang w:eastAsia="zh-CN"/>
              </w:rPr>
              <w:t>遵化市供销合作社</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cs="宋体" w:hAnsi="宋体"/>
                <w:color w:val="000000"/>
                <w:szCs w:val="21"/>
              </w:rPr>
            </w:pPr>
            <w:r>
              <w:rPr>
                <w:rFonts w:ascii="宋体" w:cs="宋体" w:hAnsi="宋体" w:hint="eastAsia"/>
                <w:color w:val="000000"/>
                <w:kern w:val="0"/>
                <w:szCs w:val="21"/>
              </w:rPr>
              <w:t>金额单位：万元</w:t>
            </w:r>
          </w:p>
        </w:tc>
      </w:tr>
      <w:tr>
        <w:trPr>
          <w:trHeight w:val="837"/>
        </w:trPr>
        <w:tc>
          <w:tcPr>
            <w:tcW w:w="2499"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项目</w:t>
            </w:r>
          </w:p>
        </w:tc>
        <w:tc>
          <w:tcPr>
            <w:tcW w:w="1083"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本年支出合计</w:t>
            </w:r>
          </w:p>
        </w:tc>
        <w:tc>
          <w:tcPr>
            <w:tcW w:w="1084"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基本支出</w:t>
            </w:r>
          </w:p>
        </w:tc>
        <w:tc>
          <w:tcPr>
            <w:tcW w:w="1083"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项目支出</w:t>
            </w:r>
          </w:p>
        </w:tc>
        <w:tc>
          <w:tcPr>
            <w:tcW w:w="1084"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上缴上级支出</w:t>
            </w:r>
          </w:p>
        </w:tc>
        <w:tc>
          <w:tcPr>
            <w:tcW w:w="1083" w:type="dxa"/>
            <w:gridSpan w:val="2"/>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经营支出</w:t>
            </w:r>
          </w:p>
        </w:tc>
        <w:tc>
          <w:tcPr>
            <w:tcW w:w="1084" w:type="dxa"/>
            <w:vMerge w:val="restart"/>
            <w:tcBorders>
              <w:top w:val="single" w:sz="4" w:space="0" w:color="000000"/>
              <w:left w:val="nil"/>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对附属单位补助支出</w:t>
            </w:r>
          </w:p>
        </w:tc>
      </w:tr>
      <w:tr>
        <w:trPr>
          <w:trHeight w:val="782"/>
        </w:trPr>
        <w:tc>
          <w:tcPr>
            <w:tcW w:w="1382" w:type="dxa"/>
            <w:gridSpan w:val="3"/>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功能分类科目编码</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科目名称</w:t>
            </w:r>
          </w:p>
        </w:tc>
        <w:tc>
          <w:tcPr>
            <w:tcW w:w="1083"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tc>
        <w:tc>
          <w:tcPr>
            <w:tcW w:w="1084"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tc>
        <w:tc>
          <w:tcPr>
            <w:tcW w:w="1083"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tc>
        <w:tc>
          <w:tcPr>
            <w:tcW w:w="1084"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tc>
        <w:tc>
          <w:tcPr>
            <w:tcW w:w="1083" w:type="dxa"/>
            <w:gridSpan w:val="2"/>
            <w:vMerge/>
            <w:tcBorders>
              <w:left w:val="nil"/>
              <w:bottom w:val="single" w:sz="4" w:space="0" w:color="000000"/>
              <w:right w:val="single" w:sz="4" w:space="0" w:color="000000"/>
            </w:tcBorders>
            <w:shd w:val="clear" w:color="auto" w:fill="auto"/>
            <w:tcMar>
              <w:top w:w="15" w:type="dxa"/>
              <w:left w:w="15" w:type="dxa"/>
              <w:right w:w="15" w:type="dxa"/>
            </w:tcMar>
            <w:vAlign w:val="center"/>
          </w:tcPr>
          <w:p/>
        </w:tc>
        <w:tc>
          <w:tcPr>
            <w:tcW w:w="1084" w:type="dxa"/>
            <w:vMerge/>
            <w:tcBorders>
              <w:left w:val="nil"/>
              <w:bottom w:val="single" w:sz="4" w:space="0" w:color="000000"/>
              <w:right w:val="single" w:sz="4" w:space="0" w:color="000000"/>
            </w:tcBorders>
            <w:shd w:val="clear" w:color="auto" w:fill="auto"/>
            <w:tcMar>
              <w:top w:w="15" w:type="dxa"/>
              <w:left w:w="15" w:type="dxa"/>
              <w:right w:w="15" w:type="dxa"/>
            </w:tcMar>
            <w:vAlign w:val="center"/>
          </w:tcPr>
          <w:p/>
        </w:tc>
      </w:tr>
      <w:tr>
        <w:trPr>
          <w:trHeight w:val="395"/>
        </w:trPr>
        <w:tc>
          <w:tcPr>
            <w:tcW w:w="249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栏次</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1</w:t>
            </w: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2</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3</w:t>
            </w:r>
          </w:p>
        </w:tc>
        <w:tc>
          <w:tcPr>
            <w:tcW w:w="1084"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4</w:t>
            </w:r>
          </w:p>
        </w:tc>
        <w:tc>
          <w:tcPr>
            <w:tcW w:w="1083"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5</w:t>
            </w:r>
          </w:p>
        </w:tc>
        <w:tc>
          <w:tcPr>
            <w:tcW w:w="108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6</w:t>
            </w:r>
          </w:p>
        </w:tc>
      </w:tr>
      <w:tr>
        <w:trPr>
          <w:trHeight w:val="440"/>
        </w:trPr>
        <w:tc>
          <w:tcPr>
            <w:tcW w:w="2499"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合计</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color w:val="000000"/>
                <w:szCs w:val="21"/>
                <w:lang w:val="en-US" w:eastAsia="zh-CN"/>
              </w:rPr>
            </w:pPr>
            <w:r>
              <w:rPr>
                <w:rFonts w:ascii="宋体" w:cs="宋体" w:hAnsi="宋体" w:hint="eastAsia"/>
                <w:b/>
                <w:color w:val="000000"/>
                <w:szCs w:val="21"/>
                <w:lang w:val="en-US" w:eastAsia="zh-CN"/>
              </w:rPr>
              <w:t>686.95</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color w:val="000000"/>
                <w:szCs w:val="21"/>
                <w:lang w:val="en-US" w:eastAsia="zh-CN"/>
              </w:rPr>
            </w:pPr>
            <w:r>
              <w:rPr>
                <w:rFonts w:ascii="宋体" w:cs="宋体" w:hAnsi="宋体" w:hint="eastAsia"/>
                <w:b/>
                <w:color w:val="000000"/>
                <w:szCs w:val="21"/>
                <w:lang w:val="en-US" w:eastAsia="zh-CN"/>
              </w:rPr>
              <w:t>209.33</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color w:val="000000"/>
                <w:szCs w:val="21"/>
                <w:lang w:val="en-US" w:eastAsia="zh-CN"/>
              </w:rPr>
            </w:pPr>
            <w:r>
              <w:rPr>
                <w:rFonts w:ascii="宋体" w:cs="宋体" w:hAnsi="宋体" w:hint="eastAsia"/>
                <w:b/>
                <w:color w:val="000000"/>
                <w:szCs w:val="21"/>
                <w:lang w:val="en-US" w:eastAsia="zh-CN"/>
              </w:rPr>
              <w:t>477.62</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eastAsia="宋体" w:cs="宋体" w:hAnsi="宋体"/>
                <w:color w:val="000000"/>
                <w:szCs w:val="21"/>
                <w:lang w:val="en-US" w:eastAsia="zh-CN"/>
              </w:rPr>
            </w:pPr>
            <w:r>
              <w:rPr>
                <w:rFonts w:ascii="宋体" w:cs="宋体" w:hAnsi="宋体" w:hint="eastAsia"/>
                <w:b/>
                <w:bCs/>
                <w:color w:val="000000"/>
                <w:szCs w:val="21"/>
                <w:lang w:val="en-US" w:eastAsia="zh-CN"/>
              </w:rPr>
              <w:t>208</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社会保障和就业支出</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69.36</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lang w:val="en-US"/>
              </w:rPr>
            </w:pPr>
            <w:r>
              <w:rPr>
                <w:rFonts w:ascii="宋体" w:cs="宋体" w:hAnsi="宋体" w:hint="eastAsia"/>
                <w:b/>
                <w:bCs/>
                <w:color w:val="000000"/>
                <w:szCs w:val="21"/>
                <w:lang w:val="en-US" w:eastAsia="zh-CN"/>
              </w:rPr>
              <w:t>20.62</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48.74</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bCs/>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20805</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行政事业单位离退休</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20.62</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20.62</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val="en-US" w:eastAsia="zh-CN"/>
              </w:rPr>
              <w:t>2080505</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eastAsia="zh-CN"/>
              </w:rPr>
              <w:t>机关事业单位基本养老保险缴费支出</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color w:val="000000"/>
                <w:szCs w:val="21"/>
                <w:lang w:val="en-US" w:eastAsia="zh-CN"/>
              </w:rPr>
              <w:t>20.62</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color w:val="000000"/>
                <w:szCs w:val="21"/>
                <w:lang w:val="en-US" w:eastAsia="zh-CN"/>
              </w:rPr>
              <w:t>20.62</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20806</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企业改革补助</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48.74</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b/>
                <w:bCs/>
                <w:color w:val="000000"/>
                <w:szCs w:val="21"/>
                <w:lang w:val="en-US" w:eastAsia="zh-CN"/>
              </w:rPr>
              <w:t>48.74</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val="en-US" w:eastAsia="zh-CN"/>
              </w:rPr>
              <w:t>2080601</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eastAsia="zh-CN"/>
              </w:rPr>
              <w:t>企业关闭破产补助</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color w:val="000000"/>
                <w:szCs w:val="21"/>
                <w:lang w:val="en-US" w:eastAsia="zh-CN"/>
              </w:rPr>
              <w:t>48.74</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48.74</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210</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医疗卫生与计划生育支出</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44.66</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44.66</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21011</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行政事业单位医疗</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44.66</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44.66</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val="en-US" w:eastAsia="zh-CN"/>
              </w:rPr>
              <w:t>2101101</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eastAsia="zh-CN"/>
              </w:rPr>
              <w:t>行政单位医疗</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color w:val="000000"/>
                <w:szCs w:val="21"/>
                <w:lang w:val="en-US" w:eastAsia="zh-CN"/>
              </w:rPr>
              <w:t>44.66</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color w:val="000000"/>
                <w:szCs w:val="21"/>
                <w:lang w:val="en-US" w:eastAsia="zh-CN"/>
              </w:rPr>
              <w:t>44.66</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212</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城乡社区支出</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410.19</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b/>
                <w:bCs/>
                <w:color w:val="000000"/>
                <w:szCs w:val="21"/>
                <w:lang w:val="en-US" w:eastAsia="zh-CN"/>
              </w:rPr>
              <w:t>410.19</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21208</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国有土地使用权出让收入及对应专项债务收入安排的支出</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410.19</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b/>
                <w:bCs/>
                <w:color w:val="000000"/>
                <w:szCs w:val="21"/>
                <w:lang w:val="en-US" w:eastAsia="zh-CN"/>
              </w:rPr>
              <w:t>410.19</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val="en-US" w:eastAsia="zh-CN"/>
              </w:rPr>
              <w:t>2120809</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eastAsia="zh-CN"/>
              </w:rPr>
              <w:t>支付破产或改制企业职工安置费</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color w:val="000000"/>
                <w:szCs w:val="21"/>
                <w:lang w:val="en-US" w:eastAsia="zh-CN"/>
              </w:rPr>
              <w:t>405.19</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405.19</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val="en-US" w:eastAsia="zh-CN"/>
              </w:rPr>
              <w:t>2120899</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eastAsia="zh-CN"/>
              </w:rPr>
              <w:t>其他国有土地使用权出让收入安排的支出</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color w:val="000000"/>
                <w:szCs w:val="21"/>
                <w:lang w:val="en-US" w:eastAsia="zh-CN"/>
              </w:rPr>
              <w:t>5.00</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5.00</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216</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商业服务业等支出</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150.21</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131.52</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18.69</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21602</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商业流通事</w:t>
            </w:r>
            <w:r>
              <w:rPr>
                <w:rFonts w:ascii="宋体" w:cs="宋体" w:hAnsi="宋体"/>
                <w:b/>
                <w:bCs/>
                <w:color w:val="000000"/>
                <w:szCs w:val="21"/>
                <w:lang w:eastAsia="zh-CN"/>
              </w:rPr>
              <w:t>务</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150.21</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131.52</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18.69</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val="en-US" w:eastAsia="zh-CN"/>
              </w:rPr>
              <w:t>2160201</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eastAsia="zh-CN"/>
              </w:rPr>
              <w:t>行政运行</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color w:val="000000"/>
                <w:szCs w:val="21"/>
                <w:lang w:val="en-US" w:eastAsia="zh-CN"/>
              </w:rPr>
              <w:t>131.52</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color w:val="000000"/>
                <w:szCs w:val="21"/>
                <w:lang w:val="en-US" w:eastAsia="zh-CN"/>
              </w:rPr>
              <w:t>131.52</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val="en-US" w:eastAsia="zh-CN"/>
              </w:rPr>
              <w:t>2160202</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eastAsia="zh-CN"/>
              </w:rPr>
              <w:t>一般行政管理事</w:t>
            </w:r>
            <w:r>
              <w:rPr>
                <w:rFonts w:ascii="宋体" w:cs="宋体" w:hAnsi="宋体"/>
                <w:color w:val="000000"/>
                <w:szCs w:val="21"/>
                <w:lang w:eastAsia="zh-CN"/>
              </w:rPr>
              <w:t>务</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color w:val="000000"/>
                <w:szCs w:val="21"/>
                <w:lang w:val="en-US" w:eastAsia="zh-CN"/>
              </w:rPr>
              <w:t>18.69</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18.69</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221</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住房保障支出</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12.53</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12.53</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22102</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住房改革支出</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12.53</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12.53</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val="0"/>
                <w:bCs w:val="0"/>
                <w:color w:val="000000"/>
                <w:szCs w:val="21"/>
                <w:lang w:val="en-US" w:eastAsia="zh-CN"/>
              </w:rPr>
              <w:t>2210201</w:t>
            </w: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val="0"/>
                <w:bCs w:val="0"/>
                <w:color w:val="000000"/>
                <w:szCs w:val="21"/>
                <w:lang w:eastAsia="zh-CN"/>
              </w:rPr>
              <w:t>住房公积金</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val="0"/>
                <w:bCs w:val="0"/>
                <w:color w:val="000000"/>
                <w:szCs w:val="21"/>
                <w:lang w:val="en-US" w:eastAsia="zh-CN"/>
              </w:rPr>
              <w:t>12.53</w:t>
            </w: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val="0"/>
                <w:bCs w:val="0"/>
                <w:color w:val="000000"/>
                <w:szCs w:val="21"/>
                <w:lang w:val="en-US" w:eastAsia="zh-CN"/>
              </w:rPr>
              <w:t>12.53</w:t>
            </w: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468"/>
        </w:trPr>
        <w:tc>
          <w:tcPr>
            <w:tcW w:w="1382"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p>
        </w:tc>
        <w:tc>
          <w:tcPr>
            <w:tcW w:w="11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3"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08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748"/>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Cs w:val="21"/>
              </w:rPr>
            </w:pPr>
            <w:r>
              <w:rPr>
                <w:rFonts w:ascii="宋体" w:cs="宋体" w:hAnsi="宋体" w:hint="eastAsia"/>
                <w:color w:val="000000"/>
                <w:kern w:val="0"/>
                <w:szCs w:val="21"/>
              </w:rPr>
              <w:t>注：本表反映部门本年度各项支出情况。</w:t>
            </w:r>
          </w:p>
        </w:tc>
      </w:tr>
    </w:tbl>
    <w:p>
      <w:pPr>
        <w:widowControl/>
        <w:spacing w:after="0" w:line="560" w:lineRule="exact"/>
        <w:ind w:firstLineChars="200" w:firstLine="560"/>
        <w:jc w:val="left"/>
        <w:rPr>
          <w:rFonts w:ascii="仿宋_GB2312" w:eastAsia="仿宋_GB2312" w:hAnsi="宋体"/>
          <w:b/>
          <w:sz w:val="28"/>
          <w:szCs w:val="28"/>
          <w:highlight w:val="yellow"/>
        </w:rPr>
        <w:sectPr>
          <w:pgSz w:w="11906" w:h="16838"/>
          <w:pgMar w:top="2098" w:right="1474" w:bottom="1984" w:left="1588" w:header="851" w:footer="992" w:gutter="0"/>
          <w:pgNumType w:fmt="numberInDash"/>
          <w:cols w:num="1" w:space="0"/>
          <w:docGrid w:type="lines" w:linePitch="312" w:charSpace="0"/>
        </w:sectPr>
      </w:pPr>
    </w:p>
    <w:tbl>
      <w:tblPr>
        <w:jc w:val="left"/>
        <w:tblInd w:w="0" w:type="dxa"/>
        <w:tblW w:w="8940" w:type="dxa"/>
        <w:tblBorders>
          <w:top w:val="none" w:sz="0" w:space="0" w:color="auto"/>
          <w:left w:val="none" w:sz="0" w:space="0" w:color="auto"/>
          <w:bottom w:val="none" w:sz="0" w:space="0" w:color="auto"/>
          <w:right w:val="none" w:sz="0" w:space="0" w:color="auto"/>
        </w:tblBorders>
        <w:tblLayout w:type="fixed"/>
        <w:tblCellMar>
          <w:top w:w="0" w:type="dxa"/>
          <w:left w:w="0" w:type="dxa"/>
          <w:bottom w:w="0" w:type="dxa"/>
          <w:right w:w="0" w:type="dxa"/>
        </w:tblCellMar>
        <w:tblLook w:val="0600" w:firstRow="0" w:lastRow="0" w:firstColumn="0" w:lastColumn="0" w:noHBand="1" w:noVBand="1"/>
      </w:tblPr>
      <w:tblGrid>
        <w:gridCol w:w="1717"/>
        <w:gridCol w:w="745"/>
        <w:gridCol w:w="325"/>
        <w:gridCol w:w="850"/>
        <w:gridCol w:w="2124"/>
        <w:gridCol w:w="191"/>
        <w:gridCol w:w="360"/>
        <w:gridCol w:w="650"/>
        <w:gridCol w:w="226"/>
        <w:gridCol w:w="599"/>
        <w:gridCol w:w="277"/>
        <w:gridCol w:w="876"/>
      </w:tblGrid>
      <w:tr>
        <w:trPr>
          <w:trHeight w:val="152"/>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eastAsia="黑体" w:cs="黑体" w:hAnsi="宋体"/>
                <w:color w:val="000000"/>
                <w:sz w:val="40"/>
                <w:szCs w:val="40"/>
              </w:rPr>
            </w:pPr>
            <w:r>
              <w:rPr>
                <w:rFonts w:ascii="黑体" w:eastAsia="黑体" w:cs="黑体" w:hAnsi="宋体" w:hint="eastAsia"/>
                <w:color w:val="000000"/>
                <w:kern w:val="0"/>
                <w:sz w:val="40"/>
                <w:szCs w:val="40"/>
              </w:rPr>
              <w:t>财政拨款收入支出决</w:t>
            </w:r>
            <w:r>
              <w:rPr>
                <w:sz w:val="44"/>
              </w:rPr>
              <mc:AlternateContent>
                <mc:Choice Requires="wps">
                  <w:drawing>
                    <wp:anchor distT="0" distB="0" distL="0" distR="0" simplePos="0" relativeHeight="101" behindDoc="0" locked="1" layoutInCell="1" hidden="0" allowOverlap="1">
                      <wp:simplePos x="0" y="0"/>
                      <wp:positionH relativeFrom="column">
                        <wp:posOffset>-1027430</wp:posOffset>
                      </wp:positionH>
                      <wp:positionV relativeFrom="page">
                        <wp:posOffset>-1029969</wp:posOffset>
                      </wp:positionV>
                      <wp:extent cx="3088639" cy="523240"/>
                      <wp:effectExtent l="3175" t="0" r="13334" b="29208"/>
                      <wp:wrapNone/>
                      <wp:docPr id="1127" name="组合 43"/>
                      <wp:cNvGraphicFramePr>
                        <a:graphicFrameLocks noChangeAspect="0"/>
                      </wp:cNvGraphicFramePr>
                      <a:graphic>
                        <a:graphicData uri="http://schemas.microsoft.com/office/word/2010/wordprocessingGroup">
                          <wpg:wgp>
                            <wpg:cNvPr id="58" name="组合 43 58"/>
                            <wpg:cNvGrpSpPr/>
                            <wpg:grpSpPr>
                              <a:xfrm rot="0">
                                <a:off x="0" y="0"/>
                                <a:ext cx="3088639" cy="523240"/>
                                <a:chOff x="0" y="0"/>
                                <a:chExt cx="3088639" cy="523240"/>
                              </a:xfrm>
                              <a:prstGeom prst="rect"/>
                              <a:solidFill>
                                <a:srgbClr val="FFFFFF"/>
                              </a:solidFill>
                              <a:ln w="9525" cmpd="sng" cap="flat">
                                <a:solidFill>
                                  <a:srgbClr val="000000"/>
                                </a:solidFill>
                                <a:prstDash val="solid"/>
                                <a:miter/>
                              </a:ln>
                            </wpg:grpSpPr>
                            <wps:wsp>
                              <wps:cNvPr id="59" name="矩形 13 59 59"/>
                              <wps:cNvSpPr/>
                              <wps:spPr>
                                <a:xfrm rot="0">
                                  <a:off x="0" y="0"/>
                                  <a:ext cx="3088639" cy="439777"/>
                                </a:xfrm>
                                <a:prstGeom prst="rect"/>
                                <a:solidFill>
                                  <a:srgbClr val="D8D8D8"/>
                                </a:solidFill>
                                <a:ln cmpd="sng" cap="flat">
                                  <a:noFill/>
                                  <a:prstDash val="solid"/>
                                  <a:round/>
                                </a:ln>
                              </wps:spPr>
                              <wps:bodyPr vert="horz" wrap="square" lIns="91440" tIns="45720" rIns="91440" bIns="45720" anchor="t" anchorCtr="0" upright="0">
                                <a:noAutofit/>
                              </wps:bodyPr>
                            </wps:wsp>
                            <wps:wsp>
                              <wps:cNvPr id="60" name="矩形 14 60 60"/>
                              <wps:cNvSpPr/>
                              <wps:spPr>
                                <a:xfrm rot="0">
                                  <a:off x="9396" y="102927"/>
                                  <a:ext cx="3008405" cy="420313"/>
                                </a:xfrm>
                                <a:prstGeom prst="rect"/>
                                <a:solidFill>
                                  <a:srgbClr val="AD002D"/>
                                </a:solidFill>
                                <a:ln w="25400" cmpd="sng" cap="flat">
                                  <a:solidFill>
                                    <a:srgbClr val="AF7621"/>
                                  </a:solidFill>
                                  <a:prstDash val="solid"/>
                                  <a:round/>
                                </a:ln>
                              </wps:spPr>
                              <wps:txbx id="61">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43" o:spid="_x0000_s62" coordorigin="-30,476" coordsize="4863,824" style="position:absolute;margin-left:-80.9pt;margin-top:-81.09992pt;width:243.19992pt;height:41.200077pt;z-index:101;mso-position-horizontal:absolute;mso-position-vertical:absolute;mso-position-vertical-relative:page;mso-wrap-distance-left:0.0pt;mso-wrap-distance-right:0.0pt;">
                      <v:rect type="#_x0000_t1" id="矩形 13 59 59" o:spid="_x0000_s63" style="position:absolute;left:-30;top:476;width:4863;height:692;" fillcolor="#D8D8D8" stroked="f" strokeweight="-1.0pt">
                        <v:stroke/>
                      </v:rect>
                      <v:rect type="#_x0000_t1" id="_s64" o:spid="_x0000_s64" style="position:absolute;left:-15;top:638;width:4737;height:661;mso-wrap-style:square;" fillcolor="#AD002D" stroked="t" strokeweight="2.0pt">
                        <v:textbox id="861"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v:textbox>
                        <v:stroke color="#AF7621"/>
                      </v:rect>
                      <w10:anchorLock/>
                    </v:group>
                  </w:pict>
                </mc:Fallback>
              </mc:AlternateContent>
            </w:r>
            <w:r>
              <w:rPr>
                <w:rFonts w:ascii="黑体" w:eastAsia="黑体" w:cs="黑体" w:hAnsi="宋体" w:hint="eastAsia"/>
                <w:color w:val="000000"/>
                <w:kern w:val="0"/>
                <w:sz w:val="40"/>
                <w:szCs w:val="40"/>
              </w:rPr>
              <w:t>算总表</w:t>
            </w:r>
          </w:p>
        </w:tc>
      </w:tr>
      <w:tr>
        <w:trPr>
          <w:trHeight w:val="90"/>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cs="宋体" w:hAnsi="宋体"/>
                <w:color w:val="000000"/>
                <w:sz w:val="20"/>
                <w:szCs w:val="20"/>
              </w:rPr>
            </w:pPr>
            <w:r>
              <w:rPr>
                <w:rFonts w:ascii="宋体" w:cs="宋体" w:hAnsi="宋体" w:hint="eastAsia"/>
                <w:color w:val="000000"/>
                <w:kern w:val="0"/>
                <w:sz w:val="20"/>
                <w:szCs w:val="20"/>
              </w:rPr>
              <w:t>公开04表</w:t>
            </w:r>
          </w:p>
        </w:tc>
      </w:tr>
      <w:tr>
        <w:trPr>
          <w:trHeight w:val="152"/>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eastAsia="宋体" w:cs="宋体" w:hAnsi="宋体" w:hint="eastAsia"/>
                <w:color w:val="000000"/>
                <w:sz w:val="20"/>
                <w:szCs w:val="20"/>
                <w:lang w:eastAsia="zh-CN"/>
              </w:rPr>
            </w:pPr>
            <w:r>
              <w:rPr>
                <w:rFonts w:ascii="宋体" w:cs="宋体" w:hAnsi="宋体" w:hint="eastAsia"/>
                <w:color w:val="000000"/>
                <w:kern w:val="0"/>
                <w:sz w:val="20"/>
                <w:szCs w:val="20"/>
              </w:rPr>
              <w:t>部门：</w:t>
            </w:r>
            <w:r>
              <w:rPr>
                <w:rFonts w:ascii="宋体" w:cs="宋体" w:hAnsi="宋体" w:hint="eastAsia"/>
                <w:color w:val="000000"/>
                <w:kern w:val="0"/>
                <w:sz w:val="20"/>
                <w:szCs w:val="20"/>
                <w:lang w:eastAsia="zh-CN"/>
              </w:rPr>
              <w:t>遵化市供销合作社</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cs="宋体" w:hAnsi="宋体"/>
                <w:color w:val="000000"/>
                <w:sz w:val="20"/>
                <w:szCs w:val="20"/>
              </w:rPr>
            </w:pPr>
            <w:r>
              <w:rPr>
                <w:rFonts w:ascii="宋体" w:cs="宋体" w:hAnsi="宋体" w:hint="eastAsia"/>
                <w:color w:val="000000"/>
                <w:kern w:val="0"/>
                <w:sz w:val="20"/>
                <w:szCs w:val="20"/>
              </w:rPr>
              <w:t>金额单位：万元</w:t>
            </w:r>
          </w:p>
        </w:tc>
      </w:tr>
      <w:tr>
        <w:trPr>
          <w:trHeight w:val="90"/>
        </w:trPr>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20"/>
                <w:szCs w:val="20"/>
              </w:rPr>
            </w:pPr>
            <w:r>
              <w:rPr>
                <w:rFonts w:ascii="宋体" w:cs="宋体" w:hAnsi="宋体" w:hint="eastAsia"/>
                <w:color w:val="000000"/>
                <w:kern w:val="0"/>
                <w:sz w:val="20"/>
                <w:szCs w:val="20"/>
              </w:rPr>
              <w:t>收     入</w:t>
            </w:r>
          </w:p>
        </w:tc>
        <w:tc>
          <w:tcPr>
            <w:tcW w:w="6153" w:type="dxa"/>
            <w:gridSpan w:val="9"/>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20"/>
                <w:szCs w:val="20"/>
              </w:rPr>
            </w:pPr>
            <w:r>
              <w:rPr>
                <w:rFonts w:ascii="宋体" w:cs="宋体" w:hAnsi="宋体" w:hint="eastAsia"/>
                <w:color w:val="000000"/>
                <w:kern w:val="0"/>
                <w:sz w:val="20"/>
                <w:szCs w:val="20"/>
              </w:rPr>
              <w:t>支     出</w:t>
            </w:r>
          </w:p>
        </w:tc>
      </w:tr>
      <w:tr>
        <w:trPr>
          <w:trHeight w:val="17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项目</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行次</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金额</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项目</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行次</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合计</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一般公共预算财政拨款</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政府性基金预算财政拨款</w:t>
            </w: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栏次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rPr>
                <w:rFonts w:ascii="宋体" w:cs="宋体" w:hAnsi="宋体"/>
                <w:color w:val="000000"/>
                <w:sz w:val="18"/>
                <w:szCs w:val="18"/>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1</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栏次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4</w:t>
            </w:r>
          </w:p>
        </w:tc>
      </w:tr>
      <w:tr>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一、一般公共预算财政拨款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一、一般公共服务支出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29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二、政府性基金预算财政拨款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二、外交支出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30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三、国防支出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31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四、公共安全支出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32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五、教育支出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33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六、科学技术支出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34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七、文化体育与传媒支出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35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八、社会保障和就业支出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36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69.36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69.36</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9</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6"/>
                <w:szCs w:val="16"/>
              </w:rPr>
              <w:t>九、医疗卫生与计划生育支出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37</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44.66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44.66</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10</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十、节能环保支出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38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11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十一、城乡社区支出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39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410.19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410.19</w:t>
            </w: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12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十二、农林水支出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40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13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十三、交通运输支出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41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14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十四、资源勘探信息等支出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42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15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十五、商业服务业等支出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43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150.21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150.21</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16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十六、金融支出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44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17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十七、援助其他地区支出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45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18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十八、国土海洋气象等支出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46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19</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十九、住房保障支出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47</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12.53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12.53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20</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二十、粮油物资储备支出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48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21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二十一、其他支出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49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22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二十二、债务还本支出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50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23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二十三、债务付息支出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51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b/>
                <w:color w:val="000000"/>
                <w:sz w:val="18"/>
                <w:szCs w:val="18"/>
              </w:rPr>
            </w:pPr>
            <w:r>
              <w:rPr>
                <w:rFonts w:ascii="宋体" w:cs="宋体" w:hAnsi="宋体" w:hint="eastAsia"/>
                <w:b/>
                <w:color w:val="000000"/>
                <w:kern w:val="0"/>
                <w:sz w:val="18"/>
                <w:szCs w:val="18"/>
              </w:rPr>
              <w:t>本年收入合计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24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b/>
                <w:color w:val="000000"/>
                <w:sz w:val="18"/>
                <w:szCs w:val="18"/>
              </w:rPr>
            </w:pPr>
            <w:r>
              <w:rPr>
                <w:rFonts w:ascii="宋体" w:cs="宋体" w:hAnsi="宋体" w:hint="eastAsia"/>
                <w:b/>
                <w:color w:val="000000"/>
                <w:kern w:val="0"/>
                <w:sz w:val="18"/>
                <w:szCs w:val="18"/>
              </w:rPr>
              <w:t>本年支出合计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52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686.95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276.76</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410.19</w:t>
            </w:r>
          </w:p>
        </w:tc>
      </w:tr>
      <w:tr>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年初财政拨款结转和结余</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25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年末财政拨款结转和结余</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53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 xml:space="preserve">  一般公共预算财政拨款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26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54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 xml:space="preserve">  政府性基金预算财政拨款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27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 w:val="18"/>
                <w:szCs w:val="18"/>
              </w:rPr>
            </w:pP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55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r>
      <w:tr>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b/>
                <w:color w:val="000000"/>
                <w:sz w:val="18"/>
                <w:szCs w:val="18"/>
              </w:rPr>
            </w:pPr>
            <w:r>
              <w:rPr>
                <w:rFonts w:ascii="宋体" w:cs="宋体" w:hAnsi="宋体" w:hint="eastAsia"/>
                <w:b/>
                <w:color w:val="000000"/>
                <w:kern w:val="0"/>
                <w:sz w:val="18"/>
                <w:szCs w:val="18"/>
              </w:rPr>
              <w:t>总计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28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b/>
                <w:color w:val="000000"/>
                <w:sz w:val="18"/>
                <w:szCs w:val="18"/>
              </w:rPr>
            </w:pPr>
            <w:r>
              <w:rPr>
                <w:rFonts w:ascii="宋体" w:cs="宋体" w:hAnsi="宋体" w:hint="eastAsia"/>
                <w:b/>
                <w:color w:val="000000"/>
                <w:kern w:val="0"/>
                <w:sz w:val="18"/>
                <w:szCs w:val="18"/>
              </w:rPr>
              <w:t>总计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 w:val="18"/>
                <w:szCs w:val="18"/>
              </w:rPr>
            </w:pPr>
            <w:r>
              <w:rPr>
                <w:rFonts w:ascii="宋体" w:cs="宋体" w:hAnsi="宋体" w:hint="eastAsia"/>
                <w:color w:val="000000"/>
                <w:kern w:val="0"/>
                <w:sz w:val="18"/>
                <w:szCs w:val="18"/>
              </w:rPr>
              <w:t>56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686.95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276.76</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 w:val="18"/>
                <w:szCs w:val="18"/>
                <w:lang w:val="en-US" w:eastAsia="zh-CN"/>
              </w:rPr>
            </w:pPr>
            <w:r>
              <w:rPr>
                <w:rFonts w:ascii="宋体" w:cs="宋体" w:hAnsi="宋体" w:hint="eastAsia"/>
                <w:color w:val="000000"/>
                <w:sz w:val="18"/>
                <w:szCs w:val="18"/>
                <w:lang w:val="en-US" w:eastAsia="zh-CN"/>
              </w:rPr>
              <w:t>410.19</w:t>
            </w:r>
          </w:p>
        </w:tc>
      </w:tr>
      <w:tr>
        <w:trPr>
          <w:trHeight w:val="155"/>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 w:val="18"/>
                <w:szCs w:val="18"/>
              </w:rPr>
            </w:pPr>
            <w:r>
              <w:rPr>
                <w:rFonts w:ascii="宋体" w:cs="宋体" w:hAnsi="宋体" w:hint="eastAsia"/>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宋体"/>
          <w:b/>
          <w:sz w:val="28"/>
          <w:szCs w:val="28"/>
          <w:highlight w:val="yellow"/>
        </w:rPr>
        <w:sectPr>
          <w:pgSz w:w="11906" w:h="16838"/>
          <w:pgMar w:top="2098" w:right="1474" w:bottom="1984" w:left="1588" w:header="851" w:footer="992" w:gutter="0"/>
          <w:pgNumType w:fmt="numberInDash"/>
          <w:cols w:num="1" w:space="0"/>
          <w:docGrid w:type="lines" w:linePitch="312" w:charSpace="0"/>
        </w:sectPr>
      </w:pPr>
    </w:p>
    <w:tbl>
      <w:tblPr>
        <w:jc w:val="left"/>
        <w:tblInd w:w="0" w:type="dxa"/>
        <w:tblW w:w="9210" w:type="dxa"/>
        <w:tblBorders>
          <w:top w:val="none" w:sz="0" w:space="0" w:color="auto"/>
          <w:left w:val="none" w:sz="0" w:space="0" w:color="auto"/>
          <w:bottom w:val="none" w:sz="0" w:space="0" w:color="auto"/>
          <w:right w:val="none" w:sz="0" w:space="0" w:color="auto"/>
        </w:tblBorders>
        <w:tblLayout w:type="fixed"/>
        <w:tblCellMar>
          <w:top w:w="0" w:type="dxa"/>
          <w:left w:w="0" w:type="dxa"/>
          <w:bottom w:w="0" w:type="dxa"/>
          <w:right w:w="0" w:type="dxa"/>
        </w:tblCellMar>
        <w:tblLook w:val="0600" w:firstRow="0" w:lastRow="0" w:firstColumn="0" w:lastColumn="0" w:noHBand="1" w:noVBand="1"/>
      </w:tblPr>
      <w:tblGrid>
        <w:gridCol w:w="317"/>
        <w:gridCol w:w="319"/>
        <w:gridCol w:w="357"/>
        <w:gridCol w:w="2109"/>
        <w:gridCol w:w="745"/>
        <w:gridCol w:w="1174"/>
        <w:gridCol w:w="718"/>
        <w:gridCol w:w="1201"/>
        <w:gridCol w:w="2270"/>
      </w:tblGrid>
      <w:tr>
        <w:trPr>
          <w:trHeight w:val="600"/>
        </w:trPr>
        <w:tc>
          <w:tcPr>
            <w:tcW w:w="921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eastAsia="黑体" w:cs="黑体" w:hAnsi="宋体"/>
                <w:color w:val="000000"/>
                <w:sz w:val="40"/>
                <w:szCs w:val="40"/>
              </w:rPr>
            </w:pPr>
            <w:r>
              <w:rPr>
                <w:rFonts w:ascii="黑体" w:eastAsia="黑体" w:cs="黑体" w:hAnsi="宋体" w:hint="eastAsia"/>
                <w:color w:val="000000"/>
                <w:kern w:val="0"/>
                <w:sz w:val="40"/>
                <w:szCs w:val="40"/>
              </w:rPr>
              <w:t>一般公共预算财政拨</w:t>
            </w:r>
            <w:r>
              <w:rPr>
                <w:sz w:val="44"/>
              </w:rPr>
              <mc:AlternateContent>
                <mc:Choice Requires="wps">
                  <w:drawing>
                    <wp:anchor distT="0" distB="0" distL="0" distR="0" simplePos="0" relativeHeight="103" behindDoc="0" locked="1" layoutInCell="1" hidden="0" allowOverlap="1">
                      <wp:simplePos x="0" y="0"/>
                      <wp:positionH relativeFrom="column">
                        <wp:posOffset>-1027430</wp:posOffset>
                      </wp:positionH>
                      <wp:positionV relativeFrom="page">
                        <wp:posOffset>-1029969</wp:posOffset>
                      </wp:positionV>
                      <wp:extent cx="3088639" cy="523240"/>
                      <wp:effectExtent l="3175" t="0" r="13334" b="29208"/>
                      <wp:wrapNone/>
                      <wp:docPr id="1128" name="组合 46"/>
                      <wp:cNvGraphicFramePr>
                        <a:graphicFrameLocks noChangeAspect="0"/>
                      </wp:cNvGraphicFramePr>
                      <a:graphic>
                        <a:graphicData uri="http://schemas.microsoft.com/office/word/2010/wordprocessingGroup">
                          <wpg:wgp>
                            <wpg:cNvPr id="65" name="组合 46 65"/>
                            <wpg:cNvGrpSpPr/>
                            <wpg:grpSpPr>
                              <a:xfrm rot="0">
                                <a:off x="0" y="0"/>
                                <a:ext cx="3088639" cy="523240"/>
                                <a:chOff x="0" y="0"/>
                                <a:chExt cx="3088639" cy="523240"/>
                              </a:xfrm>
                              <a:prstGeom prst="rect"/>
                              <a:solidFill>
                                <a:srgbClr val="FFFFFF"/>
                              </a:solidFill>
                              <a:ln w="9525" cmpd="sng" cap="flat">
                                <a:solidFill>
                                  <a:srgbClr val="000000"/>
                                </a:solidFill>
                                <a:prstDash val="solid"/>
                                <a:miter/>
                              </a:ln>
                            </wpg:grpSpPr>
                            <wps:wsp>
                              <wps:cNvPr id="66" name="矩形 15 66 66"/>
                              <wps:cNvSpPr/>
                              <wps:spPr>
                                <a:xfrm rot="0">
                                  <a:off x="0" y="0"/>
                                  <a:ext cx="3088639" cy="439777"/>
                                </a:xfrm>
                                <a:prstGeom prst="rect"/>
                                <a:solidFill>
                                  <a:srgbClr val="D8D8D8"/>
                                </a:solidFill>
                                <a:ln cmpd="sng" cap="flat">
                                  <a:noFill/>
                                  <a:prstDash val="solid"/>
                                  <a:round/>
                                </a:ln>
                              </wps:spPr>
                              <wps:bodyPr vert="horz" wrap="square" lIns="91440" tIns="45720" rIns="91440" bIns="45720" anchor="t" anchorCtr="0" upright="0">
                                <a:noAutofit/>
                              </wps:bodyPr>
                            </wps:wsp>
                            <wps:wsp>
                              <wps:cNvPr id="67" name="矩形 16 67 67"/>
                              <wps:cNvSpPr/>
                              <wps:spPr>
                                <a:xfrm rot="0">
                                  <a:off x="9396" y="102927"/>
                                  <a:ext cx="3008405" cy="420313"/>
                                </a:xfrm>
                                <a:prstGeom prst="rect"/>
                                <a:solidFill>
                                  <a:srgbClr val="AD002D"/>
                                </a:solidFill>
                                <a:ln w="25400" cmpd="sng" cap="flat">
                                  <a:solidFill>
                                    <a:srgbClr val="AF7621"/>
                                  </a:solidFill>
                                  <a:prstDash val="solid"/>
                                  <a:round/>
                                </a:ln>
                              </wps:spPr>
                              <wps:txbx id="68">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46" o:spid="_x0000_s69" coordorigin="-30,476" coordsize="4863,824" style="position:absolute;margin-left:-80.9pt;margin-top:-81.09992pt;width:243.19992pt;height:41.200077pt;z-index:103;mso-position-horizontal:absolute;mso-position-vertical:absolute;mso-position-vertical-relative:page;mso-wrap-distance-left:0.0pt;mso-wrap-distance-right:0.0pt;">
                      <v:rect type="#_x0000_t1" id="矩形 15 66 66" o:spid="_x0000_s70" style="position:absolute;left:-30;top:476;width:4863;height:692;" fillcolor="#D8D8D8" stroked="f" strokeweight="-1.0pt">
                        <v:stroke/>
                      </v:rect>
                      <v:rect type="#_x0000_t1" id="_s71" o:spid="_x0000_s71" style="position:absolute;left:-15;top:638;width:4737;height:661;mso-wrap-style:square;" fillcolor="#AD002D" stroked="t" strokeweight="2.0pt">
                        <v:textbox id="862"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v:textbox>
                        <v:stroke color="#AF7621"/>
                      </v:rect>
                      <w10:anchorLock/>
                    </v:group>
                  </w:pict>
                </mc:Fallback>
              </mc:AlternateContent>
            </w:r>
            <w:r>
              <w:rPr>
                <w:rFonts w:ascii="黑体" w:eastAsia="黑体" w:cs="黑体" w:hAnsi="宋体" w:hint="eastAsia"/>
                <w:color w:val="000000"/>
                <w:kern w:val="0"/>
                <w:sz w:val="40"/>
                <w:szCs w:val="40"/>
              </w:rPr>
              <w:t>款支出决算表</w:t>
            </w:r>
          </w:p>
        </w:tc>
      </w:tr>
      <w:tr>
        <w:trPr>
          <w:trHeight w:val="334"/>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347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cs="宋体" w:hAnsi="宋体"/>
                <w:color w:val="000000"/>
                <w:szCs w:val="21"/>
              </w:rPr>
            </w:pPr>
            <w:r>
              <w:rPr>
                <w:rFonts w:ascii="宋体" w:cs="宋体" w:hAnsi="宋体" w:hint="eastAsia"/>
                <w:color w:val="000000"/>
                <w:kern w:val="0"/>
                <w:szCs w:val="21"/>
              </w:rPr>
              <w:t>公开05表</w:t>
            </w:r>
          </w:p>
        </w:tc>
      </w:tr>
      <w:tr>
        <w:trPr>
          <w:trHeight w:val="334"/>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eastAsia="宋体" w:cs="宋体" w:hAnsi="宋体" w:hint="eastAsia"/>
                <w:color w:val="000000"/>
                <w:szCs w:val="21"/>
                <w:lang w:eastAsia="zh-CN"/>
              </w:rPr>
            </w:pPr>
            <w:r>
              <w:rPr>
                <w:rFonts w:ascii="宋体" w:cs="宋体" w:hAnsi="宋体" w:hint="eastAsia"/>
                <w:color w:val="000000"/>
                <w:kern w:val="0"/>
                <w:szCs w:val="21"/>
              </w:rPr>
              <w:t>部门：</w:t>
            </w:r>
            <w:r>
              <w:rPr>
                <w:rFonts w:ascii="宋体" w:cs="宋体" w:hAnsi="宋体" w:hint="eastAsia"/>
                <w:color w:val="000000"/>
                <w:kern w:val="0"/>
                <w:szCs w:val="21"/>
                <w:lang w:eastAsia="zh-CN"/>
              </w:rPr>
              <w:t>遵化市供销合作社</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cs="Arial" w:hAnsi="Arial"/>
                <w:color w:val="000000"/>
                <w:szCs w:val="21"/>
              </w:rPr>
            </w:pPr>
          </w:p>
        </w:tc>
        <w:tc>
          <w:tcPr>
            <w:tcW w:w="347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cs="宋体" w:hAnsi="宋体"/>
                <w:color w:val="000000"/>
                <w:szCs w:val="21"/>
              </w:rPr>
            </w:pPr>
            <w:r>
              <w:rPr>
                <w:rFonts w:ascii="宋体" w:cs="宋体" w:hAnsi="宋体" w:hint="eastAsia"/>
                <w:color w:val="000000"/>
                <w:kern w:val="0"/>
                <w:szCs w:val="21"/>
              </w:rPr>
              <w:t>金额单位：万元</w:t>
            </w:r>
          </w:p>
        </w:tc>
      </w:tr>
      <w:tr>
        <w:trPr>
          <w:trHeight w:val="351"/>
        </w:trPr>
        <w:tc>
          <w:tcPr>
            <w:tcW w:w="310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项目</w:t>
            </w:r>
          </w:p>
        </w:tc>
        <w:tc>
          <w:tcPr>
            <w:tcW w:w="6108" w:type="dxa"/>
            <w:gridSpan w:val="5"/>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本年支出</w:t>
            </w:r>
          </w:p>
        </w:tc>
      </w:tr>
      <w:tr>
        <w:trPr>
          <w:trHeight w:val="334"/>
        </w:trPr>
        <w:tc>
          <w:tcPr>
            <w:tcW w:w="993"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功能分类科目编码</w:t>
            </w:r>
          </w:p>
        </w:tc>
        <w:tc>
          <w:tcPr>
            <w:tcW w:w="2109"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科目名称</w:t>
            </w:r>
          </w:p>
        </w:tc>
        <w:tc>
          <w:tcPr>
            <w:tcW w:w="191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小计</w:t>
            </w:r>
          </w:p>
        </w:tc>
        <w:tc>
          <w:tcPr>
            <w:tcW w:w="191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基本支出</w:t>
            </w:r>
          </w:p>
        </w:tc>
        <w:tc>
          <w:tcPr>
            <w:tcW w:w="227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项目支出</w:t>
            </w:r>
          </w:p>
        </w:tc>
      </w:tr>
      <w:tr>
        <w:trPr>
          <w:trHeight w:val="334"/>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tc>
        <w:tc>
          <w:tcPr>
            <w:tcW w:w="210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227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r>
      <w:tr>
        <w:trPr>
          <w:trHeight w:val="312"/>
        </w:trPr>
        <w:tc>
          <w:tcPr>
            <w:tcW w:w="993"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tc>
        <w:tc>
          <w:tcPr>
            <w:tcW w:w="2109"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191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227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r>
      <w:tr>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栏次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1</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2</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3</w:t>
            </w:r>
          </w:p>
        </w:tc>
      </w:tr>
      <w:tr>
        <w:trPr>
          <w:trHeight w:val="368"/>
        </w:trPr>
        <w:tc>
          <w:tcPr>
            <w:tcW w:w="3102"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cs="宋体" w:hAnsi="宋体"/>
                <w:color w:val="000000"/>
                <w:szCs w:val="21"/>
              </w:rPr>
            </w:pPr>
            <w:r>
              <w:rPr>
                <w:rFonts w:ascii="宋体" w:cs="宋体" w:hAnsi="宋体" w:hint="eastAsia"/>
                <w:color w:val="000000"/>
                <w:kern w:val="0"/>
                <w:szCs w:val="21"/>
              </w:rPr>
              <w:t>合计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color w:val="000000"/>
                <w:szCs w:val="21"/>
                <w:lang w:val="en-US" w:eastAsia="zh-CN"/>
              </w:rPr>
            </w:pPr>
            <w:r>
              <w:rPr>
                <w:rFonts w:ascii="宋体" w:cs="宋体" w:hAnsi="宋体" w:hint="eastAsia"/>
                <w:b/>
                <w:color w:val="000000"/>
                <w:szCs w:val="21"/>
                <w:lang w:val="en-US" w:eastAsia="zh-CN"/>
              </w:rPr>
              <w:t>276.76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color w:val="000000"/>
                <w:szCs w:val="21"/>
                <w:lang w:val="en-US" w:eastAsia="zh-CN"/>
              </w:rPr>
            </w:pPr>
            <w:r>
              <w:rPr>
                <w:rFonts w:ascii="宋体" w:cs="宋体" w:hAnsi="宋体" w:hint="eastAsia"/>
                <w:b/>
                <w:color w:val="000000"/>
                <w:szCs w:val="21"/>
                <w:lang w:val="en-US" w:eastAsia="zh-CN"/>
              </w:rPr>
              <w:t>209.33</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color w:val="000000"/>
                <w:szCs w:val="21"/>
                <w:lang w:val="en-US" w:eastAsia="zh-CN"/>
              </w:rPr>
            </w:pPr>
            <w:r>
              <w:rPr>
                <w:rFonts w:ascii="宋体" w:cs="宋体" w:hAnsi="宋体" w:hint="eastAsia"/>
                <w:b/>
                <w:color w:val="000000"/>
                <w:szCs w:val="21"/>
                <w:lang w:val="en-US" w:eastAsia="zh-CN"/>
              </w:rPr>
              <w:t>67.43</w:t>
            </w: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208</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社会保障和就业支出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69.36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20.62</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48.74</w:t>
            </w: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20805</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行政事业单位离退休</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20.62</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20.62</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bCs/>
                <w:color w:val="000000"/>
                <w:szCs w:val="21"/>
              </w:rPr>
            </w:pP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val="en-US" w:eastAsia="zh-CN"/>
              </w:rPr>
              <w:t>2080505</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eastAsia="zh-CN"/>
              </w:rPr>
              <w:t>机关事业单位基本养老保险缴费支出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20.62</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20.62</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b/>
                <w:bCs/>
                <w:color w:val="000000"/>
                <w:szCs w:val="21"/>
              </w:rPr>
            </w:pPr>
            <w:r>
              <w:rPr>
                <w:rFonts w:ascii="宋体" w:cs="宋体" w:hAnsi="宋体" w:hint="eastAsia"/>
                <w:b/>
                <w:bCs/>
                <w:color w:val="000000"/>
                <w:szCs w:val="21"/>
                <w:lang w:val="en-US" w:eastAsia="zh-CN"/>
              </w:rPr>
              <w:t>20806</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b/>
                <w:bCs/>
                <w:color w:val="000000"/>
                <w:szCs w:val="21"/>
              </w:rPr>
            </w:pPr>
            <w:r>
              <w:rPr>
                <w:rFonts w:ascii="宋体" w:cs="宋体" w:hAnsi="宋体" w:hint="eastAsia"/>
                <w:b/>
                <w:bCs/>
                <w:color w:val="000000"/>
                <w:szCs w:val="21"/>
                <w:lang w:eastAsia="zh-CN"/>
              </w:rPr>
              <w:t>企业改革补助</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48.74</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bCs/>
                <w:color w:val="000000"/>
                <w:szCs w:val="21"/>
              </w:rPr>
            </w:pP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48.74</w:t>
            </w: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val="en-US" w:eastAsia="zh-CN"/>
              </w:rPr>
              <w:t>2080601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eastAsia="zh-CN"/>
              </w:rPr>
              <w:t>企业关闭破产补助</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48.74</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48.74</w:t>
            </w: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210</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b/>
                <w:bCs/>
                <w:color w:val="000000"/>
                <w:szCs w:val="21"/>
              </w:rPr>
            </w:pPr>
            <w:r>
              <w:rPr>
                <w:rFonts w:ascii="宋体" w:cs="宋体" w:hAnsi="宋体" w:hint="eastAsia"/>
                <w:b/>
                <w:bCs/>
                <w:color w:val="000000"/>
                <w:szCs w:val="21"/>
                <w:lang w:eastAsia="zh-CN"/>
              </w:rPr>
              <w:t>医疗卫生与计划生育支出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44.66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44.66</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bCs/>
                <w:color w:val="000000"/>
                <w:szCs w:val="21"/>
              </w:rPr>
            </w:pP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21011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行政事业单位医疗</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44.66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44.66</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val="en-US" w:eastAsia="zh-CN"/>
              </w:rPr>
              <w:t>2101101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eastAsia="zh-CN"/>
              </w:rPr>
              <w:t>行政单位医疗</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44.66</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44.66</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216</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商业服务业等支出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150.21</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bCs/>
                <w:color w:val="000000"/>
                <w:szCs w:val="21"/>
              </w:rPr>
            </w:pPr>
            <w:r>
              <w:rPr>
                <w:rFonts w:ascii="宋体" w:cs="宋体" w:hAnsi="宋体" w:hint="eastAsia"/>
                <w:b/>
                <w:bCs/>
                <w:color w:val="000000"/>
                <w:szCs w:val="21"/>
                <w:lang w:val="en-US" w:eastAsia="zh-CN"/>
              </w:rPr>
              <w:t>131.52</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18.69</w:t>
            </w: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21602</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商业流通事</w:t>
            </w:r>
            <w:r>
              <w:rPr>
                <w:rFonts w:ascii="宋体" w:cs="宋体" w:hAnsi="宋体"/>
                <w:b/>
                <w:bCs/>
                <w:color w:val="000000"/>
                <w:szCs w:val="21"/>
                <w:lang w:eastAsia="zh-CN"/>
              </w:rPr>
              <w:t>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150.21</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b/>
                <w:bCs/>
                <w:color w:val="000000"/>
                <w:szCs w:val="21"/>
              </w:rPr>
            </w:pPr>
            <w:r>
              <w:rPr>
                <w:rFonts w:ascii="宋体" w:cs="宋体" w:hAnsi="宋体" w:hint="eastAsia"/>
                <w:b/>
                <w:bCs/>
                <w:color w:val="000000"/>
                <w:szCs w:val="21"/>
                <w:lang w:val="en-US" w:eastAsia="zh-CN"/>
              </w:rPr>
              <w:t>131.52</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b/>
                <w:bCs/>
                <w:color w:val="000000"/>
                <w:szCs w:val="21"/>
                <w:lang w:val="en-US" w:eastAsia="zh-CN"/>
              </w:rPr>
            </w:pPr>
            <w:r>
              <w:rPr>
                <w:rFonts w:ascii="宋体" w:cs="宋体" w:hAnsi="宋体" w:hint="eastAsia"/>
                <w:b/>
                <w:bCs/>
                <w:color w:val="000000"/>
                <w:szCs w:val="21"/>
                <w:lang w:val="en-US" w:eastAsia="zh-CN"/>
              </w:rPr>
              <w:t>18.69</w:t>
            </w: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val="en-US" w:eastAsia="zh-CN"/>
              </w:rPr>
              <w:t>2160201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eastAsia="zh-CN"/>
              </w:rPr>
              <w:t>行政运行</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color w:val="000000"/>
                <w:szCs w:val="21"/>
                <w:lang w:val="en-US" w:eastAsia="zh-CN"/>
              </w:rPr>
              <w:t>131.52</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color w:val="000000"/>
                <w:szCs w:val="21"/>
                <w:lang w:val="en-US" w:eastAsia="zh-CN"/>
              </w:rPr>
              <w:t>131.52</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val="en-US" w:eastAsia="zh-CN"/>
              </w:rPr>
              <w:t>2160202</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color w:val="000000"/>
                <w:szCs w:val="21"/>
                <w:lang w:eastAsia="zh-CN"/>
              </w:rPr>
              <w:t>一般行政管理事</w:t>
            </w:r>
            <w:r>
              <w:rPr>
                <w:rFonts w:ascii="宋体" w:cs="宋体" w:hAnsi="宋体"/>
                <w:color w:val="000000"/>
                <w:szCs w:val="21"/>
                <w:lang w:eastAsia="zh-CN"/>
              </w:rPr>
              <w:t>务</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color w:val="000000"/>
                <w:szCs w:val="21"/>
                <w:lang w:val="en-US" w:eastAsia="zh-CN"/>
              </w:rPr>
              <w:t>18.69</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18.69</w:t>
            </w: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221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住房保障支出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12.53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12.53</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val="en-US" w:eastAsia="zh-CN"/>
              </w:rPr>
              <w:t>22102</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bCs/>
                <w:color w:val="000000"/>
                <w:szCs w:val="21"/>
                <w:lang w:eastAsia="zh-CN"/>
              </w:rPr>
              <w:t>住房改革支出</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12.53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bCs/>
                <w:color w:val="000000"/>
                <w:szCs w:val="21"/>
                <w:lang w:val="en-US" w:eastAsia="zh-CN"/>
              </w:rPr>
              <w:t>12.53</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val="0"/>
                <w:bCs w:val="0"/>
                <w:color w:val="000000"/>
                <w:szCs w:val="21"/>
                <w:lang w:val="en-US" w:eastAsia="zh-CN"/>
              </w:rPr>
              <w:t>2210201</w:t>
            </w: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r>
              <w:rPr>
                <w:rFonts w:ascii="宋体" w:cs="宋体" w:hAnsi="宋体" w:hint="eastAsia"/>
                <w:b w:val="0"/>
                <w:bCs w:val="0"/>
                <w:color w:val="000000"/>
                <w:szCs w:val="21"/>
                <w:lang w:eastAsia="zh-CN"/>
              </w:rPr>
              <w:t>住房公积金</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val="0"/>
                <w:bCs w:val="0"/>
                <w:color w:val="000000"/>
                <w:szCs w:val="21"/>
                <w:lang w:val="en-US" w:eastAsia="zh-CN"/>
              </w:rPr>
              <w:t>12.53</w:t>
            </w: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r>
              <w:rPr>
                <w:rFonts w:ascii="宋体" w:cs="宋体" w:hAnsi="宋体" w:hint="eastAsia"/>
                <w:b w:val="0"/>
                <w:bCs w:val="0"/>
                <w:color w:val="000000"/>
                <w:szCs w:val="21"/>
                <w:lang w:val="en-US" w:eastAsia="zh-CN"/>
              </w:rPr>
              <w:t>12.53</w:t>
            </w: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68"/>
        </w:trPr>
        <w:tc>
          <w:tcPr>
            <w:tcW w:w="993"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p>
        </w:tc>
        <w:tc>
          <w:tcPr>
            <w:tcW w:w="21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left"/>
              <w:rPr>
                <w:rFonts w:ascii="宋体" w:cs="宋体" w:hAnsi="宋体"/>
                <w:color w:val="000000"/>
                <w:szCs w:val="21"/>
              </w:rPr>
            </w:pP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191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c>
          <w:tcPr>
            <w:tcW w:w="22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tLeast"/>
              <w:jc w:val="right"/>
              <w:rPr>
                <w:rFonts w:ascii="宋体" w:cs="宋体" w:hAnsi="宋体"/>
                <w:color w:val="000000"/>
                <w:szCs w:val="21"/>
              </w:rPr>
            </w:pPr>
          </w:p>
        </w:tc>
      </w:tr>
      <w:tr>
        <w:trPr>
          <w:trHeight w:val="368"/>
        </w:trPr>
        <w:tc>
          <w:tcPr>
            <w:tcW w:w="921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cs="宋体" w:hAnsi="宋体"/>
                <w:color w:val="000000"/>
                <w:szCs w:val="21"/>
              </w:rPr>
            </w:pPr>
            <w:r>
              <w:rPr>
                <w:rFonts w:ascii="宋体" w:cs="宋体" w:hAnsi="宋体" w:hint="eastAsia"/>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宋体"/>
          <w:b/>
          <w:sz w:val="28"/>
          <w:szCs w:val="28"/>
          <w:highlight w:val="yellow"/>
        </w:rPr>
        <w:sectPr>
          <w:pgSz w:w="11906" w:h="16838"/>
          <w:pgMar w:top="2098" w:right="1474" w:bottom="1984" w:left="1588" w:header="851" w:footer="992" w:gutter="0"/>
          <w:pgNumType w:fmt="numberInDash"/>
          <w:cols w:num="1" w:space="0"/>
          <w:docGrid w:type="lines" w:linePitch="312" w:charSpace="0"/>
        </w:sectPr>
      </w:pPr>
    </w:p>
    <w:tbl>
      <w:tblPr>
        <w:jc w:val="center"/>
        <w:tblW w:w="9180" w:type="dxa"/>
        <w:tblBorders>
          <w:top w:val="none" w:sz="0" w:space="0" w:color="auto"/>
          <w:left w:val="none" w:sz="0" w:space="0" w:color="auto"/>
          <w:bottom w:val="none" w:sz="0" w:space="0" w:color="auto"/>
          <w:right w:val="none" w:sz="0" w:space="0" w:color="auto"/>
        </w:tblBorders>
        <w:tblLayout w:type="fixed"/>
        <w:tblCellMar>
          <w:top w:w="0" w:type="dxa"/>
          <w:left w:w="0" w:type="dxa"/>
          <w:bottom w:w="0" w:type="dxa"/>
          <w:right w:w="0" w:type="dxa"/>
        </w:tblCellMar>
        <w:tblLook w:val="0600" w:firstRow="0" w:lastRow="0" w:firstColumn="0" w:lastColumn="0" w:noHBand="1" w:noVBand="1"/>
      </w:tblPr>
      <w:tblGrid>
        <w:gridCol w:w="558"/>
        <w:gridCol w:w="1597"/>
        <w:gridCol w:w="840"/>
        <w:gridCol w:w="477"/>
        <w:gridCol w:w="1763"/>
        <w:gridCol w:w="740"/>
        <w:gridCol w:w="560"/>
        <w:gridCol w:w="1788"/>
        <w:gridCol w:w="857"/>
      </w:tblGrid>
      <w:tr>
        <w:trPr>
          <w:trHeight w:val="526"/>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eastAsia="黑体" w:cs="黑体" w:hAnsi="宋体"/>
                <w:color w:val="000000"/>
                <w:sz w:val="40"/>
                <w:szCs w:val="40"/>
              </w:rPr>
            </w:pPr>
            <w:r>
              <w:rPr>
                <w:rFonts w:ascii="黑体" w:eastAsia="黑体" w:cs="黑体" w:hAnsi="宋体" w:hint="eastAsia"/>
                <w:color w:val="000000"/>
                <w:kern w:val="0"/>
                <w:sz w:val="40"/>
                <w:szCs w:val="40"/>
              </w:rPr>
              <w:t>一般公共预算财政拨款基本支出决算表</w:t>
            </w:r>
          </w:p>
        </w:tc>
      </w:tr>
      <w:tr>
        <w:trPr>
          <w:trHeight w:val="269"/>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cs="宋体" w:hAnsi="宋体"/>
                <w:color w:val="000000"/>
                <w:sz w:val="22"/>
                <w:szCs w:val="22"/>
              </w:rPr>
            </w:pPr>
            <w:r>
              <w:rPr>
                <w:rFonts w:ascii="宋体" w:cs="宋体" w:hAnsi="宋体" w:hint="eastAsia"/>
                <w:color w:val="000000"/>
                <w:kern w:val="0"/>
                <w:sz w:val="22"/>
                <w:szCs w:val="22"/>
              </w:rPr>
              <w:t>公开06表</w:t>
            </w:r>
          </w:p>
        </w:tc>
      </w:tr>
      <w:tr>
        <w:trPr>
          <w:trHeight w:val="269"/>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cs="宋体" w:hAnsi="宋体"/>
                <w:color w:val="000000"/>
                <w:sz w:val="22"/>
                <w:szCs w:val="22"/>
              </w:rPr>
            </w:pPr>
            <w:r>
              <w:rPr>
                <w:rFonts w:ascii="宋体" w:cs="宋体" w:hAnsi="宋体" w:hint="eastAsia"/>
                <w:color w:val="000000"/>
                <w:kern w:val="0"/>
                <w:sz w:val="22"/>
                <w:szCs w:val="22"/>
              </w:rPr>
              <w:t>部门：</w:t>
            </w:r>
            <w:r>
              <w:rPr>
                <w:sz w:val="44"/>
              </w:rPr>
              <mc:AlternateContent>
                <mc:Choice Requires="wps">
                  <w:drawing>
                    <wp:anchor distT="0" distB="0" distL="0" distR="0" simplePos="0" relativeHeight="105" behindDoc="0" locked="1" layoutInCell="1" hidden="0" allowOverlap="1">
                      <wp:simplePos x="0" y="0"/>
                      <wp:positionH relativeFrom="column">
                        <wp:posOffset>-930275</wp:posOffset>
                      </wp:positionH>
                      <wp:positionV relativeFrom="page">
                        <wp:posOffset>-1643379</wp:posOffset>
                      </wp:positionV>
                      <wp:extent cx="3088639" cy="523241"/>
                      <wp:effectExtent l="3175" t="0" r="13334" b="29208"/>
                      <wp:wrapNone/>
                      <wp:docPr id="1129" name="组合 49"/>
                      <wp:cNvGraphicFramePr>
                        <a:graphicFrameLocks noChangeAspect="0"/>
                      </wp:cNvGraphicFramePr>
                      <a:graphic>
                        <a:graphicData uri="http://schemas.microsoft.com/office/word/2010/wordprocessingGroup">
                          <wpg:wgp>
                            <wpg:cNvPr id="72" name="组合 49 72"/>
                            <wpg:cNvGrpSpPr/>
                            <wpg:grpSpPr>
                              <a:xfrm rot="0">
                                <a:off x="0" y="0"/>
                                <a:ext cx="3088639" cy="523241"/>
                                <a:chOff x="0" y="0"/>
                                <a:chExt cx="3088639" cy="523241"/>
                              </a:xfrm>
                              <a:prstGeom prst="rect"/>
                              <a:solidFill>
                                <a:srgbClr val="FFFFFF"/>
                              </a:solidFill>
                              <a:ln w="9525" cmpd="sng" cap="flat">
                                <a:solidFill>
                                  <a:srgbClr val="000000"/>
                                </a:solidFill>
                                <a:prstDash val="solid"/>
                                <a:miter/>
                              </a:ln>
                            </wpg:grpSpPr>
                            <wps:wsp>
                              <wps:cNvPr id="73" name="矩形 17 73 73"/>
                              <wps:cNvSpPr/>
                              <wps:spPr>
                                <a:xfrm rot="0">
                                  <a:off x="0" y="0"/>
                                  <a:ext cx="3088639" cy="439777"/>
                                </a:xfrm>
                                <a:prstGeom prst="rect"/>
                                <a:solidFill>
                                  <a:srgbClr val="D8D8D8"/>
                                </a:solidFill>
                                <a:ln cmpd="sng" cap="flat">
                                  <a:noFill/>
                                  <a:prstDash val="solid"/>
                                  <a:round/>
                                </a:ln>
                              </wps:spPr>
                              <wps:bodyPr vert="horz" wrap="square" lIns="91440" tIns="45720" rIns="91440" bIns="45720" anchor="t" anchorCtr="0" upright="0">
                                <a:noAutofit/>
                              </wps:bodyPr>
                            </wps:wsp>
                            <wps:wsp>
                              <wps:cNvPr id="74" name="矩形 18 74 74"/>
                              <wps:cNvSpPr/>
                              <wps:spPr>
                                <a:xfrm rot="0">
                                  <a:off x="9396" y="102927"/>
                                  <a:ext cx="3008405" cy="420314"/>
                                </a:xfrm>
                                <a:prstGeom prst="rect"/>
                                <a:solidFill>
                                  <a:srgbClr val="AD002D"/>
                                </a:solidFill>
                                <a:ln w="25400" cmpd="sng" cap="flat">
                                  <a:solidFill>
                                    <a:srgbClr val="AF7621"/>
                                  </a:solidFill>
                                  <a:prstDash val="solid"/>
                                  <a:round/>
                                </a:ln>
                              </wps:spPr>
                              <wps:txbx id="75">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49" o:spid="_x0000_s76" coordorigin="-30,438" coordsize="4863,824" style="position:absolute;margin-left:-73.25pt;margin-top:-129.39992pt;width:243.19992pt;height:41.20008pt;z-index:105;mso-position-horizontal:absolute;mso-position-vertical:absolute;mso-position-vertical-relative:page;mso-wrap-distance-left:0.0pt;mso-wrap-distance-right:0.0pt;">
                      <v:rect type="#_x0000_t1" id="矩形 17 73 73" o:spid="_x0000_s77" style="position:absolute;left:-30;top:438;width:4863;height:692;" fillcolor="#D8D8D8" stroked="f" strokeweight="-1.0pt">
                        <v:stroke/>
                      </v:rect>
                      <v:rect type="#_x0000_t1" id="_s78" o:spid="_x0000_s78" style="position:absolute;left:-15;top:600;width:4737;height:661;mso-wrap-style:square;" fillcolor="#AD002D" stroked="t" strokeweight="2.0pt">
                        <v:textbox id="863"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v:textbox>
                        <v:stroke color="#AF7621"/>
                      </v:rect>
                      <w10:anchorLock/>
                    </v:group>
                  </w:pict>
                </mc:Fallback>
              </mc:AlternateContent>
            </w:r>
            <w:r>
              <w:rPr>
                <w:rFonts w:ascii="宋体" w:cs="宋体" w:hAnsi="宋体" w:hint="eastAsia"/>
                <w:color w:val="000000"/>
                <w:kern w:val="0"/>
                <w:sz w:val="22"/>
                <w:szCs w:val="22"/>
                <w:lang w:eastAsia="zh-CN"/>
              </w:rPr>
              <w:t>遵化市供销合作社</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cs="宋体" w:hAnsi="宋体"/>
                <w:color w:val="000000"/>
                <w:sz w:val="22"/>
                <w:szCs w:val="22"/>
              </w:rPr>
            </w:pPr>
            <w:r>
              <w:rPr>
                <w:rFonts w:ascii="宋体" w:cs="宋体" w:hAnsi="宋体" w:hint="eastAsia"/>
                <w:color w:val="000000"/>
                <w:kern w:val="0"/>
                <w:sz w:val="22"/>
                <w:szCs w:val="22"/>
              </w:rPr>
              <w:t>金额单位：万元</w:t>
            </w:r>
          </w:p>
        </w:tc>
      </w:tr>
      <w:tr>
        <w:trPr>
          <w:trHeight w:val="277"/>
        </w:trPr>
        <w:tc>
          <w:tcPr>
            <w:tcW w:w="299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人员经费</w:t>
            </w:r>
          </w:p>
        </w:tc>
        <w:tc>
          <w:tcPr>
            <w:tcW w:w="6185"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公用经费</w:t>
            </w:r>
          </w:p>
        </w:tc>
      </w:tr>
      <w:tr>
        <w:trPr>
          <w:trHeight w:val="312"/>
        </w:trPr>
        <w:tc>
          <w:tcPr>
            <w:tcW w:w="558"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科目编码</w:t>
            </w:r>
          </w:p>
        </w:tc>
        <w:tc>
          <w:tcPr>
            <w:tcW w:w="159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科目名称</w:t>
            </w:r>
          </w:p>
        </w:tc>
        <w:tc>
          <w:tcPr>
            <w:tcW w:w="8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决算数</w:t>
            </w:r>
          </w:p>
        </w:tc>
        <w:tc>
          <w:tcPr>
            <w:tcW w:w="4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科目编码</w:t>
            </w:r>
          </w:p>
        </w:tc>
        <w:tc>
          <w:tcPr>
            <w:tcW w:w="17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科目名称</w:t>
            </w:r>
          </w:p>
        </w:tc>
        <w:tc>
          <w:tcPr>
            <w:tcW w:w="7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决算数</w:t>
            </w:r>
          </w:p>
        </w:tc>
        <w:tc>
          <w:tcPr>
            <w:tcW w:w="56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科目编码</w:t>
            </w:r>
          </w:p>
        </w:tc>
        <w:tc>
          <w:tcPr>
            <w:tcW w:w="178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科目名称</w:t>
            </w:r>
          </w:p>
        </w:tc>
        <w:tc>
          <w:tcPr>
            <w:tcW w:w="85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决算数</w:t>
            </w:r>
          </w:p>
        </w:tc>
      </w:tr>
      <w:tr>
        <w:trPr>
          <w:trHeight w:val="312"/>
        </w:trPr>
        <w:tc>
          <w:tcPr>
            <w:tcW w:w="558"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tc>
        <w:tc>
          <w:tcPr>
            <w:tcW w:w="159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8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4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17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7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56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178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85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198.13</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商品和服务支出</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9.90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债务利息及费用支出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基本工资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61.42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30201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办公费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0.54</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30701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国内债务付息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津贴补贴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4.86</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印刷费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30702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国外债务付息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奖金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30203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咨询费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伙食补助费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30204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手续费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房屋建筑物购建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绩效工资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53.14</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30205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水费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办公设备购置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425"/>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机关事业单位基本养老保险缴费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20.62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30206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电费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0.36</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31003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专用设备购置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职业年金缴费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30207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邮电费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0.54</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31005</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基础设施建设</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425"/>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职工基本医疗保险缴费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22.25</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30208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取暖费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4.51</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大型修缮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425"/>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30111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公务员医疗补助缴费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22.41</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30209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物业管理费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信息网络及软件购置更新</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30112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其他社会保障缴费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0.77</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30211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差旅费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0.36</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物资储备</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30113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住房公积金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12.53</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30212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因公出国（境）费用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31009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土地补偿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30114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医疗费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30213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维修（护）费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安置补助</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425"/>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30199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其他工资福利支出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0.13</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30214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租赁费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31011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地上附着物和青苗补偿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对个人和家庭的补助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1.30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30215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会议费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0.09</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31012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拆迁补偿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30301</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离休费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30216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培训费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0.09</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31013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公务用车购置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30302</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退休费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30217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公务接待费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0.04</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31019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其他交通工具购置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30303</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退职（役）费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30218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专用材料费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31021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文物和陈列品购置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30304</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抚恤金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1.28</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30224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被装购置费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31022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无形资产购置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30305</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生活补助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30225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专用燃料费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31099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其他资本性支出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30306</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救济费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30226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劳务费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30307</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医疗费补助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30227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委托业务费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39906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赠与</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30308</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助学金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30228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工会经费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1.31</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39907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国家赔偿费用支出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420"/>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30309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奖励金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0.02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30229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福利费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0.46</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39908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对民间非营利组织和群众性自治组织补贴</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425"/>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30310</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个人农业生产补贴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30231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公务用车运行维护费</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0.70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39999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425"/>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30399</w:t>
            </w: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其他对个人和家庭的补助支出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30239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其他交通费用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rPr>
                <w:rFonts w:ascii="宋体" w:cs="宋体" w:hAnsi="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rPr>
                <w:rFonts w:ascii="宋体" w:cs="宋体" w:hAnsi="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238"/>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rPr>
                <w:rFonts w:ascii="宋体" w:cs="宋体" w:hAnsi="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rPr>
                <w:rFonts w:ascii="宋体" w:cs="宋体" w:hAnsi="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30240</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税金及附加费用</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rPr>
                <w:rFonts w:ascii="宋体" w:cs="宋体" w:hAnsi="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rPr>
                <w:rFonts w:ascii="宋体" w:cs="宋体" w:hAnsi="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20"/>
                <w:szCs w:val="20"/>
              </w:rPr>
            </w:pPr>
          </w:p>
        </w:tc>
      </w:tr>
      <w:tr>
        <w:trPr>
          <w:trHeight w:val="425"/>
        </w:trPr>
        <w:tc>
          <w:tcPr>
            <w:tcW w:w="558"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rPr>
                <w:rFonts w:ascii="宋体" w:cs="宋体" w:hAnsi="宋体"/>
                <w:color w:val="000000"/>
                <w:sz w:val="16"/>
                <w:szCs w:val="16"/>
              </w:rPr>
            </w:pPr>
          </w:p>
        </w:tc>
        <w:tc>
          <w:tcPr>
            <w:tcW w:w="159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rPr>
                <w:rFonts w:ascii="宋体" w:cs="宋体" w:hAnsi="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cs="宋体" w:hAnsi="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30299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cs="宋体" w:hAnsi="宋体"/>
                <w:color w:val="000000"/>
                <w:sz w:val="16"/>
                <w:szCs w:val="16"/>
              </w:rPr>
            </w:pPr>
            <w:r>
              <w:rPr>
                <w:rFonts w:ascii="宋体" w:cs="宋体" w:hAnsi="宋体" w:hint="eastAsia"/>
                <w:color w:val="000000"/>
                <w:kern w:val="0"/>
                <w:sz w:val="16"/>
                <w:szCs w:val="16"/>
              </w:rPr>
              <w:t xml:space="preserve">  其他商品和服务支出</w:t>
            </w:r>
          </w:p>
        </w:tc>
        <w:tc>
          <w:tcPr>
            <w:tcW w:w="7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0.90</w:t>
            </w:r>
          </w:p>
        </w:tc>
        <w:tc>
          <w:tcPr>
            <w:tcW w:w="5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left"/>
              <w:rPr>
                <w:rFonts w:ascii="宋体" w:cs="宋体" w:hAnsi="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snapToGrid w:val="0"/>
              <w:spacing w:after="0" w:line="240" w:lineRule="auto"/>
              <w:jc w:val="left"/>
              <w:rPr>
                <w:rFonts w:ascii="宋体" w:cs="宋体" w:hAnsi="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20"/>
                <w:szCs w:val="20"/>
                <w:lang w:val="en-US" w:eastAsia="zh-CN"/>
              </w:rPr>
            </w:pPr>
          </w:p>
        </w:tc>
      </w:tr>
      <w:tr>
        <w:trPr>
          <w:trHeight w:val="317"/>
        </w:trPr>
        <w:tc>
          <w:tcPr>
            <w:tcW w:w="2155"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cs="宋体" w:hAnsi="宋体"/>
                <w:color w:val="000000"/>
                <w:sz w:val="16"/>
                <w:szCs w:val="16"/>
              </w:rPr>
            </w:pPr>
            <w:r>
              <w:rPr>
                <w:rFonts w:ascii="宋体" w:cs="宋体" w:hAnsi="宋体" w:hint="eastAsia"/>
                <w:color w:val="000000"/>
                <w:kern w:val="0"/>
                <w:sz w:val="16"/>
                <w:szCs w:val="16"/>
              </w:rPr>
              <w:t>人员经费合计</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199.43</w:t>
            </w:r>
          </w:p>
        </w:tc>
        <w:tc>
          <w:tcPr>
            <w:tcW w:w="5328"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cs="宋体" w:hAnsi="宋体"/>
                <w:color w:val="000000"/>
                <w:sz w:val="16"/>
                <w:szCs w:val="16"/>
              </w:rPr>
            </w:pPr>
            <w:r>
              <w:rPr>
                <w:rFonts w:ascii="宋体" w:cs="宋体" w:hAnsi="宋体" w:hint="eastAsia"/>
                <w:color w:val="000000"/>
                <w:kern w:val="0"/>
                <w:sz w:val="16"/>
                <w:szCs w:val="16"/>
              </w:rPr>
              <w:t>公用经费合计</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napToGrid w:val="0"/>
              <w:spacing w:after="0" w:line="240" w:lineRule="auto"/>
              <w:jc w:val="right"/>
              <w:rPr>
                <w:rFonts w:ascii="宋体" w:eastAsia="宋体" w:cs="宋体" w:hAnsi="宋体"/>
                <w:color w:val="000000"/>
                <w:sz w:val="16"/>
                <w:szCs w:val="16"/>
                <w:lang w:val="en-US" w:eastAsia="zh-CN"/>
              </w:rPr>
            </w:pPr>
            <w:r>
              <w:rPr>
                <w:rFonts w:ascii="宋体" w:cs="宋体" w:hAnsi="宋体" w:hint="eastAsia"/>
                <w:color w:val="000000"/>
                <w:sz w:val="16"/>
                <w:szCs w:val="16"/>
                <w:lang w:val="en-US" w:eastAsia="zh-CN"/>
              </w:rPr>
              <w:t>9.90</w:t>
            </w:r>
          </w:p>
        </w:tc>
      </w:tr>
      <w:tr>
        <w:trPr>
          <w:trHeight w:val="277"/>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cs="宋体" w:hAnsi="宋体"/>
                <w:color w:val="000000"/>
                <w:sz w:val="20"/>
                <w:szCs w:val="20"/>
              </w:rPr>
            </w:pPr>
            <w:r>
              <w:rPr>
                <w:rFonts w:ascii="宋体" w:cs="宋体" w:hAnsi="宋体" w:hint="eastAsia"/>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宋体"/>
          <w:b/>
          <w:sz w:val="28"/>
          <w:szCs w:val="28"/>
          <w:highlight w:val="yellow"/>
        </w:rPr>
        <w:sectPr>
          <w:pgSz w:w="11906" w:h="16838"/>
          <w:pgMar w:top="2098" w:right="1474" w:bottom="1984" w:left="1588" w:header="851" w:footer="992" w:gutter="0"/>
          <w:pgNumType w:fmt="numberInDash"/>
          <w:cols w:num="1" w:space="0"/>
          <w:docGrid w:type="lines" w:linePitch="312" w:charSpace="0"/>
        </w:sectPr>
      </w:pPr>
    </w:p>
    <w:tbl>
      <w:tblPr>
        <w:jc w:val="center"/>
        <w:tblW w:w="8800" w:type="dxa"/>
        <w:tblBorders>
          <w:top w:val="none" w:sz="0" w:space="0" w:color="auto"/>
          <w:left w:val="none" w:sz="0" w:space="0" w:color="auto"/>
          <w:bottom w:val="none" w:sz="0" w:space="0" w:color="auto"/>
          <w:right w:val="none" w:sz="0" w:space="0" w:color="auto"/>
        </w:tblBorders>
        <w:tblLayout w:type="fixed"/>
        <w:tblCellMar>
          <w:top w:w="0" w:type="dxa"/>
          <w:left w:w="0" w:type="dxa"/>
          <w:bottom w:w="0" w:type="dxa"/>
          <w:right w:w="0" w:type="dxa"/>
        </w:tblCellMar>
        <w:tblLook w:val="0600" w:firstRow="0" w:lastRow="0" w:firstColumn="0" w:lastColumn="0" w:noHBand="1" w:noVBand="1"/>
      </w:tblPr>
      <w:tblGrid>
        <w:gridCol w:w="1158"/>
        <w:gridCol w:w="1527"/>
        <w:gridCol w:w="1528"/>
        <w:gridCol w:w="1530"/>
        <w:gridCol w:w="1530"/>
        <w:gridCol w:w="1527"/>
      </w:tblGrid>
      <w:tr>
        <w:trPr>
          <w:trHeight w:val="584"/>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eastAsia="黑体" w:cs="黑体" w:hAnsi="宋体"/>
                <w:color w:val="000000"/>
                <w:sz w:val="40"/>
                <w:szCs w:val="40"/>
              </w:rPr>
            </w:pPr>
            <w:r>
              <w:rPr>
                <w:rFonts w:ascii="黑体" w:eastAsia="黑体" w:cs="黑体" w:hAnsi="宋体" w:hint="eastAsia"/>
                <w:color w:val="000000"/>
                <w:kern w:val="0"/>
                <w:sz w:val="40"/>
                <w:szCs w:val="40"/>
              </w:rPr>
              <w:t>一般公共预算财政拨款“</w:t>
            </w:r>
            <w:r>
              <w:rPr>
                <w:sz w:val="44"/>
              </w:rPr>
              <mc:AlternateContent>
                <mc:Choice Requires="wps">
                  <w:drawing>
                    <wp:anchor distT="0" distB="0" distL="0" distR="0" simplePos="0" relativeHeight="107" behindDoc="0" locked="1" layoutInCell="1" hidden="0" allowOverlap="1">
                      <wp:simplePos x="0" y="0"/>
                      <wp:positionH relativeFrom="column">
                        <wp:posOffset>-1050925</wp:posOffset>
                      </wp:positionH>
                      <wp:positionV relativeFrom="page">
                        <wp:posOffset>-1029969</wp:posOffset>
                      </wp:positionV>
                      <wp:extent cx="3088639" cy="523240"/>
                      <wp:effectExtent l="3175" t="0" r="13334" b="29208"/>
                      <wp:wrapNone/>
                      <wp:docPr id="1130" name="组合 52"/>
                      <wp:cNvGraphicFramePr>
                        <a:graphicFrameLocks noChangeAspect="0"/>
                      </wp:cNvGraphicFramePr>
                      <a:graphic>
                        <a:graphicData uri="http://schemas.microsoft.com/office/word/2010/wordprocessingGroup">
                          <wpg:wgp>
                            <wpg:cNvPr id="79" name="组合 52 79"/>
                            <wpg:cNvGrpSpPr/>
                            <wpg:grpSpPr>
                              <a:xfrm rot="0">
                                <a:off x="0" y="0"/>
                                <a:ext cx="3088639" cy="523240"/>
                                <a:chOff x="0" y="0"/>
                                <a:chExt cx="3088639" cy="523240"/>
                              </a:xfrm>
                              <a:prstGeom prst="rect"/>
                              <a:solidFill>
                                <a:srgbClr val="FFFFFF"/>
                              </a:solidFill>
                              <a:ln w="9525" cmpd="sng" cap="flat">
                                <a:solidFill>
                                  <a:srgbClr val="000000"/>
                                </a:solidFill>
                                <a:prstDash val="solid"/>
                                <a:miter/>
                              </a:ln>
                            </wpg:grpSpPr>
                            <wps:wsp>
                              <wps:cNvPr id="80" name="矩形 19 80 80"/>
                              <wps:cNvSpPr/>
                              <wps:spPr>
                                <a:xfrm rot="0">
                                  <a:off x="0" y="0"/>
                                  <a:ext cx="3088639" cy="439777"/>
                                </a:xfrm>
                                <a:prstGeom prst="rect"/>
                                <a:solidFill>
                                  <a:srgbClr val="D8D8D8"/>
                                </a:solidFill>
                                <a:ln cmpd="sng" cap="flat">
                                  <a:noFill/>
                                  <a:prstDash val="solid"/>
                                  <a:round/>
                                </a:ln>
                              </wps:spPr>
                              <wps:bodyPr vert="horz" wrap="square" lIns="91440" tIns="45720" rIns="91440" bIns="45720" anchor="t" anchorCtr="0" upright="0">
                                <a:noAutofit/>
                              </wps:bodyPr>
                            </wps:wsp>
                            <wps:wsp>
                              <wps:cNvPr id="81" name="矩形 20 81 81"/>
                              <wps:cNvSpPr/>
                              <wps:spPr>
                                <a:xfrm rot="0">
                                  <a:off x="9396" y="102927"/>
                                  <a:ext cx="3008404" cy="420313"/>
                                </a:xfrm>
                                <a:prstGeom prst="rect"/>
                                <a:solidFill>
                                  <a:srgbClr val="AD002D"/>
                                </a:solidFill>
                                <a:ln w="25400" cmpd="sng" cap="flat">
                                  <a:solidFill>
                                    <a:srgbClr val="AF7621"/>
                                  </a:solidFill>
                                  <a:prstDash val="solid"/>
                                  <a:round/>
                                </a:ln>
                              </wps:spPr>
                              <wps:txbx id="82">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52" o:spid="_x0000_s83" coordorigin="-30,476" coordsize="4863,824" style="position:absolute;margin-left:-82.75pt;margin-top:-81.09992pt;width:243.19992pt;height:41.200077pt;z-index:107;mso-position-horizontal:absolute;mso-position-vertical:absolute;mso-position-vertical-relative:page;mso-wrap-distance-left:0.0pt;mso-wrap-distance-right:0.0pt;">
                      <v:rect type="#_x0000_t1" id="矩形 19 80 80" o:spid="_x0000_s84" style="position:absolute;left:-30;top:476;width:4863;height:692;" fillcolor="#D8D8D8" stroked="f" strokeweight="-1.0pt">
                        <v:stroke/>
                      </v:rect>
                      <v:rect type="#_x0000_t1" id="_s85" o:spid="_x0000_s85" style="position:absolute;left:-15;top:638;width:4737;height:661;mso-wrap-style:square;" fillcolor="#AD002D" stroked="t" strokeweight="2.0pt">
                        <v:textbox id="864"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v:textbox>
                        <v:stroke color="#AF7621"/>
                      </v:rect>
                      <w10:anchorLock/>
                    </v:group>
                  </w:pict>
                </mc:Fallback>
              </mc:AlternateContent>
            </w:r>
            <w:r>
              <w:rPr>
                <w:rFonts w:ascii="黑体" w:eastAsia="黑体" w:cs="黑体" w:hAnsi="宋体" w:hint="eastAsia"/>
                <w:color w:val="000000"/>
                <w:kern w:val="0"/>
                <w:sz w:val="40"/>
                <w:szCs w:val="40"/>
              </w:rPr>
              <w:t>三公”经费支出决算表</w:t>
            </w:r>
          </w:p>
        </w:tc>
      </w:tr>
      <w:tr>
        <w:trPr>
          <w:trHeight w:val="347"/>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cs="Arial" w:hAnsi="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cs="Arial" w:hAnsi="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cs="Arial" w:hAnsi="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cs="Arial" w:hAnsi="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cs="Arial" w:hAnsi="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hAnsi="宋体"/>
                <w:color w:val="000000"/>
                <w:sz w:val="20"/>
                <w:szCs w:val="20"/>
              </w:rPr>
            </w:pPr>
            <w:r>
              <w:rPr>
                <w:rFonts w:ascii="宋体" w:cs="宋体" w:hAnsi="宋体" w:hint="eastAsia"/>
                <w:color w:val="000000"/>
                <w:kern w:val="0"/>
                <w:sz w:val="20"/>
                <w:szCs w:val="20"/>
              </w:rPr>
              <w:t>公开07表</w:t>
            </w:r>
          </w:p>
        </w:tc>
      </w:tr>
      <w:tr>
        <w:trPr>
          <w:trHeight w:val="347"/>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eastAsia="宋体" w:cs="宋体" w:hAnsi="宋体" w:hint="eastAsia"/>
                <w:color w:val="000000"/>
                <w:sz w:val="20"/>
                <w:szCs w:val="20"/>
                <w:lang w:eastAsia="zh-CN"/>
              </w:rPr>
            </w:pPr>
            <w:r>
              <w:rPr>
                <w:rFonts w:ascii="宋体" w:cs="宋体" w:hAnsi="宋体" w:hint="eastAsia"/>
                <w:color w:val="000000"/>
                <w:kern w:val="0"/>
                <w:sz w:val="20"/>
                <w:szCs w:val="20"/>
              </w:rPr>
              <w:t>部门：</w:t>
            </w:r>
            <w:r>
              <w:rPr>
                <w:rFonts w:ascii="宋体" w:cs="宋体" w:hAnsi="宋体" w:hint="eastAsia"/>
                <w:color w:val="000000"/>
                <w:kern w:val="0"/>
                <w:sz w:val="20"/>
                <w:szCs w:val="20"/>
                <w:lang w:eastAsia="zh-CN"/>
              </w:rPr>
              <w:t>遵化市供销合作社</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hAnsi="宋体"/>
                <w:color w:val="000000"/>
                <w:sz w:val="20"/>
                <w:szCs w:val="20"/>
              </w:rPr>
            </w:pPr>
            <w:r>
              <w:rPr>
                <w:rFonts w:ascii="宋体" w:cs="宋体" w:hAnsi="宋体" w:hint="eastAsia"/>
                <w:color w:val="000000"/>
                <w:kern w:val="0"/>
                <w:sz w:val="20"/>
                <w:szCs w:val="20"/>
              </w:rPr>
              <w:t>金额单位：万元</w:t>
            </w:r>
          </w:p>
        </w:tc>
      </w:tr>
      <w:tr>
        <w:trPr>
          <w:trHeight w:val="482"/>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预算数</w:t>
            </w:r>
          </w:p>
        </w:tc>
      </w:tr>
      <w:tr>
        <w:trPr>
          <w:trHeight w:val="435"/>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公务接待费</w:t>
            </w:r>
          </w:p>
        </w:tc>
      </w:tr>
      <w:tr>
        <w:trPr>
          <w:trHeight w:val="686"/>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tc>
      </w:tr>
      <w:tr>
        <w:trPr>
          <w:trHeight w:val="435"/>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5</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6</w:t>
            </w:r>
          </w:p>
        </w:tc>
      </w:tr>
      <w:tr>
        <w:trPr>
          <w:trHeight w:val="435"/>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2.09</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hint="eastAsia"/>
                <w:color w:val="000000"/>
                <w:szCs w:val="21"/>
                <w:lang w:val="en-US" w:eastAsia="zh-CN"/>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2.05</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hint="eastAsia"/>
                <w:color w:val="000000"/>
                <w:szCs w:val="21"/>
                <w:lang w:val="en-US" w:eastAsia="zh-C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2.05</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0.04</w:t>
            </w:r>
          </w:p>
        </w:tc>
      </w:tr>
      <w:tr>
        <w:trPr>
          <w:trHeight w:val="498"/>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决算数</w:t>
            </w:r>
          </w:p>
        </w:tc>
      </w:tr>
      <w:tr>
        <w:trPr>
          <w:trHeight w:val="435"/>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公务接待费</w:t>
            </w:r>
          </w:p>
        </w:tc>
      </w:tr>
      <w:tr>
        <w:trPr>
          <w:trHeight w:val="672"/>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tc>
      </w:tr>
      <w:tr>
        <w:trPr>
          <w:trHeight w:val="435"/>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7</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8</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10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11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12</w:t>
            </w:r>
          </w:p>
        </w:tc>
      </w:tr>
      <w:tr>
        <w:trPr>
          <w:trHeight w:val="435"/>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0.74</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hint="eastAsia"/>
                <w:color w:val="000000"/>
                <w:szCs w:val="21"/>
                <w:lang w:val="en-US" w:eastAsia="zh-CN"/>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0.70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hint="eastAsia"/>
                <w:color w:val="000000"/>
                <w:szCs w:val="21"/>
                <w:lang w:val="en-US" w:eastAsia="zh-C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0.70</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0.04</w:t>
            </w:r>
          </w:p>
        </w:tc>
      </w:tr>
      <w:tr>
        <w:trPr>
          <w:trHeight w:val="782"/>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cs="宋体" w:hAnsi="宋体"/>
                <w:color w:val="000000"/>
                <w:szCs w:val="21"/>
              </w:rPr>
            </w:pPr>
            <w:r>
              <w:rPr>
                <w:rFonts w:ascii="宋体" w:cs="宋体" w:hAnsi="宋体" w:hint="eastAsia"/>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宋体"/>
          <w:b/>
          <w:sz w:val="28"/>
          <w:szCs w:val="28"/>
          <w:highlight w:val="yellow"/>
        </w:rPr>
        <w:sectPr>
          <w:pgSz w:w="11906" w:h="16838"/>
          <w:pgMar w:top="2098" w:right="1474" w:bottom="1984" w:left="1588" w:header="851" w:footer="992" w:gutter="0"/>
          <w:pgNumType w:fmt="numberInDash"/>
          <w:cols w:num="1" w:space="0"/>
          <w:docGrid w:type="lines" w:linePitch="312" w:charSpace="0"/>
        </w:sectPr>
      </w:pPr>
    </w:p>
    <w:tbl>
      <w:tblPr>
        <w:jc w:val="left"/>
        <w:tblInd w:w="0" w:type="dxa"/>
        <w:tblW w:w="8860" w:type="dxa"/>
        <w:tblBorders>
          <w:top w:val="none" w:sz="0" w:space="0" w:color="auto"/>
          <w:left w:val="none" w:sz="0" w:space="0" w:color="auto"/>
          <w:bottom w:val="none" w:sz="0" w:space="0" w:color="auto"/>
          <w:right w:val="none" w:sz="0" w:space="0" w:color="auto"/>
        </w:tblBorders>
        <w:tblLayout w:type="fixed"/>
        <w:tblCellMar>
          <w:top w:w="0" w:type="dxa"/>
          <w:left w:w="0" w:type="dxa"/>
          <w:bottom w:w="0" w:type="dxa"/>
          <w:right w:w="0" w:type="dxa"/>
        </w:tblCellMar>
        <w:tblLook w:val="0600" w:firstRow="0" w:lastRow="0" w:firstColumn="0" w:lastColumn="0" w:noHBand="1" w:noVBand="1"/>
      </w:tblPr>
      <w:tblGrid>
        <w:gridCol w:w="296"/>
        <w:gridCol w:w="191"/>
        <w:gridCol w:w="479"/>
        <w:gridCol w:w="669"/>
        <w:gridCol w:w="376"/>
        <w:gridCol w:w="1166"/>
        <w:gridCol w:w="840"/>
        <w:gridCol w:w="1191"/>
        <w:gridCol w:w="1192"/>
        <w:gridCol w:w="1192"/>
        <w:gridCol w:w="1268"/>
      </w:tblGrid>
      <w:tr>
        <w:trPr>
          <w:trHeight w:val="707"/>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eastAsia="黑体" w:cs="黑体" w:hAnsi="宋体"/>
                <w:color w:val="000000"/>
                <w:sz w:val="36"/>
                <w:szCs w:val="36"/>
              </w:rPr>
            </w:pPr>
            <w:r>
              <w:rPr>
                <w:rFonts w:ascii="黑体" w:eastAsia="黑体" w:cs="黑体" w:hAnsi="宋体" w:hint="eastAsia"/>
                <w:color w:val="000000"/>
                <w:kern w:val="0"/>
                <w:sz w:val="36"/>
                <w:szCs w:val="36"/>
              </w:rPr>
              <w:t>政府性基金预算财政拨款</w:t>
            </w:r>
            <w:r>
              <w:rPr>
                <w:sz w:val="44"/>
              </w:rPr>
              <mc:AlternateContent>
                <mc:Choice Requires="wps">
                  <w:drawing>
                    <wp:anchor distT="0" distB="0" distL="0" distR="0" simplePos="0" relativeHeight="109" behindDoc="0" locked="1" layoutInCell="1" hidden="0" allowOverlap="1">
                      <wp:simplePos x="0" y="0"/>
                      <wp:positionH relativeFrom="column">
                        <wp:posOffset>-1027430</wp:posOffset>
                      </wp:positionH>
                      <wp:positionV relativeFrom="page">
                        <wp:posOffset>-1029969</wp:posOffset>
                      </wp:positionV>
                      <wp:extent cx="3088639" cy="523240"/>
                      <wp:effectExtent l="3175" t="0" r="13334" b="29208"/>
                      <wp:wrapNone/>
                      <wp:docPr id="1131" name="组合 55"/>
                      <wp:cNvGraphicFramePr>
                        <a:graphicFrameLocks noChangeAspect="0"/>
                      </wp:cNvGraphicFramePr>
                      <a:graphic>
                        <a:graphicData uri="http://schemas.microsoft.com/office/word/2010/wordprocessingGroup">
                          <wpg:wgp>
                            <wpg:cNvPr id="86" name="组合 55 86"/>
                            <wpg:cNvGrpSpPr/>
                            <wpg:grpSpPr>
                              <a:xfrm rot="0">
                                <a:off x="0" y="0"/>
                                <a:ext cx="3088639" cy="523240"/>
                                <a:chOff x="0" y="0"/>
                                <a:chExt cx="3088639" cy="523240"/>
                              </a:xfrm>
                              <a:prstGeom prst="rect"/>
                              <a:solidFill>
                                <a:srgbClr val="FFFFFF"/>
                              </a:solidFill>
                              <a:ln w="9525" cmpd="sng" cap="flat">
                                <a:solidFill>
                                  <a:srgbClr val="000000"/>
                                </a:solidFill>
                                <a:prstDash val="solid"/>
                                <a:miter/>
                              </a:ln>
                            </wpg:grpSpPr>
                            <wps:wsp>
                              <wps:cNvPr id="87" name="矩形 21 87 87"/>
                              <wps:cNvSpPr/>
                              <wps:spPr>
                                <a:xfrm rot="0">
                                  <a:off x="0" y="0"/>
                                  <a:ext cx="3088639" cy="439777"/>
                                </a:xfrm>
                                <a:prstGeom prst="rect"/>
                                <a:solidFill>
                                  <a:srgbClr val="D8D8D8"/>
                                </a:solidFill>
                                <a:ln cmpd="sng" cap="flat">
                                  <a:noFill/>
                                  <a:prstDash val="solid"/>
                                  <a:round/>
                                </a:ln>
                              </wps:spPr>
                              <wps:bodyPr vert="horz" wrap="square" lIns="91440" tIns="45720" rIns="91440" bIns="45720" anchor="t" anchorCtr="0" upright="0">
                                <a:noAutofit/>
                              </wps:bodyPr>
                            </wps:wsp>
                            <wps:wsp>
                              <wps:cNvPr id="88" name="矩形 22 88 88"/>
                              <wps:cNvSpPr/>
                              <wps:spPr>
                                <a:xfrm rot="0">
                                  <a:off x="9396" y="102927"/>
                                  <a:ext cx="3008405" cy="420313"/>
                                </a:xfrm>
                                <a:prstGeom prst="rect"/>
                                <a:solidFill>
                                  <a:srgbClr val="AD002D"/>
                                </a:solidFill>
                                <a:ln w="25400" cmpd="sng" cap="flat">
                                  <a:solidFill>
                                    <a:srgbClr val="AF7621"/>
                                  </a:solidFill>
                                  <a:prstDash val="solid"/>
                                  <a:round/>
                                </a:ln>
                              </wps:spPr>
                              <wps:txbx id="89">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55" o:spid="_x0000_s90" coordorigin="-30,476" coordsize="4863,824" style="position:absolute;margin-left:-80.9pt;margin-top:-81.09992pt;width:243.19992pt;height:41.200077pt;z-index:109;mso-position-horizontal:absolute;mso-position-vertical:absolute;mso-position-vertical-relative:page;mso-wrap-distance-left:0.0pt;mso-wrap-distance-right:0.0pt;">
                      <v:rect type="#_x0000_t1" id="矩形 21 87 87" o:spid="_x0000_s91" style="position:absolute;left:-30;top:476;width:4863;height:692;" fillcolor="#D8D8D8" stroked="f" strokeweight="-1.0pt">
                        <v:stroke/>
                      </v:rect>
                      <v:rect type="#_x0000_t1" id="_s92" o:spid="_x0000_s92" style="position:absolute;left:-15;top:638;width:4737;height:661;mso-wrap-style:square;" fillcolor="#AD002D" stroked="t" strokeweight="2.0pt">
                        <v:textbox id="865"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v:textbox>
                        <v:stroke color="#AF7621"/>
                      </v:rect>
                      <w10:anchorLock/>
                    </v:group>
                  </w:pict>
                </mc:Fallback>
              </mc:AlternateContent>
            </w:r>
            <w:r>
              <w:rPr>
                <w:rFonts w:ascii="黑体" w:eastAsia="黑体" w:cs="黑体" w:hAnsi="宋体" w:hint="eastAsia"/>
                <w:color w:val="000000"/>
                <w:kern w:val="0"/>
                <w:sz w:val="36"/>
                <w:szCs w:val="36"/>
              </w:rPr>
              <w:t>收入支出决算表</w:t>
            </w:r>
          </w:p>
        </w:tc>
      </w:tr>
      <w:tr>
        <w:trPr>
          <w:trHeight w:val="315"/>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cs="Arial" w:hAnsi="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cs="Arial" w:hAnsi="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cs="Arial" w:hAnsi="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cs="Arial" w:hAnsi="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cs="Arial" w:hAnsi="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cs="Arial" w:hAnsi="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cs="Arial" w:hAnsi="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cs="Arial" w:hAnsi="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cs="Arial" w:hAnsi="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cs="宋体" w:hAnsi="宋体"/>
                <w:color w:val="000000"/>
                <w:szCs w:val="21"/>
              </w:rPr>
            </w:pPr>
            <w:r>
              <w:rPr>
                <w:rFonts w:ascii="宋体" w:cs="宋体" w:hAnsi="宋体" w:hint="eastAsia"/>
                <w:color w:val="000000"/>
                <w:kern w:val="0"/>
                <w:szCs w:val="21"/>
              </w:rPr>
              <w:t>公开08表</w:t>
            </w:r>
          </w:p>
        </w:tc>
      </w:tr>
      <w:tr>
        <w:trPr>
          <w:trHeight w:val="411"/>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eastAsia="宋体" w:cs="宋体" w:hAnsi="宋体" w:hint="eastAsia"/>
                <w:color w:val="000000"/>
                <w:szCs w:val="21"/>
                <w:lang w:eastAsia="zh-CN"/>
              </w:rPr>
            </w:pPr>
            <w:r>
              <w:rPr>
                <w:rFonts w:ascii="宋体" w:cs="宋体" w:hAnsi="宋体" w:hint="eastAsia"/>
                <w:color w:val="000000"/>
                <w:kern w:val="0"/>
                <w:szCs w:val="21"/>
              </w:rPr>
              <w:t>部门：</w:t>
            </w:r>
            <w:r>
              <w:rPr>
                <w:rFonts w:ascii="宋体" w:cs="宋体" w:hAnsi="宋体" w:hint="eastAsia"/>
                <w:color w:val="000000"/>
                <w:kern w:val="0"/>
                <w:szCs w:val="21"/>
                <w:lang w:eastAsia="zh-CN"/>
              </w:rPr>
              <w:t>遵化市供销合作社</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cs="Arial" w:hAnsi="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cs="Arial" w:hAnsi="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cs="Arial" w:hAnsi="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cs="宋体" w:hAnsi="宋体"/>
                <w:color w:val="000000"/>
                <w:szCs w:val="21"/>
              </w:rPr>
            </w:pPr>
            <w:r>
              <w:rPr>
                <w:rFonts w:ascii="宋体" w:cs="宋体" w:hAnsi="宋体" w:hint="eastAsia"/>
                <w:color w:val="000000"/>
                <w:kern w:val="0"/>
                <w:szCs w:val="21"/>
              </w:rPr>
              <w:t>金额单位：万元</w:t>
            </w:r>
          </w:p>
        </w:tc>
      </w:tr>
      <w:tr>
        <w:trPr>
          <w:trHeight w:val="324"/>
        </w:trPr>
        <w:tc>
          <w:tcPr>
            <w:tcW w:w="2011"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项目</w:t>
            </w:r>
          </w:p>
        </w:tc>
        <w:tc>
          <w:tcPr>
            <w:tcW w:w="1166"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年初结转和结余</w:t>
            </w:r>
          </w:p>
        </w:tc>
        <w:tc>
          <w:tcPr>
            <w:tcW w:w="84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本年收入</w:t>
            </w:r>
          </w:p>
        </w:tc>
        <w:tc>
          <w:tcPr>
            <w:tcW w:w="3575"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本年支出</w:t>
            </w:r>
          </w:p>
        </w:tc>
        <w:tc>
          <w:tcPr>
            <w:tcW w:w="126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年末结转和结余</w:t>
            </w:r>
          </w:p>
        </w:tc>
      </w:tr>
      <w:tr>
        <w:trPr>
          <w:trHeight w:val="324"/>
        </w:trPr>
        <w:tc>
          <w:tcPr>
            <w:tcW w:w="966"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功能分类科目编码</w:t>
            </w:r>
          </w:p>
        </w:tc>
        <w:tc>
          <w:tcPr>
            <w:tcW w:w="1045" w:type="dxa"/>
            <w:gridSpan w:val="2"/>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科目名称</w:t>
            </w: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tc>
        <w:tc>
          <w:tcPr>
            <w:tcW w:w="119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小计</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基本支出</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项目支出</w:t>
            </w: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tc>
      </w:tr>
      <w:tr>
        <w:trPr>
          <w:trHeight w:val="324"/>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tc>
      </w:tr>
      <w:tr>
        <w:trPr>
          <w:trHeight w:val="312"/>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tc>
      </w:tr>
      <w:tr>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栏次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1</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2</w:t>
            </w: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3</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4</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5</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6</w:t>
            </w:r>
          </w:p>
        </w:tc>
      </w:tr>
      <w:tr>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合计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b/>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b/>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eastAsia="宋体" w:cs="宋体" w:hAnsi="宋体"/>
                <w:b/>
                <w:color w:val="000000"/>
                <w:szCs w:val="21"/>
                <w:lang w:val="en-US" w:eastAsia="zh-CN"/>
              </w:rPr>
            </w:pPr>
            <w:r>
              <w:rPr>
                <w:rFonts w:ascii="宋体" w:cs="宋体" w:hAnsi="宋体" w:hint="eastAsia"/>
                <w:b/>
                <w:color w:val="000000"/>
                <w:szCs w:val="21"/>
                <w:lang w:val="en-US" w:eastAsia="zh-CN"/>
              </w:rPr>
              <w:t>410.19</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b/>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eastAsia="宋体" w:cs="宋体" w:hAnsi="宋体"/>
                <w:b/>
                <w:color w:val="000000"/>
                <w:szCs w:val="21"/>
                <w:lang w:val="en-US" w:eastAsia="zh-CN"/>
              </w:rPr>
            </w:pPr>
            <w:r>
              <w:rPr>
                <w:rFonts w:ascii="宋体" w:cs="宋体" w:hAnsi="宋体" w:hint="eastAsia"/>
                <w:b/>
                <w:color w:val="000000"/>
                <w:szCs w:val="21"/>
                <w:lang w:val="en-US" w:eastAsia="zh-CN"/>
              </w:rPr>
              <w:t>410.19</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b/>
                <w:color w:val="000000"/>
                <w:szCs w:val="21"/>
              </w:rPr>
            </w:pPr>
          </w:p>
        </w:tc>
      </w:tr>
      <w:tr>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eastAsia="宋体" w:cs="宋体" w:hAnsi="宋体"/>
                <w:color w:val="000000"/>
                <w:szCs w:val="21"/>
                <w:lang w:val="en-US" w:eastAsia="zh-CN"/>
              </w:rPr>
            </w:pPr>
            <w:r>
              <w:rPr>
                <w:rFonts w:ascii="宋体" w:cs="宋体" w:hAnsi="宋体" w:hint="eastAsia"/>
                <w:color w:val="000000"/>
                <w:szCs w:val="21"/>
                <w:lang w:val="en-US" w:eastAsia="zh-CN"/>
              </w:rPr>
              <w:t>212</w:t>
            </w: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eastAsia="宋体" w:cs="宋体" w:hAnsi="宋体" w:hint="eastAsia"/>
                <w:color w:val="000000"/>
                <w:szCs w:val="21"/>
                <w:lang w:eastAsia="zh-CN"/>
              </w:rPr>
            </w:pPr>
            <w:r>
              <w:rPr>
                <w:rFonts w:ascii="宋体" w:cs="宋体" w:hAnsi="宋体" w:hint="eastAsia"/>
                <w:color w:val="000000"/>
                <w:szCs w:val="21"/>
                <w:lang w:eastAsia="zh-CN"/>
              </w:rPr>
              <w:t>城乡社区支出</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410.19</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410.19</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r>
      <w:tr>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eastAsia="宋体" w:cs="宋体" w:hAnsi="宋体"/>
                <w:color w:val="000000"/>
                <w:szCs w:val="21"/>
                <w:lang w:val="en-US" w:eastAsia="zh-CN"/>
              </w:rPr>
            </w:pPr>
            <w:r>
              <w:rPr>
                <w:rFonts w:ascii="宋体" w:cs="宋体" w:hAnsi="宋体" w:hint="eastAsia"/>
                <w:color w:val="000000"/>
                <w:szCs w:val="21"/>
                <w:lang w:val="en-US" w:eastAsia="zh-CN"/>
              </w:rPr>
              <w:t>21208</w:t>
            </w: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eastAsia="宋体" w:cs="宋体" w:hAnsi="宋体" w:hint="eastAsia"/>
                <w:color w:val="000000"/>
                <w:szCs w:val="21"/>
                <w:lang w:eastAsia="zh-CN"/>
              </w:rPr>
            </w:pPr>
            <w:r>
              <w:rPr>
                <w:rFonts w:ascii="宋体" w:cs="宋体" w:hAnsi="宋体" w:hint="eastAsia"/>
                <w:color w:val="000000"/>
                <w:szCs w:val="21"/>
                <w:lang w:eastAsia="zh-CN"/>
              </w:rPr>
              <w:t>国有土地使用权出让收入及对应专项债务收入安排的支出</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410.19</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410.19</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r>
      <w:tr>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eastAsia="宋体" w:cs="宋体" w:hAnsi="宋体"/>
                <w:color w:val="000000"/>
                <w:szCs w:val="21"/>
                <w:lang w:val="en-US" w:eastAsia="zh-CN"/>
              </w:rPr>
            </w:pPr>
            <w:r>
              <w:rPr>
                <w:rFonts w:ascii="宋体" w:cs="宋体" w:hAnsi="宋体" w:hint="eastAsia"/>
                <w:color w:val="000000"/>
                <w:szCs w:val="21"/>
                <w:lang w:val="en-US" w:eastAsia="zh-CN"/>
              </w:rPr>
              <w:t>2120809</w:t>
            </w: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eastAsia="宋体" w:cs="宋体" w:hAnsi="宋体" w:hint="eastAsia"/>
                <w:color w:val="000000"/>
                <w:szCs w:val="21"/>
                <w:lang w:eastAsia="zh-CN"/>
              </w:rPr>
            </w:pPr>
            <w:r>
              <w:rPr>
                <w:rFonts w:ascii="宋体" w:cs="宋体" w:hAnsi="宋体" w:hint="eastAsia"/>
                <w:color w:val="000000"/>
                <w:szCs w:val="21"/>
                <w:lang w:eastAsia="zh-CN"/>
              </w:rPr>
              <w:t>支付破产或改制企业职工安置费</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405.19</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405.19</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r>
      <w:tr>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eastAsia="宋体" w:cs="宋体" w:hAnsi="宋体"/>
                <w:color w:val="000000"/>
                <w:szCs w:val="21"/>
                <w:lang w:val="en-US" w:eastAsia="zh-CN"/>
              </w:rPr>
            </w:pPr>
            <w:r>
              <w:rPr>
                <w:rFonts w:ascii="宋体" w:cs="宋体" w:hAnsi="宋体" w:hint="eastAsia"/>
                <w:color w:val="000000"/>
                <w:szCs w:val="21"/>
                <w:lang w:val="en-US" w:eastAsia="zh-CN"/>
              </w:rPr>
              <w:t>2120899</w:t>
            </w: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eastAsia="宋体" w:cs="宋体" w:hAnsi="宋体" w:hint="eastAsia"/>
                <w:color w:val="000000"/>
                <w:szCs w:val="21"/>
                <w:lang w:eastAsia="zh-CN"/>
              </w:rPr>
            </w:pPr>
            <w:r>
              <w:rPr>
                <w:rFonts w:ascii="宋体" w:cs="宋体" w:hAnsi="宋体" w:hint="eastAsia"/>
                <w:color w:val="000000"/>
                <w:szCs w:val="21"/>
                <w:lang w:eastAsia="zh-CN"/>
              </w:rPr>
              <w:t>其他国有土地使用权出让收入安排的支出</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5.00</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5.00</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r>
      <w:tr>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cs="宋体" w:hAnsi="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cs="宋体" w:hAnsi="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r>
      <w:tr>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cs="宋体" w:hAnsi="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cs="宋体" w:hAnsi="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r>
      <w:tr>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cs="宋体" w:hAnsi="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cs="宋体" w:hAnsi="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r>
      <w:tr>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cs="宋体" w:hAnsi="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cs="宋体" w:hAnsi="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r>
      <w:tr>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cs="宋体" w:hAnsi="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cs="宋体" w:hAnsi="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r>
      <w:tr>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cs="宋体" w:hAnsi="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cs="宋体" w:hAnsi="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cs="宋体" w:hAnsi="宋体"/>
                <w:color w:val="000000"/>
                <w:szCs w:val="21"/>
              </w:rPr>
            </w:pPr>
          </w:p>
        </w:tc>
      </w:tr>
      <w:tr>
        <w:trPr>
          <w:trHeight w:val="324"/>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cs="宋体" w:hAnsi="宋体"/>
                <w:color w:val="000000"/>
                <w:szCs w:val="21"/>
              </w:rPr>
            </w:pPr>
            <w:r>
              <w:rPr>
                <w:rFonts w:ascii="宋体" w:cs="宋体" w:hAnsi="宋体" w:hint="eastAsia"/>
                <w:color w:val="000000"/>
                <w:kern w:val="0"/>
                <w:szCs w:val="21"/>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宋体"/>
          <w:b/>
          <w:sz w:val="28"/>
          <w:szCs w:val="28"/>
          <w:highlight w:val="yellow"/>
        </w:rPr>
        <w:sectPr>
          <w:pgSz w:w="11906" w:h="16838"/>
          <w:pgMar w:top="2098" w:right="1474" w:bottom="1984" w:left="1588" w:header="851" w:footer="992" w:gutter="0"/>
          <w:pgNumType w:fmt="numberInDash"/>
          <w:cols w:num="1" w:space="0"/>
          <w:docGrid w:type="lines" w:linePitch="312" w:charSpace="0"/>
        </w:sectPr>
      </w:pPr>
    </w:p>
    <w:tbl>
      <w:tblPr>
        <w:jc w:val="left"/>
        <w:tblInd w:w="0" w:type="dxa"/>
        <w:tblW w:w="8800" w:type="dxa"/>
        <w:tblBorders>
          <w:top w:val="none" w:sz="0" w:space="0" w:color="auto"/>
          <w:left w:val="none" w:sz="0" w:space="0" w:color="auto"/>
          <w:bottom w:val="none" w:sz="0" w:space="0" w:color="auto"/>
          <w:right w:val="none" w:sz="0" w:space="0" w:color="auto"/>
        </w:tblBorders>
        <w:tblLayout w:type="fixed"/>
        <w:tblCellMar>
          <w:top w:w="0" w:type="dxa"/>
          <w:left w:w="0" w:type="dxa"/>
          <w:bottom w:w="0" w:type="dxa"/>
          <w:right w:w="0" w:type="dxa"/>
        </w:tblCellMar>
        <w:tblLook w:val="0600" w:firstRow="0" w:lastRow="0" w:firstColumn="0" w:lastColumn="0" w:noHBand="1" w:noVBand="1"/>
      </w:tblPr>
      <w:tblGrid>
        <w:gridCol w:w="442"/>
        <w:gridCol w:w="208"/>
        <w:gridCol w:w="504"/>
        <w:gridCol w:w="274"/>
        <w:gridCol w:w="894"/>
        <w:gridCol w:w="783"/>
        <w:gridCol w:w="252"/>
        <w:gridCol w:w="1646"/>
        <w:gridCol w:w="359"/>
        <w:gridCol w:w="1539"/>
        <w:gridCol w:w="1899"/>
      </w:tblGrid>
      <w:tr>
        <w:trPr>
          <w:trHeight w:val="656"/>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eastAsia="黑体" w:cs="黑体" w:hAnsi="宋体"/>
                <w:color w:val="000000"/>
                <w:sz w:val="40"/>
                <w:szCs w:val="40"/>
              </w:rPr>
            </w:pPr>
            <w:r>
              <w:rPr>
                <w:rFonts w:ascii="黑体" w:eastAsia="黑体" w:cs="黑体" w:hAnsi="宋体" w:hint="eastAsia"/>
                <w:color w:val="000000"/>
                <w:kern w:val="0"/>
                <w:sz w:val="40"/>
                <w:szCs w:val="40"/>
              </w:rPr>
              <w:t>国有资本经营预算财政拨</w:t>
            </w:r>
            <w:r>
              <w:rPr>
                <w:sz w:val="44"/>
              </w:rPr>
              <mc:AlternateContent>
                <mc:Choice Requires="wps">
                  <w:drawing>
                    <wp:anchor distT="0" distB="0" distL="0" distR="0" simplePos="0" relativeHeight="111" behindDoc="0" locked="1" layoutInCell="1" hidden="0" allowOverlap="1">
                      <wp:simplePos x="0" y="0"/>
                      <wp:positionH relativeFrom="column">
                        <wp:posOffset>-1027430</wp:posOffset>
                      </wp:positionH>
                      <wp:positionV relativeFrom="page">
                        <wp:posOffset>-1029969</wp:posOffset>
                      </wp:positionV>
                      <wp:extent cx="3088639" cy="523240"/>
                      <wp:effectExtent l="3175" t="0" r="13334" b="29208"/>
                      <wp:wrapNone/>
                      <wp:docPr id="1132" name="组合 58"/>
                      <wp:cNvGraphicFramePr>
                        <a:graphicFrameLocks noChangeAspect="0"/>
                      </wp:cNvGraphicFramePr>
                      <a:graphic>
                        <a:graphicData uri="http://schemas.microsoft.com/office/word/2010/wordprocessingGroup">
                          <wpg:wgp>
                            <wpg:cNvPr id="93" name="组合 58 93"/>
                            <wpg:cNvGrpSpPr/>
                            <wpg:grpSpPr>
                              <a:xfrm rot="0">
                                <a:off x="0" y="0"/>
                                <a:ext cx="3088639" cy="523240"/>
                                <a:chOff x="0" y="0"/>
                                <a:chExt cx="3088639" cy="523240"/>
                              </a:xfrm>
                              <a:prstGeom prst="rect"/>
                              <a:solidFill>
                                <a:srgbClr val="FFFFFF"/>
                              </a:solidFill>
                              <a:ln w="9525" cmpd="sng" cap="flat">
                                <a:solidFill>
                                  <a:srgbClr val="000000"/>
                                </a:solidFill>
                                <a:prstDash val="solid"/>
                                <a:miter/>
                              </a:ln>
                            </wpg:grpSpPr>
                            <wps:wsp>
                              <wps:cNvPr id="94" name="矩形 23 94 94"/>
                              <wps:cNvSpPr/>
                              <wps:spPr>
                                <a:xfrm rot="0">
                                  <a:off x="0" y="0"/>
                                  <a:ext cx="3088639" cy="439777"/>
                                </a:xfrm>
                                <a:prstGeom prst="rect"/>
                                <a:solidFill>
                                  <a:srgbClr val="D8D8D8"/>
                                </a:solidFill>
                                <a:ln cmpd="sng" cap="flat">
                                  <a:noFill/>
                                  <a:prstDash val="solid"/>
                                  <a:round/>
                                </a:ln>
                              </wps:spPr>
                              <wps:bodyPr vert="horz" wrap="square" lIns="91440" tIns="45720" rIns="91440" bIns="45720" anchor="t" anchorCtr="0" upright="0">
                                <a:noAutofit/>
                              </wps:bodyPr>
                            </wps:wsp>
                            <wps:wsp>
                              <wps:cNvPr id="95" name="矩形 24 95 95"/>
                              <wps:cNvSpPr/>
                              <wps:spPr>
                                <a:xfrm rot="0">
                                  <a:off x="9396" y="102927"/>
                                  <a:ext cx="3008405" cy="420313"/>
                                </a:xfrm>
                                <a:prstGeom prst="rect"/>
                                <a:solidFill>
                                  <a:srgbClr val="AD002D"/>
                                </a:solidFill>
                                <a:ln w="25400" cmpd="sng" cap="flat">
                                  <a:solidFill>
                                    <a:srgbClr val="AF7621"/>
                                  </a:solidFill>
                                  <a:prstDash val="solid"/>
                                  <a:round/>
                                </a:ln>
                              </wps:spPr>
                              <wps:txbx id="96">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58" o:spid="_x0000_s97" coordorigin="-30,476" coordsize="4863,824" style="position:absolute;margin-left:-80.9pt;margin-top:-81.09992pt;width:243.19992pt;height:41.200077pt;z-index:111;mso-position-horizontal:absolute;mso-position-vertical:absolute;mso-position-vertical-relative:page;mso-wrap-distance-left:0.0pt;mso-wrap-distance-right:0.0pt;">
                      <v:rect type="#_x0000_t1" id="矩形 23 94 94" o:spid="_x0000_s98" style="position:absolute;left:-30;top:476;width:4863;height:692;" fillcolor="#D8D8D8" stroked="f" strokeweight="-1.0pt">
                        <v:stroke/>
                      </v:rect>
                      <v:rect type="#_x0000_t1" id="_s99" o:spid="_x0000_s99" style="position:absolute;left:-15;top:638;width:4737;height:661;mso-wrap-style:square;" fillcolor="#AD002D" stroked="t" strokeweight="2.0pt">
                        <v:textbox id="866"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v:textbox>
                        <v:stroke color="#AF7621"/>
                      </v:rect>
                      <w10:anchorLock/>
                    </v:group>
                  </w:pict>
                </mc:Fallback>
              </mc:AlternateContent>
            </w:r>
            <w:r>
              <w:rPr>
                <w:rFonts w:ascii="黑体" w:eastAsia="黑体" w:cs="黑体" w:hAnsi="宋体" w:hint="eastAsia"/>
                <w:color w:val="000000"/>
                <w:kern w:val="0"/>
                <w:sz w:val="40"/>
                <w:szCs w:val="40"/>
              </w:rPr>
              <w:t>款支出决算表</w:t>
            </w:r>
          </w:p>
        </w:tc>
      </w:tr>
      <w:tr>
        <w:trPr>
          <w:trHeight w:val="335"/>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cs="宋体" w:hAnsi="宋体"/>
                <w:color w:val="000000"/>
                <w:sz w:val="22"/>
                <w:szCs w:val="22"/>
              </w:rPr>
            </w:pPr>
            <w:r>
              <w:rPr>
                <w:rFonts w:ascii="宋体" w:cs="宋体" w:hAnsi="宋体" w:hint="eastAsia"/>
                <w:color w:val="000000"/>
                <w:kern w:val="0"/>
                <w:sz w:val="22"/>
                <w:szCs w:val="22"/>
              </w:rPr>
              <w:t>公开09表</w:t>
            </w:r>
          </w:p>
        </w:tc>
      </w:tr>
      <w:tr>
        <w:trPr>
          <w:trHeight w:val="335"/>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eastAsia="宋体" w:cs="宋体" w:hAnsi="宋体" w:hint="eastAsia"/>
                <w:color w:val="000000"/>
                <w:sz w:val="22"/>
                <w:szCs w:val="22"/>
                <w:lang w:eastAsia="zh-CN"/>
              </w:rPr>
            </w:pPr>
            <w:r>
              <w:rPr>
                <w:rFonts w:ascii="宋体" w:cs="宋体" w:hAnsi="宋体" w:hint="eastAsia"/>
                <w:color w:val="000000"/>
                <w:kern w:val="0"/>
                <w:sz w:val="22"/>
                <w:szCs w:val="22"/>
              </w:rPr>
              <w:t>编制单位：</w:t>
            </w:r>
            <w:r>
              <w:rPr>
                <w:rFonts w:ascii="宋体" w:cs="宋体" w:hAnsi="宋体" w:hint="eastAsia"/>
                <w:color w:val="000000"/>
                <w:kern w:val="0"/>
                <w:sz w:val="22"/>
                <w:szCs w:val="22"/>
                <w:lang w:eastAsia="zh-CN"/>
              </w:rPr>
              <w:t>遵化市供销合作社</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cs="Arial" w:hAnsi="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cs="宋体" w:hAnsi="宋体"/>
                <w:color w:val="000000"/>
                <w:sz w:val="22"/>
                <w:szCs w:val="22"/>
              </w:rPr>
            </w:pPr>
            <w:r>
              <w:rPr>
                <w:rFonts w:ascii="宋体" w:cs="宋体" w:hAnsi="宋体" w:hint="eastAsia"/>
                <w:color w:val="000000"/>
                <w:kern w:val="0"/>
                <w:sz w:val="22"/>
                <w:szCs w:val="22"/>
              </w:rPr>
              <w:t>金额单位：万元</w:t>
            </w:r>
          </w:p>
        </w:tc>
      </w:tr>
      <w:tr>
        <w:trPr>
          <w:trHeight w:val="358"/>
        </w:trPr>
        <w:tc>
          <w:tcPr>
            <w:tcW w:w="310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cs="宋体" w:hAnsi="宋体"/>
                <w:color w:val="000000"/>
                <w:sz w:val="22"/>
                <w:szCs w:val="22"/>
              </w:rPr>
            </w:pPr>
            <w:r>
              <w:rPr>
                <w:rFonts w:ascii="宋体" w:cs="宋体" w:hAnsi="宋体" w:hint="eastAsia"/>
                <w:color w:val="000000"/>
                <w:kern w:val="0"/>
                <w:sz w:val="22"/>
                <w:szCs w:val="22"/>
              </w:rPr>
              <w:t>科目</w:t>
            </w:r>
          </w:p>
        </w:tc>
        <w:tc>
          <w:tcPr>
            <w:tcW w:w="5695" w:type="dxa"/>
            <w:gridSpan w:val="5"/>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cs="宋体" w:hAnsi="宋体"/>
                <w:color w:val="000000"/>
                <w:sz w:val="22"/>
                <w:szCs w:val="22"/>
              </w:rPr>
            </w:pPr>
            <w:r>
              <w:rPr>
                <w:rFonts w:ascii="宋体" w:cs="宋体" w:hAnsi="宋体" w:hint="eastAsia"/>
                <w:color w:val="000000"/>
                <w:kern w:val="0"/>
                <w:sz w:val="22"/>
                <w:szCs w:val="22"/>
              </w:rPr>
              <w:t>本年支出</w:t>
            </w:r>
          </w:p>
        </w:tc>
      </w:tr>
      <w:tr>
        <w:trPr>
          <w:trHeight w:val="82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pPr>
              <w:widowControl/>
              <w:spacing w:after="0" w:line="240" w:lineRule="auto"/>
              <w:jc w:val="center"/>
              <w:textAlignment w:val="center"/>
              <w:rPr>
                <w:rFonts w:ascii="宋体" w:cs="宋体" w:hAnsi="宋体"/>
                <w:color w:val="000000"/>
                <w:sz w:val="22"/>
                <w:szCs w:val="22"/>
              </w:rPr>
            </w:pPr>
            <w:r>
              <w:rPr>
                <w:rFonts w:ascii="宋体" w:cs="宋体" w:hAnsi="宋体" w:hint="eastAsia"/>
                <w:color w:val="000000"/>
                <w:kern w:val="0"/>
                <w:sz w:val="22"/>
                <w:szCs w:val="22"/>
              </w:rPr>
              <w:t>功能分类科目编码</w:t>
            </w: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cs="宋体" w:hAnsi="宋体"/>
                <w:color w:val="000000"/>
                <w:sz w:val="22"/>
                <w:szCs w:val="22"/>
              </w:rPr>
            </w:pPr>
            <w:r>
              <w:rPr>
                <w:rFonts w:ascii="宋体" w:cs="宋体" w:hAnsi="宋体" w:hint="eastAsia"/>
                <w:color w:val="000000"/>
                <w:kern w:val="0"/>
                <w:sz w:val="22"/>
                <w:szCs w:val="22"/>
              </w:rPr>
              <w:t>科目名称</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cs="宋体" w:hAnsi="宋体"/>
                <w:color w:val="000000"/>
                <w:sz w:val="22"/>
                <w:szCs w:val="22"/>
              </w:rPr>
            </w:pPr>
            <w:r>
              <w:rPr>
                <w:rFonts w:ascii="宋体" w:cs="宋体" w:hAnsi="宋体" w:hint="eastAsia"/>
                <w:color w:val="000000"/>
                <w:kern w:val="0"/>
                <w:sz w:val="22"/>
                <w:szCs w:val="22"/>
              </w:rPr>
              <w:t>小计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cs="宋体" w:hAnsi="宋体"/>
                <w:color w:val="000000"/>
                <w:sz w:val="22"/>
                <w:szCs w:val="22"/>
              </w:rPr>
            </w:pPr>
            <w:r>
              <w:rPr>
                <w:rFonts w:ascii="宋体" w:cs="宋体" w:hAnsi="宋体" w:hint="eastAsia"/>
                <w:color w:val="000000"/>
                <w:kern w:val="0"/>
                <w:sz w:val="22"/>
                <w:szCs w:val="22"/>
              </w:rPr>
              <w:t>基本支出</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cs="宋体" w:hAnsi="宋体"/>
                <w:color w:val="000000"/>
                <w:sz w:val="22"/>
                <w:szCs w:val="22"/>
              </w:rPr>
            </w:pPr>
            <w:r>
              <w:rPr>
                <w:rFonts w:ascii="宋体" w:cs="宋体" w:hAnsi="宋体" w:hint="eastAsia"/>
                <w:color w:val="000000"/>
                <w:kern w:val="0"/>
                <w:sz w:val="22"/>
                <w:szCs w:val="22"/>
              </w:rPr>
              <w:t>项目支出</w:t>
            </w:r>
          </w:p>
        </w:tc>
      </w:tr>
      <w:tr>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cs="宋体" w:hAnsi="宋体"/>
                <w:color w:val="000000"/>
                <w:sz w:val="22"/>
                <w:szCs w:val="22"/>
              </w:rPr>
            </w:pPr>
            <w:r>
              <w:rPr>
                <w:rFonts w:ascii="宋体" w:cs="宋体" w:hAnsi="宋体" w:hint="eastAsia"/>
                <w:color w:val="000000"/>
                <w:kern w:val="0"/>
                <w:sz w:val="22"/>
                <w:szCs w:val="22"/>
              </w:rPr>
              <w:t>栏次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cs="宋体" w:hAnsi="宋体"/>
                <w:color w:val="000000"/>
                <w:sz w:val="22"/>
                <w:szCs w:val="22"/>
              </w:rPr>
            </w:pPr>
            <w:r>
              <w:rPr>
                <w:rFonts w:ascii="宋体" w:cs="宋体" w:hAnsi="宋体" w:hint="eastAsia"/>
                <w:color w:val="000000"/>
                <w:kern w:val="0"/>
                <w:sz w:val="22"/>
                <w:szCs w:val="22"/>
              </w:rPr>
              <w:t>1</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cs="宋体" w:hAnsi="宋体"/>
                <w:color w:val="000000"/>
                <w:sz w:val="22"/>
                <w:szCs w:val="22"/>
              </w:rPr>
            </w:pPr>
            <w:r>
              <w:rPr>
                <w:rFonts w:ascii="宋体" w:cs="宋体" w:hAnsi="宋体" w:hint="eastAsia"/>
                <w:color w:val="000000"/>
                <w:kern w:val="0"/>
                <w:sz w:val="22"/>
                <w:szCs w:val="22"/>
              </w:rPr>
              <w:t>2</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cs="宋体" w:hAnsi="宋体"/>
                <w:color w:val="000000"/>
                <w:sz w:val="22"/>
                <w:szCs w:val="22"/>
              </w:rPr>
            </w:pPr>
            <w:r>
              <w:rPr>
                <w:rFonts w:ascii="宋体" w:cs="宋体" w:hAnsi="宋体" w:hint="eastAsia"/>
                <w:color w:val="000000"/>
                <w:kern w:val="0"/>
                <w:sz w:val="22"/>
                <w:szCs w:val="22"/>
              </w:rPr>
              <w:t>3</w:t>
            </w:r>
          </w:p>
        </w:tc>
      </w:tr>
      <w:tr>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cs="宋体" w:hAnsi="宋体"/>
                <w:color w:val="000000"/>
                <w:sz w:val="22"/>
                <w:szCs w:val="22"/>
              </w:rPr>
            </w:pPr>
            <w:r>
              <w:rPr>
                <w:rFonts w:ascii="宋体" w:cs="宋体" w:hAnsi="宋体" w:hint="eastAsia"/>
                <w:color w:val="000000"/>
                <w:kern w:val="0"/>
                <w:sz w:val="22"/>
                <w:szCs w:val="22"/>
              </w:rPr>
              <w:t>合计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r>
      <w:tr>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left"/>
              <w:rPr>
                <w:rFonts w:ascii="宋体" w:cs="宋体" w:hAnsi="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left"/>
              <w:rPr>
                <w:rFonts w:ascii="宋体" w:cs="宋体" w:hAnsi="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r>
      <w:tr>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left"/>
              <w:rPr>
                <w:rFonts w:ascii="宋体" w:cs="宋体" w:hAnsi="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left"/>
              <w:rPr>
                <w:rFonts w:ascii="宋体" w:cs="宋体" w:hAnsi="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r>
      <w:tr>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left"/>
              <w:rPr>
                <w:rFonts w:ascii="宋体" w:cs="宋体" w:hAnsi="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left"/>
              <w:rPr>
                <w:rFonts w:ascii="宋体" w:cs="宋体" w:hAnsi="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r>
      <w:tr>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left"/>
              <w:rPr>
                <w:rFonts w:ascii="宋体" w:cs="宋体" w:hAnsi="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left"/>
              <w:rPr>
                <w:rFonts w:ascii="宋体" w:cs="宋体" w:hAnsi="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r>
      <w:tr>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left"/>
              <w:rPr>
                <w:rFonts w:ascii="宋体" w:cs="宋体" w:hAnsi="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left"/>
              <w:rPr>
                <w:rFonts w:ascii="宋体" w:cs="宋体" w:hAnsi="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r>
      <w:tr>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left"/>
              <w:rPr>
                <w:rFonts w:ascii="宋体" w:cs="宋体" w:hAnsi="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left"/>
              <w:rPr>
                <w:rFonts w:ascii="宋体" w:cs="宋体" w:hAnsi="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spacing w:after="0" w:line="240" w:lineRule="auto"/>
              <w:jc w:val="right"/>
              <w:rPr>
                <w:rFonts w:ascii="宋体" w:cs="宋体" w:hAnsi="宋体"/>
                <w:color w:val="000000"/>
                <w:sz w:val="22"/>
                <w:szCs w:val="22"/>
              </w:rPr>
            </w:pPr>
          </w:p>
        </w:tc>
      </w:tr>
      <w:tr>
        <w:trPr>
          <w:trHeight w:val="358"/>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eastAsia="宋体" w:cs="宋体" w:hAnsi="宋体" w:hint="eastAsia"/>
                <w:color w:val="000000"/>
                <w:sz w:val="22"/>
                <w:szCs w:val="22"/>
                <w:lang w:eastAsia="zh-CN"/>
              </w:rPr>
            </w:pPr>
            <w:r>
              <w:rPr>
                <w:rFonts w:ascii="宋体" w:cs="宋体" w:hAnsi="宋体" w:hint="eastAsia"/>
                <w:color w:val="000000"/>
                <w:kern w:val="0"/>
                <w:sz w:val="22"/>
                <w:szCs w:val="22"/>
              </w:rPr>
              <w:t>注：本表反映部门本年度国有资本经营预算财政拨款支出情况。</w:t>
            </w:r>
            <w:r>
              <w:rPr>
                <w:rFonts w:ascii="宋体" w:cs="宋体" w:hAnsi="宋体" w:hint="eastAsia"/>
                <w:color w:val="000000"/>
                <w:kern w:val="0"/>
                <w:sz w:val="22"/>
                <w:szCs w:val="22"/>
                <w:lang w:eastAsia="zh-CN"/>
              </w:rPr>
              <w:t>本部门本年度无国有资本经营预算财政拨款支出情况，按要求以空表列示。</w:t>
            </w:r>
          </w:p>
        </w:tc>
      </w:tr>
    </w:tbl>
    <w:p>
      <w:pPr>
        <w:widowControl/>
        <w:spacing w:after="0" w:line="560" w:lineRule="exact"/>
        <w:jc w:val="left"/>
        <w:rPr>
          <w:rFonts w:ascii="仿宋_GB2312" w:eastAsia="仿宋_GB2312" w:hAnsi="宋体"/>
          <w:b/>
          <w:sz w:val="28"/>
          <w:szCs w:val="28"/>
          <w:highlight w:val="yellow"/>
        </w:rPr>
        <w:sectPr>
          <w:pgSz w:w="11906" w:h="16838"/>
          <w:pgMar w:top="2098" w:right="1474" w:bottom="1984" w:left="1588" w:header="851" w:footer="992" w:gutter="0"/>
          <w:pgNumType w:fmt="numberInDash"/>
          <w:cols w:num="1" w:space="0"/>
          <w:docGrid w:type="lines" w:linePitch="312" w:charSpace="0"/>
        </w:sectPr>
      </w:pPr>
    </w:p>
    <w:tbl>
      <w:tblPr>
        <w:jc w:val="left"/>
        <w:tblInd w:w="0" w:type="dxa"/>
        <w:tblW w:w="8940" w:type="dxa"/>
        <w:tblBorders>
          <w:top w:val="none" w:sz="0" w:space="0" w:color="auto"/>
          <w:left w:val="none" w:sz="0" w:space="0" w:color="auto"/>
          <w:bottom w:val="none" w:sz="0" w:space="0" w:color="auto"/>
          <w:right w:val="none" w:sz="0" w:space="0" w:color="auto"/>
        </w:tblBorders>
        <w:tblLayout w:type="fixed"/>
        <w:tblCellMar>
          <w:top w:w="0" w:type="dxa"/>
          <w:left w:w="0" w:type="dxa"/>
          <w:bottom w:w="0" w:type="dxa"/>
          <w:right w:w="0" w:type="dxa"/>
        </w:tblCellMar>
        <w:tblLook w:val="0600" w:firstRow="0" w:lastRow="0" w:firstColumn="0" w:lastColumn="0" w:noHBand="1" w:noVBand="1"/>
      </w:tblPr>
      <w:tblGrid>
        <w:gridCol w:w="1901"/>
        <w:gridCol w:w="1203"/>
        <w:gridCol w:w="790"/>
        <w:gridCol w:w="362"/>
        <w:gridCol w:w="911"/>
        <w:gridCol w:w="241"/>
        <w:gridCol w:w="1032"/>
        <w:gridCol w:w="120"/>
        <w:gridCol w:w="1154"/>
        <w:gridCol w:w="1226"/>
      </w:tblGrid>
      <w:tr>
        <w:trPr>
          <w:trHeight w:val="635"/>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eastAsia="黑体" w:cs="黑体" w:hAnsi="宋体"/>
                <w:color w:val="000000"/>
                <w:sz w:val="40"/>
                <w:szCs w:val="40"/>
              </w:rPr>
            </w:pPr>
            <w:r>
              <w:rPr>
                <w:rFonts w:ascii="黑体" w:eastAsia="黑体" w:cs="黑体" w:hAnsi="宋体" w:hint="eastAsia"/>
                <w:color w:val="000000"/>
                <w:kern w:val="0"/>
                <w:sz w:val="40"/>
                <w:szCs w:val="40"/>
              </w:rPr>
              <w:t>政府采购</w:t>
            </w:r>
            <w:r>
              <w:rPr>
                <w:sz w:val="44"/>
              </w:rPr>
              <mc:AlternateContent>
                <mc:Choice Requires="wps">
                  <w:drawing>
                    <wp:anchor distT="0" distB="0" distL="0" distR="0" simplePos="0" relativeHeight="113" behindDoc="0" locked="1" layoutInCell="1" hidden="0" allowOverlap="1">
                      <wp:simplePos x="0" y="0"/>
                      <wp:positionH relativeFrom="column">
                        <wp:posOffset>-1027430</wp:posOffset>
                      </wp:positionH>
                      <wp:positionV relativeFrom="page">
                        <wp:posOffset>-1029969</wp:posOffset>
                      </wp:positionV>
                      <wp:extent cx="3088639" cy="523240"/>
                      <wp:effectExtent l="3175" t="0" r="13334" b="29208"/>
                      <wp:wrapNone/>
                      <wp:docPr id="1133" name="组合 61"/>
                      <wp:cNvGraphicFramePr>
                        <a:graphicFrameLocks noChangeAspect="0"/>
                      </wp:cNvGraphicFramePr>
                      <a:graphic>
                        <a:graphicData uri="http://schemas.microsoft.com/office/word/2010/wordprocessingGroup">
                          <wpg:wgp>
                            <wpg:cNvPr id="100" name="组合 61 100"/>
                            <wpg:cNvGrpSpPr/>
                            <wpg:grpSpPr>
                              <a:xfrm rot="0">
                                <a:off x="0" y="0"/>
                                <a:ext cx="3088639" cy="523240"/>
                                <a:chOff x="0" y="0"/>
                                <a:chExt cx="3088639" cy="523240"/>
                              </a:xfrm>
                              <a:prstGeom prst="rect"/>
                              <a:solidFill>
                                <a:srgbClr val="FFFFFF"/>
                              </a:solidFill>
                              <a:ln w="9525" cmpd="sng" cap="flat">
                                <a:solidFill>
                                  <a:srgbClr val="000000"/>
                                </a:solidFill>
                                <a:prstDash val="solid"/>
                                <a:miter/>
                              </a:ln>
                            </wpg:grpSpPr>
                            <wps:wsp>
                              <wps:cNvPr id="101" name="矩形 25 101 101"/>
                              <wps:cNvSpPr/>
                              <wps:spPr>
                                <a:xfrm rot="0">
                                  <a:off x="0" y="0"/>
                                  <a:ext cx="3088639" cy="439777"/>
                                </a:xfrm>
                                <a:prstGeom prst="rect"/>
                                <a:solidFill>
                                  <a:srgbClr val="D8D8D8"/>
                                </a:solidFill>
                                <a:ln cmpd="sng" cap="flat">
                                  <a:noFill/>
                                  <a:prstDash val="solid"/>
                                  <a:round/>
                                </a:ln>
                              </wps:spPr>
                              <wps:bodyPr vert="horz" wrap="square" lIns="91440" tIns="45720" rIns="91440" bIns="45720" anchor="t" anchorCtr="0" upright="0">
                                <a:noAutofit/>
                              </wps:bodyPr>
                            </wps:wsp>
                            <wps:wsp>
                              <wps:cNvPr id="102" name="矩形 26 102 102"/>
                              <wps:cNvSpPr/>
                              <wps:spPr>
                                <a:xfrm rot="0">
                                  <a:off x="9396" y="102927"/>
                                  <a:ext cx="3008405" cy="420313"/>
                                </a:xfrm>
                                <a:prstGeom prst="rect"/>
                                <a:solidFill>
                                  <a:srgbClr val="AD002D"/>
                                </a:solidFill>
                                <a:ln w="25400" cmpd="sng" cap="flat">
                                  <a:solidFill>
                                    <a:srgbClr val="AF7621"/>
                                  </a:solidFill>
                                  <a:prstDash val="solid"/>
                                  <a:round/>
                                </a:ln>
                              </wps:spPr>
                              <wps:txbx id="103">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61" o:spid="_x0000_s104" coordorigin="-30,476" coordsize="4863,824" style="position:absolute;margin-left:-80.9pt;margin-top:-81.09992pt;width:243.19992pt;height:41.200077pt;z-index:113;mso-position-horizontal:absolute;mso-position-vertical:absolute;mso-position-vertical-relative:page;mso-wrap-distance-left:0.0pt;mso-wrap-distance-right:0.0pt;">
                      <v:rect type="#_x0000_t1" id="矩形 25 101 101" o:spid="_x0000_s105" style="position:absolute;left:-30;top:476;width:4863;height:692;" fillcolor="#D8D8D8" stroked="f" strokeweight="-1.0pt">
                        <v:stroke/>
                      </v:rect>
                      <v:rect type="#_x0000_t1" id="_s106" o:spid="_x0000_s106" style="position:absolute;left:-15;top:638;width:4737;height:661;mso-wrap-style:square;" fillcolor="#AD002D" stroked="t" strokeweight="2.0pt">
                        <v:textbox id="867"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2018年度部门决算☞决算报表</w:t>
                              </w:r>
                            </w:p>
                            <w:p>
                              <w:pPr>
                                <w:jc w:val="center"/>
                              </w:pPr>
                            </w:p>
                          </w:txbxContent>
                        </v:textbox>
                        <v:stroke color="#AF7621"/>
                      </v:rect>
                      <w10:anchorLock/>
                    </v:group>
                  </w:pict>
                </mc:Fallback>
              </mc:AlternateContent>
            </w:r>
            <w:r>
              <w:rPr>
                <w:rFonts w:ascii="黑体" w:eastAsia="黑体" w:cs="黑体" w:hAnsi="宋体" w:hint="eastAsia"/>
                <w:color w:val="000000"/>
                <w:kern w:val="0"/>
                <w:sz w:val="40"/>
                <w:szCs w:val="40"/>
              </w:rPr>
              <w:t>情况表</w:t>
            </w:r>
          </w:p>
        </w:tc>
      </w:tr>
      <w:tr>
        <w:trPr>
          <w:trHeight w:val="326"/>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cs="Arial" w:hAnsi="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cs="Arial" w:hAnsi="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cs="Arial" w:hAnsi="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cs="Arial" w:hAnsi="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cs="Arial" w:hAnsi="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hAnsi="宋体"/>
                <w:color w:val="000000"/>
                <w:szCs w:val="21"/>
              </w:rPr>
            </w:pPr>
            <w:r>
              <w:rPr>
                <w:rFonts w:ascii="宋体" w:cs="宋体" w:hAnsi="宋体" w:hint="eastAsia"/>
                <w:color w:val="000000"/>
                <w:kern w:val="0"/>
                <w:szCs w:val="21"/>
              </w:rPr>
              <w:t>公开10表</w:t>
            </w:r>
          </w:p>
        </w:tc>
      </w:tr>
      <w:tr>
        <w:trPr>
          <w:trHeight w:val="360"/>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eastAsia="宋体" w:cs="宋体" w:hAnsi="宋体" w:hint="eastAsia"/>
                <w:color w:val="000000"/>
                <w:szCs w:val="21"/>
                <w:lang w:eastAsia="zh-CN"/>
              </w:rPr>
            </w:pPr>
            <w:r>
              <w:rPr>
                <w:rFonts w:ascii="宋体" w:cs="宋体" w:hAnsi="宋体" w:hint="eastAsia"/>
                <w:color w:val="000000"/>
                <w:kern w:val="0"/>
                <w:szCs w:val="21"/>
              </w:rPr>
              <w:t>编制单位：</w:t>
            </w:r>
            <w:r>
              <w:rPr>
                <w:rFonts w:ascii="宋体" w:cs="宋体" w:hAnsi="宋体" w:hint="eastAsia"/>
                <w:color w:val="000000"/>
                <w:kern w:val="0"/>
                <w:szCs w:val="21"/>
                <w:lang w:eastAsia="zh-CN"/>
              </w:rPr>
              <w:t>遵化市供销合作社</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hAnsi="宋体"/>
                <w:color w:val="000000"/>
                <w:szCs w:val="21"/>
              </w:rPr>
            </w:pPr>
            <w:r>
              <w:rPr>
                <w:rFonts w:ascii="宋体" w:cs="宋体" w:hAnsi="宋体" w:hint="eastAsia"/>
                <w:color w:val="000000"/>
                <w:kern w:val="0"/>
                <w:szCs w:val="21"/>
              </w:rPr>
              <w:t>金额单位：万元</w:t>
            </w:r>
          </w:p>
        </w:tc>
      </w:tr>
      <w:tr>
        <w:trPr>
          <w:trHeight w:val="309"/>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项目</w:t>
            </w:r>
          </w:p>
        </w:tc>
        <w:tc>
          <w:tcPr>
            <w:tcW w:w="7039" w:type="dxa"/>
            <w:gridSpan w:val="9"/>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采购计划金额</w:t>
            </w:r>
          </w:p>
        </w:tc>
      </w:tr>
      <w:tr>
        <w:trPr>
          <w:trHeight w:val="398"/>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非财政性资金</w:t>
            </w:r>
          </w:p>
        </w:tc>
      </w:tr>
      <w:tr>
        <w:trPr>
          <w:trHeight w:val="473"/>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tc>
      </w:tr>
      <w:tr>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6</w:t>
            </w:r>
          </w:p>
        </w:tc>
      </w:tr>
      <w:tr>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1.35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1.35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1.35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r>
      <w:tr>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r>
      <w:tr>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r>
      <w:tr>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1.32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1.35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eastAsia="宋体" w:cs="宋体" w:hAnsi="宋体"/>
                <w:color w:val="000000"/>
                <w:szCs w:val="21"/>
                <w:lang w:val="en-US" w:eastAsia="zh-CN"/>
              </w:rPr>
            </w:pPr>
            <w:r>
              <w:rPr>
                <w:rFonts w:ascii="宋体" w:cs="宋体" w:hAnsi="宋体" w:hint="eastAsia"/>
                <w:color w:val="000000"/>
                <w:szCs w:val="21"/>
                <w:lang w:val="en-US" w:eastAsia="zh-CN"/>
              </w:rPr>
              <w:t>1.35</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r>
      <w:tr>
        <w:trPr>
          <w:trHeight w:val="309"/>
        </w:trPr>
        <w:tc>
          <w:tcPr>
            <w:tcW w:w="1901" w:type="dxa"/>
            <w:vMerge w:val="restar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项目</w:t>
            </w:r>
          </w:p>
        </w:tc>
        <w:tc>
          <w:tcPr>
            <w:tcW w:w="7039" w:type="dxa"/>
            <w:gridSpan w:val="9"/>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实际采购金额</w:t>
            </w:r>
          </w:p>
        </w:tc>
      </w:tr>
      <w:tr>
        <w:trPr>
          <w:trHeight w:val="350"/>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非财政性资金</w:t>
            </w:r>
          </w:p>
        </w:tc>
      </w:tr>
      <w:tr>
        <w:trPr>
          <w:trHeight w:val="543"/>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tc>
      </w:tr>
      <w:tr>
        <w:trPr>
          <w:trHeight w:val="309"/>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6</w:t>
            </w:r>
          </w:p>
        </w:tc>
      </w:tr>
      <w:tr>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r>
      <w:tr>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r>
      <w:tr>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r>
      <w:tr>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hAnsi="宋体"/>
                <w:color w:val="000000"/>
                <w:szCs w:val="21"/>
              </w:rPr>
            </w:pPr>
            <w:r>
              <w:rPr>
                <w:rFonts w:ascii="宋体" w:cs="宋体" w:hAnsi="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cs="宋体" w:hAnsi="宋体"/>
                <w:color w:val="000000"/>
                <w:szCs w:val="21"/>
              </w:rPr>
            </w:pPr>
          </w:p>
        </w:tc>
      </w:tr>
      <w:tr>
        <w:trPr>
          <w:trHeight w:val="398"/>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hAnsi="宋体"/>
                <w:color w:val="000000"/>
                <w:szCs w:val="21"/>
              </w:rPr>
            </w:pPr>
            <w:r>
              <w:rPr>
                <w:rFonts w:ascii="宋体" w:cs="宋体" w:hAnsi="宋体" w:hint="eastAsia"/>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宋体"/>
          <w:b/>
          <w:sz w:val="28"/>
          <w:szCs w:val="28"/>
          <w:highlight w:val="yellow"/>
        </w:rPr>
      </w:pPr>
    </w:p>
    <w:p/>
    <w:p/>
    <w:p/>
    <w:p/>
    <w:p>
      <w:pPr>
        <w:tabs>
          <w:tab w:val="left" w:pos="1086"/>
        </w:tabs>
        <w:jc w:val="left"/>
        <w:rPr>
          <w:rFonts w:ascii="仿宋_GB2312" w:eastAsia="仿宋_GB2312" w:hAnsi="宋体"/>
          <w:b/>
          <w:sz w:val="28"/>
          <w:szCs w:val="28"/>
          <w:highlight w:val="yellow"/>
        </w:rPr>
        <w:sectPr>
          <w:pgSz w:w="11906" w:h="16838"/>
          <w:pgMar w:top="2098" w:right="1474" w:bottom="1984" w:left="1588" w:header="851" w:footer="992" w:gutter="0"/>
          <w:pgNumType w:fmt="numberInDash"/>
          <w:cols w:num="1" w:space="0"/>
          <w:docGrid w:type="lines" w:linePitch="312" w:charSpace="0"/>
        </w:sectPr>
      </w:pPr>
      <w:r>
        <w:rPr>
          <w:rFonts w:hint="eastAsia"/>
        </w:rPr>
        <w:tab/>
      </w:r>
    </w:p>
    <w:p>
      <w:pPr>
        <w:rPr>
          <w:rFonts w:ascii="宋体" w:cs="ArialUnicodeMS" w:hAnsi="宋体"/>
          <w:color w:val="000000"/>
          <w:kern w:val="0"/>
        </w:rPr>
        <w:sectPr>
          <w:pgSz w:w="11906" w:h="16838"/>
          <w:pgMar w:top="2098" w:right="1474" w:bottom="1984" w:left="1588" w:header="851" w:footer="992" w:gutter="0"/>
          <w:pgNumType w:fmt="numberInDash"/>
          <w:cols w:num="1" w:space="0"/>
          <w:docGrid w:type="lines" w:linePitch="312" w:charSpace="0"/>
        </w:sectPr>
      </w:pPr>
      <w:r>
        <w:rPr>
          <w:rFonts w:ascii="宋体" w:cs="ArialUnicodeMS" w:hAnsi="宋体" w:hint="eastAsia"/>
          <w:color w:val="000000"/>
          <w:kern w:val="0"/>
        </w:rPr>
        <w:drawing>
          <wp:anchor distT="0" distB="0" distL="0" distR="0" simplePos="0" relativeHeight="8" behindDoc="1" locked="0" layoutInCell="1" hidden="0" allowOverlap="1">
            <wp:simplePos x="0" y="0"/>
            <wp:positionH relativeFrom="column">
              <wp:posOffset>-1009015</wp:posOffset>
            </wp:positionH>
            <wp:positionV relativeFrom="paragraph">
              <wp:posOffset>-1337945</wp:posOffset>
            </wp:positionV>
            <wp:extent cx="7550150" cy="10680065"/>
            <wp:effectExtent l="0" t="0" r="12700" b="6985"/>
            <wp:wrapNone/>
            <wp:docPr id="1134" name="图片 4"/>
            <wp:cNvGraphicFramePr>
              <a:graphicFrameLocks noChangeAspect="0"/>
            </wp:cNvGraphicFramePr>
            <a:graphic>
              <a:graphicData uri="http://schemas.openxmlformats.org/drawingml/2006/picture">
                <pic:pic>
                  <pic:nvPicPr>
                    <pic:cNvPr id="107" name="图片 4 107"/>
                    <pic:cNvPicPr/>
                  </pic:nvPicPr>
                  <pic:blipFill>
                    <a:blip r:embed="rId9"/>
                    <a:stretch>
                      <a:fillRect/>
                    </a:stretch>
                  </pic:blipFill>
                  <pic:spPr>
                    <a:xfrm rot="0">
                      <a:off x="0" y="0"/>
                      <a:ext cx="7550150" cy="10680065"/>
                    </a:xfrm>
                    <a:prstGeom prst="rect"/>
                    <a:noFill/>
                    <a:ln w="9525" cmpd="sng" cap="flat">
                      <a:noFill/>
                      <a:prstDash val="solid"/>
                      <a:miter/>
                    </a:ln>
                  </pic:spPr>
                </pic:pic>
              </a:graphicData>
            </a:graphic>
          </wp:anchor>
        </w:drawing>
      </w:r>
      <w:r>
        <w:rPr>
          <w:sz w:val="72"/>
        </w:rPr>
        <mc:AlternateContent>
          <mc:Choice Requires="wps">
            <w:drawing>
              <wp:anchor distT="0" distB="0" distL="0" distR="0" simplePos="0" relativeHeight="115" behindDoc="0" locked="0" layoutInCell="1" hidden="0" allowOverlap="1">
                <wp:simplePos x="0" y="0"/>
                <wp:positionH relativeFrom="column">
                  <wp:posOffset>-999490</wp:posOffset>
                </wp:positionH>
                <wp:positionV relativeFrom="paragraph">
                  <wp:posOffset>2956560</wp:posOffset>
                </wp:positionV>
                <wp:extent cx="7571740" cy="2020570"/>
                <wp:effectExtent l="0" t="0" r="0" b="0"/>
                <wp:wrapNone/>
                <wp:docPr id="1072" name="文本框 5"/>
                <wp:cNvGraphicFramePr>
                  <a:graphicFrameLocks noChangeAspect="0"/>
                </wp:cNvGraphicFramePr>
                <a:graphic>
                  <a:graphicData uri="http://schemas.microsoft.com/office/word/2010/wordprocessingShape">
                    <wps:wsp>
                      <wps:cNvSpPr/>
                      <wps:spPr>
                        <a:xfrm rot="0">
                          <a:off x="0" y="0"/>
                          <a:ext cx="7571740" cy="2020570"/>
                        </a:xfrm>
                        <a:prstGeom prst="rect"/>
                        <a:noFill/>
                        <a:ln cmpd="sng" cap="flat">
                          <a:noFill/>
                          <a:prstDash val="solid"/>
                          <a:round/>
                        </a:ln>
                      </wps:spPr>
                      <wps:txbx id="108">
                        <w:txbxContent>
                          <w:p>
                            <w:pPr>
                              <w:widowControl/>
                              <w:spacing w:line="1200" w:lineRule="exact"/>
                              <w:jc w:val="center"/>
                              <w:rPr>
                                <w:rFonts w:ascii="黑体" w:eastAsia="黑体" w:hAnsi="宋体"/>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第三部分</w:t>
                            </w:r>
                          </w:p>
                          <w:p>
                            <w:pPr>
                              <w:widowControl/>
                              <w:spacing w:line="1200" w:lineRule="exact"/>
                              <w:jc w:val="center"/>
                              <w:rPr>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部门决算情况说明</w:t>
                            </w:r>
                          </w:p>
                        </w:txbxContent>
                      </wps:txbx>
                      <wps:bodyPr vert="horz" wrap="square" lIns="91440" tIns="45720" rIns="91440" bIns="45720" anchor="t" anchorCtr="0" upright="0">
                        <a:noAutofit/>
                      </wps:bodyPr>
                    </wps:wsp>
                  </a:graphicData>
                </a:graphic>
              </wp:anchor>
            </w:drawing>
          </mc:Choice>
          <mc:Fallback>
            <w:pict>
              <v:rect type="#_x0000_t1" id="文本框 5" o:spid="_x0000_s109" filled="f" stroked="f" strokeweight="-1.0pt" style="position:absolute;margin-left:-78.7pt;margin-top:232.80002pt;width:596.2pt;height:159.10002pt;z-index:115;mso-position-horizontal:absolute;mso-position-vertical:absolute;mso-wrap-distance-left:0.0pt;mso-wrap-distance-right:0.0pt;mso-wrap-style:square;">
                <v:stroke/>
                <v:textbox id="869" inset="2.54mm,1.27mm,2.54mm,1.27mm" o:insetmode="custom" style="layout-flow:horizontal;v-text-anchor:top;">
                  <w:txbxContent>
                    <w:p>
                      <w:pPr>
                        <w:widowControl/>
                        <w:spacing w:line="1200" w:lineRule="exact"/>
                        <w:jc w:val="center"/>
                        <w:rPr>
                          <w:rFonts w:ascii="黑体" w:eastAsia="黑体" w:hAnsi="宋体"/>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第三部分</w:t>
                      </w:r>
                    </w:p>
                    <w:p>
                      <w:pPr>
                        <w:widowControl/>
                        <w:spacing w:line="1200" w:lineRule="exact"/>
                        <w:jc w:val="center"/>
                        <w:rPr>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部门决算情况说明</w:t>
                      </w:r>
                    </w:p>
                  </w:txbxContent>
                </v:textbox>
              </v:rect>
            </w:pict>
          </mc:Fallback>
        </mc:AlternateContent>
      </w:r>
    </w:p>
    <w:p>
      <w:pPr>
        <w:spacing w:after="0" w:line="580" w:lineRule="exact"/>
        <w:rPr>
          <w:rFonts w:ascii="宋体" w:cs="黑体" w:hAnsi="宋体"/>
          <w:b/>
          <w:color w:val="FF0000"/>
          <w:kern w:val="0"/>
          <w:sz w:val="44"/>
          <w:szCs w:val="44"/>
        </w:rPr>
      </w:pPr>
      <w:r>
        <w:rPr>
          <w:sz w:val="44"/>
        </w:rPr>
        <mc:AlternateContent>
          <mc:Choice Requires="wps">
            <w:drawing>
              <wp:anchor distT="0" distB="0" distL="0" distR="0" simplePos="0" relativeHeight="117" behindDoc="0" locked="1" layoutInCell="1" hidden="0" allowOverlap="1">
                <wp:simplePos x="0" y="0"/>
                <wp:positionH relativeFrom="column">
                  <wp:posOffset>-1015365</wp:posOffset>
                </wp:positionH>
                <wp:positionV relativeFrom="topMargin">
                  <wp:posOffset>372109</wp:posOffset>
                </wp:positionV>
                <wp:extent cx="3833495" cy="558166"/>
                <wp:effectExtent l="1270" t="0" r="13334" b="13334"/>
                <wp:wrapNone/>
                <wp:docPr id="1135" name="组合 170"/>
                <wp:cNvGraphicFramePr>
                  <a:graphicFrameLocks noChangeAspect="0"/>
                </wp:cNvGraphicFramePr>
                <a:graphic>
                  <a:graphicData uri="http://schemas.microsoft.com/office/word/2010/wordprocessingGroup">
                    <wpg:wgp>
                      <wpg:cNvPr id="110" name="组合 170 110"/>
                      <wpg:cNvGrpSpPr/>
                      <wpg:grpSpPr>
                        <a:xfrm rot="0">
                          <a:off x="0" y="0"/>
                          <a:ext cx="3833495" cy="558166"/>
                          <a:chOff x="0" y="0"/>
                          <a:chExt cx="3833495" cy="558166"/>
                        </a:xfrm>
                        <a:prstGeom prst="rect"/>
                        <a:solidFill>
                          <a:srgbClr val="FFFFFF"/>
                        </a:solidFill>
                        <a:ln w="9525" cmpd="sng" cap="flat">
                          <a:solidFill>
                            <a:srgbClr val="000000"/>
                          </a:solidFill>
                          <a:prstDash val="solid"/>
                          <a:miter/>
                        </a:ln>
                      </wpg:grpSpPr>
                      <wps:wsp>
                        <wps:cNvPr id="111" name="矩形 27 111 111"/>
                        <wps:cNvSpPr/>
                        <wps:spPr>
                          <a:xfrm rot="0">
                            <a:off x="0" y="0"/>
                            <a:ext cx="3833495" cy="469131"/>
                          </a:xfrm>
                          <a:prstGeom prst="rect"/>
                          <a:solidFill>
                            <a:srgbClr val="D8D8D8"/>
                          </a:solidFill>
                          <a:ln cmpd="sng" cap="flat">
                            <a:noFill/>
                            <a:prstDash val="solid"/>
                            <a:round/>
                          </a:ln>
                        </wps:spPr>
                        <wps:bodyPr vert="horz" wrap="square" lIns="91440" tIns="45720" rIns="91440" bIns="45720" anchor="t" anchorCtr="0" upright="0">
                          <a:noAutofit/>
                        </wps:bodyPr>
                      </wps:wsp>
                      <wps:wsp>
                        <wps:cNvPr id="112" name="矩形 28 112 112"/>
                        <wps:cNvSpPr/>
                        <wps:spPr>
                          <a:xfrm rot="0">
                            <a:off x="11662" y="109797"/>
                            <a:ext cx="3733912" cy="448369"/>
                          </a:xfrm>
                          <a:prstGeom prst="rect"/>
                          <a:solidFill>
                            <a:srgbClr val="AD002D"/>
                          </a:solidFill>
                          <a:ln w="25400" cmpd="sng" cap="flat">
                            <a:solidFill>
                              <a:srgbClr val="AF7621"/>
                            </a:solidFill>
                            <a:prstDash val="solid"/>
                            <a:round/>
                          </a:ln>
                        </wps:spPr>
                        <wps:txbx id="113">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2018年度部门决算☞部门决算情况说明</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170" o:spid="_x0000_s114" coordorigin="-10,585" coordsize="6037,879" style="position:absolute;margin-left:-79.95pt;margin-top:29.299921pt;width:301.85pt;height:43.95008pt;z-index:117;mso-position-horizontal:absolute;mso-position-vertical:absolute;mso-position-vertical-relative:top-margin-area;mso-wrap-distance-left:0.0pt;mso-wrap-distance-right:0.0pt;">
                <v:rect type="#_x0000_t1" id="矩形 27 111 111" o:spid="_x0000_s115" style="position:absolute;left:-10;top:585;width:6037;height:738;" fillcolor="#D8D8D8" stroked="f" strokeweight="-1.0pt">
                  <v:stroke/>
                </v:rect>
                <v:rect type="#_x0000_t1" id="_s116" o:spid="_x0000_s116" style="position:absolute;left:7;top:758;width:5880;height:706;mso-wrap-style:square;" fillcolor="#AD002D" stroked="t" strokeweight="2.0pt">
                  <v:textbox id="870"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2018年度部门决算☞部门决算情况说明</w:t>
                        </w:r>
                      </w:p>
                      <w:p>
                        <w:pPr>
                          <w:jc w:val="center"/>
                        </w:pPr>
                      </w:p>
                    </w:txbxContent>
                  </v:textbox>
                  <v:stroke color="#AF7621"/>
                </v:rect>
                <w10:anchorLock/>
              </v:group>
            </w:pict>
          </mc:Fallback>
        </mc:AlternateContent>
      </w:r>
    </w:p>
    <w:p>
      <w:pPr>
        <w:pStyle w:val="2"/>
        <w:spacing w:before="0" w:after="0" w:line="580" w:lineRule="exact"/>
        <w:ind w:firstLineChars="200" w:firstLine="640"/>
        <w:rPr>
          <w:rFonts w:ascii="黑体" w:eastAsia="黑体"/>
          <w:b w:val="0"/>
          <w:bCs w:val="0"/>
        </w:rPr>
      </w:pPr>
      <w:r>
        <w:rPr>
          <w:rFonts w:ascii="黑体" w:eastAsia="黑体" w:hint="eastAsia"/>
          <w:b w:val="0"/>
          <w:bCs w:val="0"/>
        </w:rPr>
        <w:t>一、收入</w:t>
      </w:r>
      <w:r>
        <w:rPr>
          <w:rFonts w:ascii="黑体" w:eastAsia="黑体" w:cs="黑体" w:hAnsi="Cambria" w:hint="eastAsia"/>
          <w:b w:val="0"/>
          <w:bCs w:val="0"/>
          <w:kern w:val="0"/>
        </w:rPr>
        <w:t>支出</w:t>
      </w:r>
      <w:r>
        <w:rPr>
          <w:rFonts w:ascii="黑体" w:eastAsia="黑体" w:hint="eastAsia"/>
          <w:b w:val="0"/>
          <w:bCs w:val="0"/>
        </w:rPr>
        <w:t>决算总体情况说明</w:t>
      </w:r>
    </w:p>
    <w:p>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本部门2018年度收支总计（含结转和结余）</w:t>
      </w:r>
      <w:r>
        <w:rPr>
          <w:rFonts w:ascii="仿宋_GB2312" w:eastAsia="仿宋_GB2312" w:cs="DengXian-Regular" w:hint="eastAsia"/>
          <w:sz w:val="32"/>
          <w:szCs w:val="32"/>
          <w:lang w:val="en-US" w:eastAsia="zh-CN"/>
        </w:rPr>
        <w:t>686.95</w:t>
      </w:r>
      <w:r>
        <w:rPr>
          <w:rFonts w:ascii="仿宋_GB2312" w:eastAsia="仿宋_GB2312" w:cs="DengXian-Regular" w:hint="eastAsia"/>
          <w:sz w:val="32"/>
          <w:szCs w:val="32"/>
        </w:rPr>
        <w:t>万元。与2017年度决算相比，收支各增加</w:t>
      </w:r>
      <w:r>
        <w:rPr>
          <w:rFonts w:ascii="仿宋_GB2312" w:eastAsia="仿宋_GB2312" w:cs="DengXian-Regular" w:hint="eastAsia"/>
          <w:sz w:val="32"/>
          <w:szCs w:val="32"/>
          <w:lang w:val="en-US" w:eastAsia="zh-CN"/>
        </w:rPr>
        <w:t>357.92</w:t>
      </w:r>
      <w:r>
        <w:rPr>
          <w:rFonts w:ascii="仿宋_GB2312" w:eastAsia="仿宋_GB2312" w:cs="DengXian-Regular" w:hint="eastAsia"/>
          <w:sz w:val="32"/>
          <w:szCs w:val="32"/>
        </w:rPr>
        <w:t>万元，增长</w:t>
      </w:r>
      <w:r>
        <w:rPr>
          <w:rFonts w:ascii="仿宋_GB2312" w:eastAsia="仿宋_GB2312" w:cs="DengXian-Regular" w:hint="eastAsia"/>
          <w:sz w:val="32"/>
          <w:szCs w:val="32"/>
          <w:lang w:val="en-US" w:eastAsia="zh-CN"/>
        </w:rPr>
        <w:t>108.78</w:t>
      </w:r>
      <w:r>
        <w:rPr>
          <w:rFonts w:ascii="仿宋_GB2312" w:eastAsia="仿宋_GB2312" w:cs="DengXian-Regular" w:hint="eastAsia"/>
          <w:sz w:val="32"/>
          <w:szCs w:val="32"/>
        </w:rPr>
        <w:t>%，主要原因是</w:t>
      </w:r>
      <w:r>
        <w:rPr>
          <w:rFonts w:ascii="仿宋_GB2312" w:eastAsia="仿宋_GB2312" w:cs="DengXian-Regular" w:hint="eastAsia"/>
          <w:sz w:val="32"/>
          <w:szCs w:val="32"/>
          <w:lang w:eastAsia="zh-CN"/>
        </w:rPr>
        <w:t>因供销社系统改制工作，</w:t>
      </w:r>
      <w:r>
        <w:rPr>
          <w:rFonts w:ascii="仿宋_GB2312" w:eastAsia="仿宋_GB2312" w:cs="DengXian-Regular" w:hint="eastAsia"/>
          <w:sz w:val="32"/>
          <w:szCs w:val="32"/>
          <w:lang w:val="en-US" w:eastAsia="zh-CN"/>
        </w:rPr>
        <w:t>2018年度决算中有支付破产或改制企业职工安置费405.19万元以及其他国有土地使用权出让收入安排的支出5万元的因素影响，而2017年度决算中无此项因素所致。</w:t>
      </w:r>
    </w:p>
    <w:p>
      <w:pPr>
        <w:pStyle w:val="2"/>
        <w:spacing w:before="0" w:after="0" w:line="580" w:lineRule="exact"/>
        <w:ind w:firstLineChars="200" w:firstLine="640"/>
        <w:rPr>
          <w:rFonts w:ascii="黑体" w:eastAsia="黑体"/>
          <w:b w:val="0"/>
          <w:bCs w:val="0"/>
        </w:rPr>
      </w:pPr>
      <w:r>
        <w:rPr>
          <w:rFonts w:ascii="黑体" w:eastAsia="黑体" w:hint="eastAsia"/>
          <w:b w:val="0"/>
          <w:bCs w:val="0"/>
        </w:rPr>
        <w:t>二、收入决算情况说明</w:t>
      </w:r>
    </w:p>
    <w:p>
      <w:pPr>
        <w:adjustRightInd w:val="0"/>
        <w:snapToGrid w:val="0"/>
        <w:spacing w:after="0" w:line="580" w:lineRule="exact"/>
        <w:ind w:firstLineChars="200" w:firstLine="640"/>
        <w:rPr>
          <w:rFonts w:ascii="黑体" w:eastAsia="黑体"/>
        </w:rPr>
      </w:pPr>
      <w:r>
        <w:rPr>
          <w:rFonts w:ascii="仿宋_GB2312" w:eastAsia="仿宋_GB2312" w:cs="DengXian-Regular" w:hint="eastAsia"/>
          <w:sz w:val="32"/>
          <w:szCs w:val="32"/>
        </w:rPr>
        <w:t>本部门2018年度本年收入合计</w:t>
      </w:r>
      <w:r>
        <w:rPr>
          <w:rFonts w:ascii="仿宋_GB2312" w:eastAsia="仿宋_GB2312" w:cs="DengXian-Regular" w:hint="eastAsia"/>
          <w:sz w:val="32"/>
          <w:szCs w:val="32"/>
          <w:lang w:val="en-US" w:eastAsia="zh-CN"/>
        </w:rPr>
        <w:t>686.95</w:t>
      </w:r>
      <w:r>
        <w:rPr>
          <w:rFonts w:ascii="仿宋_GB2312" w:eastAsia="仿宋_GB2312" w:cs="DengXian-Regular" w:hint="eastAsia"/>
          <w:sz w:val="32"/>
          <w:szCs w:val="32"/>
        </w:rPr>
        <w:t>万元，其中：财政拨款收入</w:t>
      </w:r>
      <w:r>
        <w:rPr>
          <w:rFonts w:ascii="仿宋_GB2312" w:eastAsia="仿宋_GB2312" w:cs="DengXian-Regular" w:hint="eastAsia"/>
          <w:sz w:val="32"/>
          <w:szCs w:val="32"/>
          <w:lang w:val="en-US" w:eastAsia="zh-CN"/>
        </w:rPr>
        <w:t>686.95</w:t>
      </w:r>
      <w:r>
        <w:rPr>
          <w:rFonts w:ascii="仿宋_GB2312" w:eastAsia="仿宋_GB2312" w:cs="DengXian-Regular" w:hint="eastAsia"/>
          <w:sz w:val="32"/>
          <w:szCs w:val="32"/>
        </w:rPr>
        <w:t>万元，占</w:t>
      </w:r>
      <w:r>
        <w:rPr>
          <w:rFonts w:ascii="仿宋_GB2312" w:eastAsia="仿宋_GB2312" w:cs="DengXian-Regular" w:hint="eastAsia"/>
          <w:sz w:val="32"/>
          <w:szCs w:val="32"/>
          <w:lang w:val="en-US" w:eastAsia="zh-CN"/>
        </w:rPr>
        <w:t>100</w:t>
      </w:r>
      <w:r>
        <w:rPr>
          <w:rFonts w:ascii="仿宋_GB2312" w:eastAsia="仿宋_GB2312" w:cs="DengXian-Regular" w:hint="eastAsia"/>
          <w:sz w:val="32"/>
          <w:szCs w:val="32"/>
        </w:rPr>
        <w:t>%；事业收入</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万元，占</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%；经营收入</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万元，占</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%；其他收入</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万元，占</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w:t>
      </w:r>
    </w:p>
    <w:p>
      <w:pPr>
        <w:pStyle w:val="2"/>
        <w:spacing w:before="0" w:after="0" w:line="580" w:lineRule="exact"/>
        <w:ind w:firstLineChars="200" w:firstLine="640"/>
        <w:rPr>
          <w:rFonts w:ascii="黑体" w:eastAsia="黑体"/>
          <w:b w:val="0"/>
          <w:bCs w:val="0"/>
        </w:rPr>
      </w:pPr>
      <w:r>
        <w:rPr>
          <w:rFonts w:ascii="黑体" w:eastAsia="黑体" w:hint="eastAsia"/>
          <w:b w:val="0"/>
          <w:bCs w:val="0"/>
        </w:rPr>
        <w:t>三、支出决算情况说明</w:t>
      </w:r>
    </w:p>
    <w:p>
      <w:pPr>
        <w:adjustRightInd w:val="0"/>
        <w:snapToGrid w:val="0"/>
        <w:spacing w:after="0" w:line="580" w:lineRule="exact"/>
        <w:ind w:firstLineChars="200" w:firstLine="640"/>
        <w:rPr>
          <w:rFonts w:ascii="黑体" w:eastAsia="黑体"/>
        </w:rPr>
      </w:pPr>
      <w:r>
        <w:rPr>
          <w:rFonts w:ascii="仿宋_GB2312" w:eastAsia="仿宋_GB2312" w:cs="DengXian-Regular" w:hint="eastAsia"/>
          <w:sz w:val="32"/>
          <w:szCs w:val="32"/>
        </w:rPr>
        <w:t>本部门2018年度本年支出合计</w:t>
      </w:r>
      <w:r>
        <w:rPr>
          <w:rFonts w:ascii="仿宋_GB2312" w:eastAsia="仿宋_GB2312" w:cs="DengXian-Regular" w:hint="eastAsia"/>
          <w:sz w:val="32"/>
          <w:szCs w:val="32"/>
          <w:lang w:val="en-US" w:eastAsia="zh-CN"/>
        </w:rPr>
        <w:t>686.95</w:t>
      </w:r>
      <w:r>
        <w:rPr>
          <w:rFonts w:ascii="仿宋_GB2312" w:eastAsia="仿宋_GB2312" w:cs="DengXian-Regular" w:hint="eastAsia"/>
          <w:sz w:val="32"/>
          <w:szCs w:val="32"/>
        </w:rPr>
        <w:t>万元，其中：基本支出</w:t>
      </w:r>
      <w:r>
        <w:rPr>
          <w:rFonts w:ascii="仿宋_GB2312" w:eastAsia="仿宋_GB2312" w:cs="DengXian-Regular" w:hint="eastAsia"/>
          <w:sz w:val="32"/>
          <w:szCs w:val="32"/>
          <w:lang w:val="en-US" w:eastAsia="zh-CN"/>
        </w:rPr>
        <w:t>209.33</w:t>
      </w:r>
      <w:r>
        <w:rPr>
          <w:rFonts w:ascii="仿宋_GB2312" w:eastAsia="仿宋_GB2312" w:cs="DengXian-Regular" w:hint="eastAsia"/>
          <w:sz w:val="32"/>
          <w:szCs w:val="32"/>
        </w:rPr>
        <w:t>万元，占</w:t>
      </w:r>
      <w:r>
        <w:rPr>
          <w:rFonts w:ascii="仿宋_GB2312" w:eastAsia="仿宋_GB2312" w:cs="DengXian-Regular" w:hint="eastAsia"/>
          <w:sz w:val="32"/>
          <w:szCs w:val="32"/>
          <w:lang w:val="en-US" w:eastAsia="zh-CN"/>
        </w:rPr>
        <w:t>30.47</w:t>
      </w:r>
      <w:r>
        <w:rPr>
          <w:rFonts w:ascii="仿宋_GB2312" w:eastAsia="仿宋_GB2312" w:cs="DengXian-Regular" w:hint="eastAsia"/>
          <w:sz w:val="32"/>
          <w:szCs w:val="32"/>
        </w:rPr>
        <w:t>%；项目支出</w:t>
      </w:r>
      <w:r>
        <w:rPr>
          <w:rFonts w:ascii="仿宋_GB2312" w:eastAsia="仿宋_GB2312" w:cs="DengXian-Regular" w:hint="eastAsia"/>
          <w:sz w:val="32"/>
          <w:szCs w:val="32"/>
          <w:lang w:val="en-US" w:eastAsia="zh-CN"/>
        </w:rPr>
        <w:t>477.62</w:t>
      </w:r>
      <w:r>
        <w:rPr>
          <w:rFonts w:ascii="仿宋_GB2312" w:eastAsia="仿宋_GB2312" w:cs="DengXian-Regular" w:hint="eastAsia"/>
          <w:sz w:val="32"/>
          <w:szCs w:val="32"/>
        </w:rPr>
        <w:t>万元，占</w:t>
      </w:r>
      <w:r>
        <w:rPr>
          <w:rFonts w:ascii="仿宋_GB2312" w:eastAsia="仿宋_GB2312" w:cs="DengXian-Regular" w:hint="eastAsia"/>
          <w:sz w:val="32"/>
          <w:szCs w:val="32"/>
          <w:lang w:val="en-US" w:eastAsia="zh-CN"/>
        </w:rPr>
        <w:t>69.53</w:t>
      </w:r>
      <w:r>
        <w:rPr>
          <w:rFonts w:ascii="仿宋_GB2312" w:eastAsia="仿宋_GB2312" w:cs="DengXian-Regular" w:hint="eastAsia"/>
          <w:sz w:val="32"/>
          <w:szCs w:val="32"/>
        </w:rPr>
        <w:t>%；经营支出</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万元，占</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w:t>
      </w:r>
    </w:p>
    <w:p>
      <w:pPr>
        <w:pStyle w:val="2"/>
        <w:spacing w:before="0" w:after="0" w:line="580" w:lineRule="exact"/>
        <w:ind w:firstLineChars="200" w:firstLine="640"/>
        <w:rPr>
          <w:rFonts w:ascii="黑体" w:eastAsia="黑体"/>
          <w:b w:val="0"/>
          <w:bCs w:val="0"/>
        </w:rPr>
      </w:pPr>
      <w:r>
        <w:rPr>
          <w:rFonts w:ascii="黑体" w:eastAsia="黑体" w:hint="eastAsia"/>
          <w:b w:val="0"/>
          <w:bCs w:val="0"/>
        </w:rPr>
        <w:t>四、</w:t>
      </w:r>
      <w:r>
        <w:rPr>
          <w:rFonts w:ascii="黑体" w:eastAsia="黑体" w:cs="黑体" w:hAnsi="Cambria" w:hint="eastAsia"/>
          <w:b w:val="0"/>
          <w:bCs w:val="0"/>
          <w:kern w:val="0"/>
        </w:rPr>
        <w:t>财政</w:t>
      </w:r>
      <w:r>
        <w:rPr>
          <w:rFonts w:ascii="黑体" w:eastAsia="黑体" w:hint="eastAsia"/>
          <w:b w:val="0"/>
          <w:bCs w:val="0"/>
        </w:rPr>
        <w:t>拨款收入支出决算总体情况说明</w:t>
      </w:r>
    </w:p>
    <w:p>
      <w:pPr>
        <w:spacing w:after="0" w:line="580" w:lineRule="exact"/>
        <w:ind w:firstLineChars="200" w:firstLine="640"/>
        <w:rPr>
          <w:rFonts w:ascii="仿宋_GB2312" w:eastAsia="仿宋_GB2312" w:cs="DengXian-Regular"/>
          <w:sz w:val="32"/>
          <w:szCs w:val="32"/>
          <w:highlight w:val="yellow"/>
        </w:rPr>
      </w:pPr>
      <w:r>
        <w:rPr>
          <w:rFonts w:ascii="楷体_GB2312" w:eastAsia="楷体_GB2312" w:cs="DengXian-Bold" w:hint="eastAsia"/>
          <w:b/>
          <w:bCs/>
          <w:sz w:val="32"/>
          <w:szCs w:val="32"/>
        </w:rPr>
        <w:t>（一）财政拨款收支与2017 年度决算对比情况</w:t>
      </w:r>
    </w:p>
    <w:p>
      <w:pPr>
        <w:adjustRightInd w:val="0"/>
        <w:snapToGrid w:val="0"/>
        <w:spacing w:after="0" w:line="580" w:lineRule="exact"/>
        <w:ind w:firstLineChars="200" w:firstLine="640"/>
        <w:rPr>
          <w:rFonts w:ascii="仿宋_GB2312" w:eastAsia="仿宋_GB2312" w:cs="DengXian-Regular" w:hint="eastAsia"/>
          <w:sz w:val="32"/>
          <w:szCs w:val="32"/>
          <w:lang w:eastAsia="zh-CN"/>
        </w:rPr>
      </w:pPr>
      <w:r>
        <w:rPr>
          <w:rFonts w:ascii="仿宋_GB2312" w:eastAsia="仿宋_GB2312" w:cs="DengXian-Regular" w:hint="eastAsia"/>
          <w:sz w:val="32"/>
          <w:szCs w:val="32"/>
        </w:rPr>
        <w:t>本部门2018年度财政拨款本年收入</w:t>
      </w:r>
      <w:r>
        <w:rPr>
          <w:rFonts w:ascii="仿宋_GB2312" w:eastAsia="仿宋_GB2312" w:cs="DengXian-Regular" w:hint="eastAsia"/>
          <w:sz w:val="32"/>
          <w:szCs w:val="32"/>
          <w:lang w:val="en-US" w:eastAsia="zh-CN"/>
        </w:rPr>
        <w:t>686.95</w:t>
      </w:r>
      <w:r>
        <w:rPr>
          <w:rFonts w:ascii="仿宋_GB2312" w:eastAsia="仿宋_GB2312" w:cs="DengXian-Regular" w:hint="eastAsia"/>
          <w:sz w:val="32"/>
          <w:szCs w:val="32"/>
        </w:rPr>
        <w:t>万元,比2017年度增加</w:t>
      </w:r>
      <w:r>
        <w:rPr>
          <w:rFonts w:ascii="仿宋_GB2312" w:eastAsia="仿宋_GB2312" w:cs="DengXian-Regular" w:hint="eastAsia"/>
          <w:sz w:val="32"/>
          <w:szCs w:val="32"/>
          <w:lang w:val="en-US" w:eastAsia="zh-CN"/>
        </w:rPr>
        <w:t>357.92</w:t>
      </w:r>
      <w:r>
        <w:rPr>
          <w:rFonts w:ascii="仿宋_GB2312" w:eastAsia="仿宋_GB2312" w:cs="DengXian-Regular" w:hint="eastAsia"/>
          <w:sz w:val="32"/>
          <w:szCs w:val="32"/>
        </w:rPr>
        <w:t>万元，增长</w:t>
      </w:r>
      <w:r>
        <w:rPr>
          <w:rFonts w:ascii="仿宋_GB2312" w:eastAsia="仿宋_GB2312" w:cs="DengXian-Regular" w:hint="eastAsia"/>
          <w:sz w:val="32"/>
          <w:szCs w:val="32"/>
          <w:lang w:val="en-US" w:eastAsia="zh-CN"/>
        </w:rPr>
        <w:t>108.78</w:t>
      </w:r>
      <w:r>
        <w:rPr>
          <w:rFonts w:ascii="仿宋_GB2312" w:eastAsia="仿宋_GB2312" w:cs="DengXian-Regular" w:hint="eastAsia"/>
          <w:sz w:val="32"/>
          <w:szCs w:val="32"/>
        </w:rPr>
        <w:t>%，主要原因是因供销社系统改制</w:t>
      </w:r>
      <w:r>
        <w:rPr>
          <w:rFonts w:ascii="仿宋_GB2312" w:eastAsia="仿宋_GB2312" w:cs="DengXian-Regular" w:hint="eastAsia"/>
          <w:sz w:val="32"/>
          <w:szCs w:val="32"/>
          <w:lang w:eastAsia="zh-CN"/>
        </w:rPr>
        <w:t>工作</w:t>
      </w:r>
      <w:r>
        <w:rPr>
          <w:rFonts w:ascii="仿宋_GB2312" w:eastAsia="仿宋_GB2312" w:cs="DengXian-Regular" w:hint="eastAsia"/>
          <w:sz w:val="32"/>
          <w:szCs w:val="32"/>
        </w:rPr>
        <w:t>，2018年度决算中有支付破产或改制企业职工安置费405.19万元</w:t>
      </w:r>
      <w:r>
        <w:rPr>
          <w:rFonts w:ascii="仿宋_GB2312" w:eastAsia="仿宋_GB2312" w:cs="DengXian-Regular" w:hint="eastAsia"/>
          <w:sz w:val="32"/>
          <w:szCs w:val="32"/>
          <w:lang w:eastAsia="zh-CN"/>
        </w:rPr>
        <w:t>（即</w:t>
      </w:r>
      <w:r>
        <w:rPr>
          <w:rFonts w:ascii="仿宋_GB2312" w:eastAsia="仿宋_GB2312" w:cs="DengXian-Regular" w:hint="eastAsia"/>
          <w:sz w:val="32"/>
          <w:szCs w:val="32"/>
          <w:lang w:val="en-US" w:eastAsia="zh-CN"/>
        </w:rPr>
        <w:t>:</w:t>
      </w:r>
      <w:r>
        <w:rPr>
          <w:rFonts w:ascii="仿宋_GB2312" w:eastAsia="仿宋_GB2312" w:cs="DengXian-Regular" w:hint="eastAsia"/>
          <w:sz w:val="32"/>
          <w:szCs w:val="32"/>
          <w:lang w:eastAsia="zh-CN"/>
        </w:rPr>
        <w:t>补缴</w:t>
      </w:r>
      <w:r>
        <w:rPr>
          <w:rFonts w:ascii="仿宋_GB2312" w:eastAsia="仿宋_GB2312" w:cs="DengXian-Regular" w:hint="eastAsia"/>
          <w:sz w:val="32"/>
          <w:szCs w:val="32"/>
          <w:lang w:val="en-US" w:eastAsia="zh-CN"/>
        </w:rPr>
        <w:t>2017年1-10月改制等退人员欠缴社会保险费79.95万元、退还党峪、新店子社资产购买者垫交土地出让金及税金325.24万元</w:t>
      </w:r>
      <w:r>
        <w:rPr>
          <w:rFonts w:ascii="仿宋_GB2312" w:eastAsia="仿宋_GB2312" w:cs="DengXian-Regular" w:hint="eastAsia"/>
          <w:sz w:val="32"/>
          <w:szCs w:val="32"/>
          <w:lang w:eastAsia="zh-CN"/>
        </w:rPr>
        <w:t>）</w:t>
      </w:r>
      <w:r>
        <w:rPr>
          <w:rFonts w:ascii="仿宋_GB2312" w:eastAsia="仿宋_GB2312" w:cs="DengXian-Regular" w:hint="eastAsia"/>
          <w:sz w:val="32"/>
          <w:szCs w:val="32"/>
        </w:rPr>
        <w:t>以及其他国有土地使用权出让收入安排的支出5万元</w:t>
      </w:r>
      <w:r>
        <w:rPr>
          <w:rFonts w:ascii="仿宋_GB2312" w:eastAsia="仿宋_GB2312" w:cs="DengXian-Regular" w:hint="eastAsia"/>
          <w:sz w:val="32"/>
          <w:szCs w:val="32"/>
          <w:lang w:eastAsia="zh-CN"/>
        </w:rPr>
        <w:t>（</w:t>
      </w:r>
      <w:r>
        <w:rPr>
          <w:rFonts w:ascii="仿宋_GB2312" w:eastAsia="仿宋_GB2312" w:cs="DengXian-Regular" w:hint="eastAsia"/>
          <w:sz w:val="32"/>
          <w:szCs w:val="32"/>
          <w:lang w:val="en-US" w:eastAsia="zh-CN"/>
        </w:rPr>
        <w:t>2015年农业综合开发供销合作总社项目即核桃冷藏保鲜改造项目本级配套资金5万元</w:t>
      </w:r>
      <w:r>
        <w:rPr>
          <w:rFonts w:ascii="仿宋_GB2312" w:eastAsia="仿宋_GB2312" w:cs="DengXian-Regular" w:hint="eastAsia"/>
          <w:sz w:val="32"/>
          <w:szCs w:val="32"/>
          <w:lang w:eastAsia="zh-CN"/>
        </w:rPr>
        <w:t>）</w:t>
      </w:r>
      <w:r>
        <w:rPr>
          <w:rFonts w:ascii="仿宋_GB2312" w:eastAsia="仿宋_GB2312" w:cs="DengXian-Regular" w:hint="eastAsia"/>
          <w:sz w:val="32"/>
          <w:szCs w:val="32"/>
        </w:rPr>
        <w:t>的因素影响，而2017年度决算中无此项因素所致；本年支出</w:t>
      </w:r>
      <w:r>
        <w:rPr>
          <w:rFonts w:ascii="仿宋_GB2312" w:eastAsia="仿宋_GB2312" w:cs="DengXian-Regular" w:hint="eastAsia"/>
          <w:sz w:val="32"/>
          <w:szCs w:val="32"/>
          <w:lang w:val="en-US" w:eastAsia="zh-CN"/>
        </w:rPr>
        <w:t>686.95</w:t>
      </w:r>
      <w:r>
        <w:rPr>
          <w:rFonts w:ascii="仿宋_GB2312" w:eastAsia="仿宋_GB2312" w:cs="DengXian-Regular" w:hint="eastAsia"/>
          <w:sz w:val="32"/>
          <w:szCs w:val="32"/>
        </w:rPr>
        <w:t>万元，增加</w:t>
      </w:r>
      <w:r>
        <w:rPr>
          <w:rFonts w:ascii="仿宋_GB2312" w:eastAsia="仿宋_GB2312" w:cs="DengXian-Regular" w:hint="eastAsia"/>
          <w:sz w:val="32"/>
          <w:szCs w:val="32"/>
          <w:lang w:val="en-US" w:eastAsia="zh-CN"/>
        </w:rPr>
        <w:t>357.92</w:t>
      </w:r>
      <w:r>
        <w:rPr>
          <w:rFonts w:ascii="仿宋_GB2312" w:eastAsia="仿宋_GB2312" w:cs="DengXian-Regular" w:hint="eastAsia"/>
          <w:sz w:val="32"/>
          <w:szCs w:val="32"/>
        </w:rPr>
        <w:t>万元，增长</w:t>
      </w:r>
      <w:r>
        <w:rPr>
          <w:rFonts w:ascii="仿宋_GB2312" w:eastAsia="仿宋_GB2312" w:cs="DengXian-Regular" w:hint="eastAsia"/>
          <w:sz w:val="32"/>
          <w:szCs w:val="32"/>
          <w:lang w:val="en-US" w:eastAsia="zh-CN"/>
        </w:rPr>
        <w:t>108.78</w:t>
      </w:r>
      <w:r>
        <w:rPr>
          <w:rFonts w:ascii="仿宋_GB2312" w:eastAsia="仿宋_GB2312" w:cs="DengXian-Regular" w:hint="eastAsia"/>
          <w:sz w:val="32"/>
          <w:szCs w:val="32"/>
        </w:rPr>
        <w:t>%，主要</w:t>
      </w:r>
      <w:r>
        <w:rPr>
          <w:rFonts w:ascii="仿宋_GB2312" w:eastAsia="仿宋_GB2312" w:cs="DengXian-Regular" w:hint="eastAsia"/>
          <w:sz w:val="32"/>
          <w:szCs w:val="32"/>
          <w:lang w:eastAsia="zh-CN"/>
        </w:rPr>
        <w:t>原因与</w:t>
      </w:r>
      <w:r>
        <w:rPr>
          <w:rFonts w:ascii="仿宋_GB2312" w:eastAsia="仿宋_GB2312" w:cs="DengXian-Regular" w:hint="eastAsia"/>
          <w:sz w:val="32"/>
          <w:szCs w:val="32"/>
        </w:rPr>
        <w:t>财政拨款</w:t>
      </w:r>
      <w:r>
        <w:rPr>
          <w:rFonts w:ascii="仿宋_GB2312" w:eastAsia="仿宋_GB2312" w:cs="DengXian-Regular" w:hint="eastAsia"/>
          <w:sz w:val="32"/>
          <w:szCs w:val="32"/>
          <w:lang w:eastAsia="zh-CN"/>
        </w:rPr>
        <w:t>本年收入增长原因相同。</w:t>
      </w:r>
    </w:p>
    <w:p>
      <w:pPr>
        <w:adjustRightInd w:val="0"/>
        <w:snapToGrid w:val="0"/>
        <w:spacing w:after="0" w:line="580" w:lineRule="exact"/>
        <w:ind w:firstLineChars="200" w:firstLine="640"/>
        <w:rPr>
          <w:rFonts w:ascii="仿宋_GB2312" w:eastAsia="仿宋_GB2312" w:cs="DengXian-Regular" w:hint="eastAsia"/>
          <w:sz w:val="32"/>
          <w:szCs w:val="32"/>
          <w:lang w:eastAsia="zh-CN"/>
        </w:rPr>
      </w:pPr>
      <w:r>
        <w:rPr>
          <w:rFonts w:ascii="仿宋_GB2312" w:eastAsia="仿宋_GB2312" w:cs="DengXian-Regular" w:hint="eastAsia"/>
          <w:sz w:val="32"/>
          <w:szCs w:val="32"/>
        </w:rPr>
        <w:t>其中：一般公共预算财政拨款本年收入</w:t>
      </w:r>
      <w:r>
        <w:rPr>
          <w:rFonts w:ascii="仿宋_GB2312" w:eastAsia="仿宋_GB2312" w:cs="DengXian-Regular" w:hint="eastAsia"/>
          <w:sz w:val="32"/>
          <w:szCs w:val="32"/>
          <w:lang w:val="en-US" w:eastAsia="zh-CN"/>
        </w:rPr>
        <w:t>276.76</w:t>
      </w:r>
      <w:r>
        <w:rPr>
          <w:rFonts w:ascii="仿宋_GB2312" w:eastAsia="仿宋_GB2312" w:cs="DengXian-Regular" w:hint="eastAsia"/>
          <w:sz w:val="32"/>
          <w:szCs w:val="32"/>
        </w:rPr>
        <w:t>万元，比上年减少</w:t>
      </w:r>
      <w:r>
        <w:rPr>
          <w:rFonts w:ascii="仿宋_GB2312" w:eastAsia="仿宋_GB2312" w:cs="DengXian-Regular" w:hint="eastAsia"/>
          <w:sz w:val="32"/>
          <w:szCs w:val="32"/>
          <w:lang w:val="en-US" w:eastAsia="zh-CN"/>
        </w:rPr>
        <w:t>52.27</w:t>
      </w:r>
      <w:r>
        <w:rPr>
          <w:rFonts w:ascii="仿宋_GB2312" w:eastAsia="仿宋_GB2312" w:cs="DengXian-Regular" w:hint="eastAsia"/>
          <w:sz w:val="32"/>
          <w:szCs w:val="32"/>
        </w:rPr>
        <w:t>万元</w:t>
      </w:r>
      <w:r>
        <w:rPr>
          <w:rFonts w:ascii="仿宋_GB2312" w:eastAsia="仿宋_GB2312" w:cs="DengXian-Regular" w:hint="eastAsia"/>
          <w:sz w:val="32"/>
          <w:szCs w:val="32"/>
          <w:lang w:eastAsia="zh-CN"/>
        </w:rPr>
        <w:t>，减少</w:t>
      </w:r>
      <w:r>
        <w:rPr>
          <w:rFonts w:ascii="仿宋_GB2312" w:eastAsia="仿宋_GB2312" w:cs="DengXian-Regular" w:hint="eastAsia"/>
          <w:sz w:val="32"/>
          <w:szCs w:val="32"/>
          <w:lang w:val="en-US" w:eastAsia="zh-CN"/>
        </w:rPr>
        <w:t>15.89%</w:t>
      </w:r>
      <w:r>
        <w:rPr>
          <w:rFonts w:ascii="仿宋_GB2312" w:eastAsia="仿宋_GB2312" w:cs="DengXian-Regular" w:hint="eastAsia"/>
          <w:sz w:val="32"/>
          <w:szCs w:val="32"/>
        </w:rPr>
        <w:t>；主要</w:t>
      </w:r>
      <w:r>
        <w:rPr>
          <w:rFonts w:ascii="仿宋_GB2312" w:eastAsia="仿宋_GB2312" w:cs="DengXian-Regular" w:hint="eastAsia"/>
          <w:sz w:val="32"/>
          <w:szCs w:val="32"/>
          <w:lang w:eastAsia="zh-CN"/>
        </w:rPr>
        <w:t>原因为一是因人员退休因素，今年比去年减少</w:t>
      </w:r>
      <w:r>
        <w:rPr>
          <w:rFonts w:ascii="仿宋_GB2312" w:eastAsia="仿宋_GB2312" w:cs="DengXian-Regular" w:hint="eastAsia"/>
          <w:sz w:val="32"/>
          <w:szCs w:val="32"/>
          <w:lang w:val="en-US" w:eastAsia="zh-CN"/>
        </w:rPr>
        <w:t>3人，导致相应工资福利、社保费等人员经费和日常公用经费减少</w:t>
      </w:r>
      <w:r>
        <w:rPr>
          <w:rFonts w:ascii="仿宋_GB2312" w:eastAsia="仿宋_GB2312" w:cs="DengXian-Regular" w:hint="eastAsia"/>
          <w:sz w:val="32"/>
          <w:szCs w:val="32"/>
        </w:rPr>
        <w:t>；</w:t>
      </w:r>
      <w:r>
        <w:rPr>
          <w:rFonts w:ascii="仿宋_GB2312" w:eastAsia="仿宋_GB2312" w:cs="DengXian-Regular" w:hint="eastAsia"/>
          <w:sz w:val="32"/>
          <w:szCs w:val="32"/>
          <w:lang w:eastAsia="zh-CN"/>
        </w:rPr>
        <w:t>二是去年有偿还牛门口库房租金</w:t>
      </w:r>
      <w:r>
        <w:rPr>
          <w:rFonts w:ascii="仿宋_GB2312" w:eastAsia="仿宋_GB2312" w:cs="DengXian-Regular" w:hint="eastAsia"/>
          <w:sz w:val="32"/>
          <w:szCs w:val="32"/>
          <w:lang w:val="en-US" w:eastAsia="zh-CN"/>
        </w:rPr>
        <w:t>25.96万元因素而今年没有。</w:t>
      </w:r>
      <w:r>
        <w:rPr>
          <w:rFonts w:ascii="仿宋_GB2312" w:eastAsia="仿宋_GB2312" w:cs="DengXian-Regular" w:hint="eastAsia"/>
          <w:sz w:val="32"/>
          <w:szCs w:val="32"/>
        </w:rPr>
        <w:t>本年支出</w:t>
      </w:r>
      <w:r>
        <w:rPr>
          <w:rFonts w:ascii="仿宋_GB2312" w:eastAsia="仿宋_GB2312" w:cs="DengXian-Regular" w:hint="eastAsia"/>
          <w:sz w:val="32"/>
          <w:szCs w:val="32"/>
          <w:lang w:val="en-US" w:eastAsia="zh-CN"/>
        </w:rPr>
        <w:t>276.76</w:t>
      </w:r>
      <w:r>
        <w:rPr>
          <w:rFonts w:ascii="仿宋_GB2312" w:eastAsia="仿宋_GB2312" w:cs="DengXian-Regular" w:hint="eastAsia"/>
          <w:sz w:val="32"/>
          <w:szCs w:val="32"/>
        </w:rPr>
        <w:t>万元，比上年</w:t>
      </w:r>
      <w:r>
        <w:rPr>
          <w:rFonts w:ascii="仿宋_GB2312" w:eastAsia="仿宋_GB2312" w:cs="DengXian-Regular" w:hint="eastAsia"/>
          <w:sz w:val="32"/>
          <w:szCs w:val="32"/>
          <w:lang w:eastAsia="zh-CN"/>
        </w:rPr>
        <w:t>减少</w:t>
      </w:r>
      <w:r>
        <w:rPr>
          <w:rFonts w:ascii="仿宋_GB2312" w:eastAsia="仿宋_GB2312" w:cs="DengXian-Regular" w:hint="eastAsia"/>
          <w:sz w:val="32"/>
          <w:szCs w:val="32"/>
          <w:lang w:val="en-US" w:eastAsia="zh-CN"/>
        </w:rPr>
        <w:t>52.27</w:t>
      </w:r>
      <w:r>
        <w:rPr>
          <w:rFonts w:ascii="仿宋_GB2312" w:eastAsia="仿宋_GB2312" w:cs="DengXian-Regular" w:hint="eastAsia"/>
          <w:sz w:val="32"/>
          <w:szCs w:val="32"/>
        </w:rPr>
        <w:t>万元，</w:t>
      </w:r>
      <w:r>
        <w:rPr>
          <w:rFonts w:ascii="仿宋_GB2312" w:eastAsia="仿宋_GB2312" w:cs="DengXian-Regular" w:hint="eastAsia"/>
          <w:sz w:val="32"/>
          <w:szCs w:val="32"/>
          <w:lang w:eastAsia="zh-CN"/>
        </w:rPr>
        <w:t>减少</w:t>
      </w:r>
      <w:r>
        <w:rPr>
          <w:rFonts w:ascii="仿宋_GB2312" w:eastAsia="仿宋_GB2312" w:cs="DengXian-Regular" w:hint="eastAsia"/>
          <w:sz w:val="32"/>
          <w:szCs w:val="32"/>
          <w:lang w:val="en-US" w:eastAsia="zh-CN"/>
        </w:rPr>
        <w:t>15.89</w:t>
      </w:r>
      <w:r>
        <w:rPr>
          <w:rFonts w:ascii="仿宋_GB2312" w:eastAsia="仿宋_GB2312" w:cs="DengXian-Regular" w:hint="eastAsia"/>
          <w:sz w:val="32"/>
          <w:szCs w:val="32"/>
        </w:rPr>
        <w:t>%，主要</w:t>
      </w:r>
      <w:r>
        <w:rPr>
          <w:rFonts w:ascii="仿宋_GB2312" w:eastAsia="仿宋_GB2312" w:cs="DengXian-Regular" w:hint="eastAsia"/>
          <w:sz w:val="32"/>
          <w:szCs w:val="32"/>
          <w:lang w:eastAsia="zh-CN"/>
        </w:rPr>
        <w:t>原因与</w:t>
      </w:r>
      <w:r>
        <w:rPr>
          <w:rFonts w:ascii="仿宋_GB2312" w:eastAsia="仿宋_GB2312" w:cs="DengXian-Regular" w:hint="eastAsia"/>
          <w:sz w:val="32"/>
          <w:szCs w:val="32"/>
        </w:rPr>
        <w:t>一般公共预算财政拨款</w:t>
      </w:r>
      <w:r>
        <w:rPr>
          <w:rFonts w:ascii="仿宋_GB2312" w:eastAsia="仿宋_GB2312" w:cs="DengXian-Regular" w:hint="eastAsia"/>
          <w:sz w:val="32"/>
          <w:szCs w:val="32"/>
          <w:lang w:eastAsia="zh-CN"/>
        </w:rPr>
        <w:t>本年收入减少原因相同</w:t>
      </w:r>
      <w:r>
        <w:rPr>
          <w:rFonts w:ascii="仿宋_GB2312" w:eastAsia="仿宋_GB2312" w:cs="DengXian-Regular" w:hint="eastAsia"/>
          <w:sz w:val="32"/>
          <w:szCs w:val="32"/>
        </w:rPr>
        <w:t>。政府性基金预算财政拨款本年收入</w:t>
      </w:r>
      <w:r>
        <w:rPr>
          <w:rFonts w:ascii="仿宋_GB2312" w:eastAsia="仿宋_GB2312" w:cs="DengXian-Regular" w:hint="eastAsia"/>
          <w:sz w:val="32"/>
          <w:szCs w:val="32"/>
          <w:lang w:val="en-US" w:eastAsia="zh-CN"/>
        </w:rPr>
        <w:t>410.19</w:t>
      </w:r>
      <w:r>
        <w:rPr>
          <w:rFonts w:ascii="仿宋_GB2312" w:eastAsia="仿宋_GB2312" w:cs="DengXian-Regular" w:hint="eastAsia"/>
          <w:sz w:val="32"/>
          <w:szCs w:val="32"/>
        </w:rPr>
        <w:t>万元，比上年增加</w:t>
      </w:r>
      <w:r>
        <w:rPr>
          <w:rFonts w:ascii="仿宋_GB2312" w:eastAsia="仿宋_GB2312" w:cs="DengXian-Regular" w:hint="eastAsia"/>
          <w:sz w:val="32"/>
          <w:szCs w:val="32"/>
          <w:lang w:val="en-US" w:eastAsia="zh-CN"/>
        </w:rPr>
        <w:t>410.19</w:t>
      </w:r>
      <w:r>
        <w:rPr>
          <w:rFonts w:ascii="仿宋_GB2312" w:eastAsia="仿宋_GB2312" w:cs="DengXian-Regular" w:hint="eastAsia"/>
          <w:sz w:val="32"/>
          <w:szCs w:val="32"/>
        </w:rPr>
        <w:t>万元，</w:t>
      </w:r>
      <w:r>
        <w:rPr>
          <w:rFonts w:ascii="仿宋_GB2312" w:eastAsia="仿宋_GB2312" w:cs="DengXian-Regular" w:hint="eastAsia"/>
          <w:sz w:val="32"/>
          <w:szCs w:val="32"/>
          <w:lang w:eastAsia="zh-CN"/>
        </w:rPr>
        <w:t>上年无此项收入</w:t>
      </w:r>
      <w:r>
        <w:rPr>
          <w:rFonts w:ascii="仿宋_GB2312" w:eastAsia="仿宋_GB2312" w:cs="DengXian-Regular" w:hint="eastAsia"/>
          <w:sz w:val="32"/>
          <w:szCs w:val="32"/>
        </w:rPr>
        <w:t>，主要原因是因供销社系统改制工作，2018年度决算中有支付破产或改制企业职工安置费405.19万元（即:补缴2017年1-10月改制等退人员欠缴社会保险费79.95万元、退还党峪、新店子社资产购买者垫交土地出让金及税金325.24万元）以及其他国有土地使用权出让收入安排的支出5万元（2015年农业综合开发供销合作总社项目即核桃冷藏保鲜改造项目本级配套资金5万元）</w:t>
      </w:r>
      <w:r>
        <w:rPr>
          <w:rFonts w:ascii="仿宋_GB2312" w:eastAsia="仿宋_GB2312" w:cs="DengXian-Regular" w:hint="eastAsia"/>
          <w:sz w:val="32"/>
          <w:szCs w:val="32"/>
          <w:lang w:eastAsia="zh-CN"/>
        </w:rPr>
        <w:t>，而2017年度决算中无此项因素</w:t>
      </w:r>
      <w:r>
        <w:rPr>
          <w:rFonts w:ascii="仿宋_GB2312" w:eastAsia="仿宋_GB2312" w:cs="DengXian-Regular" w:hint="eastAsia"/>
          <w:sz w:val="32"/>
          <w:szCs w:val="32"/>
        </w:rPr>
        <w:t>；本年支出</w:t>
      </w:r>
      <w:r>
        <w:rPr>
          <w:rFonts w:ascii="仿宋_GB2312" w:eastAsia="仿宋_GB2312" w:cs="DengXian-Regular" w:hint="eastAsia"/>
          <w:sz w:val="32"/>
          <w:szCs w:val="32"/>
          <w:lang w:val="en-US" w:eastAsia="zh-CN"/>
        </w:rPr>
        <w:t>410.19</w:t>
      </w:r>
      <w:r>
        <w:rPr>
          <w:rFonts w:ascii="仿宋_GB2312" w:eastAsia="仿宋_GB2312" w:cs="DengXian-Regular" w:hint="eastAsia"/>
          <w:sz w:val="32"/>
          <w:szCs w:val="32"/>
        </w:rPr>
        <w:t>万元，比上年增加</w:t>
      </w:r>
      <w:r>
        <w:rPr>
          <w:rFonts w:ascii="仿宋_GB2312" w:eastAsia="仿宋_GB2312" w:cs="DengXian-Regular" w:hint="eastAsia"/>
          <w:sz w:val="32"/>
          <w:szCs w:val="32"/>
          <w:lang w:val="en-US" w:eastAsia="zh-CN"/>
        </w:rPr>
        <w:t>410.19</w:t>
      </w:r>
      <w:r>
        <w:rPr>
          <w:rFonts w:ascii="仿宋_GB2312" w:eastAsia="仿宋_GB2312" w:cs="DengXian-Regular" w:hint="eastAsia"/>
          <w:sz w:val="32"/>
          <w:szCs w:val="32"/>
        </w:rPr>
        <w:t>万元，</w:t>
      </w:r>
      <w:r>
        <w:rPr>
          <w:rFonts w:ascii="仿宋_GB2312" w:eastAsia="仿宋_GB2312" w:cs="DengXian-Regular" w:hint="eastAsia"/>
          <w:sz w:val="32"/>
          <w:szCs w:val="32"/>
          <w:lang w:eastAsia="zh-CN"/>
        </w:rPr>
        <w:t>上年无此项支出，</w:t>
      </w:r>
      <w:r>
        <w:rPr>
          <w:rFonts w:ascii="仿宋_GB2312" w:eastAsia="仿宋_GB2312" w:cs="DengXian-Regular" w:hint="eastAsia"/>
          <w:sz w:val="32"/>
          <w:szCs w:val="32"/>
        </w:rPr>
        <w:t>主要原因</w:t>
      </w:r>
      <w:r>
        <w:rPr>
          <w:rFonts w:ascii="仿宋_GB2312" w:eastAsia="仿宋_GB2312" w:cs="DengXian-Regular" w:hint="eastAsia"/>
          <w:sz w:val="32"/>
          <w:szCs w:val="32"/>
          <w:lang w:eastAsia="zh-CN"/>
        </w:rPr>
        <w:t>与</w:t>
      </w:r>
      <w:r>
        <w:rPr>
          <w:rFonts w:ascii="仿宋_GB2312" w:eastAsia="仿宋_GB2312" w:cs="DengXian-Regular" w:hint="eastAsia"/>
          <w:sz w:val="32"/>
          <w:szCs w:val="32"/>
        </w:rPr>
        <w:t>政府性基金预算财政拨款本年收入</w:t>
      </w:r>
      <w:r>
        <w:rPr>
          <w:rFonts w:ascii="仿宋_GB2312" w:eastAsia="仿宋_GB2312" w:cs="DengXian-Regular" w:hint="eastAsia"/>
          <w:sz w:val="32"/>
          <w:szCs w:val="32"/>
          <w:lang w:eastAsia="zh-CN"/>
        </w:rPr>
        <w:t>增加原因相同。</w:t>
      </w:r>
    </w:p>
    <w:p>
      <w:pPr>
        <w:spacing w:after="0" w:line="580" w:lineRule="exact"/>
        <w:ind w:firstLineChars="200" w:firstLine="640"/>
        <w:rPr>
          <w:rFonts w:ascii="仿宋_GB2312" w:eastAsia="仿宋_GB2312" w:cs="DengXian-Regular"/>
          <w:sz w:val="32"/>
          <w:szCs w:val="32"/>
          <w:highlight w:val="yellow"/>
        </w:rPr>
      </w:pPr>
      <w:r>
        <w:rPr>
          <w:rFonts w:ascii="楷体_GB2312" w:eastAsia="楷体_GB2312" w:cs="DengXian-Bold" w:hint="eastAsia"/>
          <w:b/>
          <w:bCs/>
          <w:sz w:val="32"/>
          <w:szCs w:val="32"/>
        </w:rPr>
        <w:t>（二）财政拨款收支与年初预算数对比情况</w:t>
      </w:r>
    </w:p>
    <w:p>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本部门2018年度财政拨款本年收入</w:t>
      </w:r>
      <w:r>
        <w:rPr>
          <w:rFonts w:ascii="仿宋_GB2312" w:eastAsia="仿宋_GB2312" w:cs="DengXian-Regular" w:hint="eastAsia"/>
          <w:sz w:val="32"/>
          <w:szCs w:val="32"/>
          <w:lang w:val="en-US" w:eastAsia="zh-CN"/>
        </w:rPr>
        <w:t>686.95</w:t>
      </w:r>
      <w:r>
        <w:rPr>
          <w:rFonts w:ascii="仿宋_GB2312" w:eastAsia="仿宋_GB2312" w:cs="DengXian-Regular" w:hint="eastAsia"/>
          <w:sz w:val="32"/>
          <w:szCs w:val="32"/>
        </w:rPr>
        <w:t>万元，完成年初预算的</w:t>
      </w:r>
      <w:r>
        <w:rPr>
          <w:rFonts w:ascii="仿宋_GB2312" w:eastAsia="仿宋_GB2312" w:cs="DengXian-Regular" w:hint="eastAsia"/>
          <w:sz w:val="32"/>
          <w:szCs w:val="32"/>
          <w:lang w:val="en-US" w:eastAsia="zh-CN"/>
        </w:rPr>
        <w:t>211.22</w:t>
      </w:r>
      <w:r>
        <w:rPr>
          <w:rFonts w:ascii="仿宋_GB2312" w:eastAsia="仿宋_GB2312" w:cs="DengXian-Regular" w:hint="eastAsia"/>
          <w:sz w:val="32"/>
          <w:szCs w:val="32"/>
        </w:rPr>
        <w:t>%,比年初预算增加</w:t>
      </w:r>
      <w:r>
        <w:rPr>
          <w:rFonts w:ascii="仿宋_GB2312" w:eastAsia="仿宋_GB2312" w:cs="DengXian-Regular" w:hint="eastAsia"/>
          <w:sz w:val="32"/>
          <w:szCs w:val="32"/>
          <w:lang w:val="en-US" w:eastAsia="zh-CN"/>
        </w:rPr>
        <w:t>361.72</w:t>
      </w:r>
      <w:r>
        <w:rPr>
          <w:rFonts w:ascii="仿宋_GB2312" w:eastAsia="仿宋_GB2312" w:cs="DengXian-Regular" w:hint="eastAsia"/>
          <w:sz w:val="32"/>
          <w:szCs w:val="32"/>
        </w:rPr>
        <w:t>万元，决算数大于预算数主要原因是</w:t>
      </w:r>
      <w:r>
        <w:rPr>
          <w:rFonts w:ascii="仿宋_GB2312" w:eastAsia="仿宋_GB2312" w:cs="DengXian-Regular" w:hint="eastAsia"/>
          <w:sz w:val="32"/>
          <w:szCs w:val="32"/>
          <w:lang w:eastAsia="zh-CN"/>
        </w:rPr>
        <w:t>：</w:t>
      </w:r>
      <w:r>
        <w:rPr>
          <w:rFonts w:ascii="仿宋_GB2312" w:eastAsia="仿宋_GB2312" w:cs="DengXian-Regular" w:hint="eastAsia"/>
          <w:sz w:val="32"/>
          <w:szCs w:val="32"/>
        </w:rPr>
        <w:t>因供销社系统改制工作，2018年度决算中</w:t>
      </w:r>
      <w:r>
        <w:rPr>
          <w:rFonts w:ascii="仿宋_GB2312" w:eastAsia="仿宋_GB2312" w:cs="DengXian-Regular" w:hint="eastAsia"/>
          <w:sz w:val="32"/>
          <w:szCs w:val="32"/>
          <w:lang w:eastAsia="zh-CN"/>
        </w:rPr>
        <w:t>新增</w:t>
      </w:r>
      <w:r>
        <w:rPr>
          <w:rFonts w:ascii="仿宋_GB2312" w:eastAsia="仿宋_GB2312" w:cs="DengXian-Regular" w:hint="eastAsia"/>
          <w:sz w:val="32"/>
          <w:szCs w:val="32"/>
        </w:rPr>
        <w:t>支付破产或改制企业职工安置费405.19万元（即:补缴2017年1-10月改制等退人员欠缴社会保险费79.95万元、退还党峪、新店子社资产购买者垫交土地出让金及税金325.24万元）以及其他国有土地使用权出让收入安排的支出5万元（2015年农业综合开发供销合作总社项目即核桃冷藏保鲜改造项目本级配套资金5万元）的因素影响</w:t>
      </w:r>
      <w:r>
        <w:rPr>
          <w:rFonts w:ascii="仿宋_GB2312" w:eastAsia="仿宋_GB2312" w:cs="DengXian-Regular" w:hint="eastAsia"/>
          <w:sz w:val="32"/>
          <w:szCs w:val="32"/>
          <w:lang w:eastAsia="zh-CN"/>
        </w:rPr>
        <w:t>。</w:t>
      </w:r>
      <w:r>
        <w:rPr>
          <w:rFonts w:ascii="仿宋_GB2312" w:eastAsia="仿宋_GB2312" w:cs="DengXian-Regular" w:hint="eastAsia"/>
          <w:sz w:val="32"/>
          <w:szCs w:val="32"/>
        </w:rPr>
        <w:t>本年支出</w:t>
      </w:r>
      <w:r>
        <w:rPr>
          <w:rFonts w:ascii="仿宋_GB2312" w:eastAsia="仿宋_GB2312" w:cs="DengXian-Regular" w:hint="eastAsia"/>
          <w:sz w:val="32"/>
          <w:szCs w:val="32"/>
          <w:lang w:val="en-US" w:eastAsia="zh-CN"/>
        </w:rPr>
        <w:t>686.95</w:t>
      </w:r>
      <w:r>
        <w:rPr>
          <w:rFonts w:ascii="仿宋_GB2312" w:eastAsia="仿宋_GB2312" w:cs="DengXian-Regular" w:hint="eastAsia"/>
          <w:sz w:val="32"/>
          <w:szCs w:val="32"/>
        </w:rPr>
        <w:t>万元，完成年初预算的</w:t>
      </w:r>
      <w:r>
        <w:rPr>
          <w:rFonts w:ascii="仿宋_GB2312" w:eastAsia="仿宋_GB2312" w:cs="DengXian-Regular" w:hint="eastAsia"/>
          <w:sz w:val="32"/>
          <w:szCs w:val="32"/>
          <w:lang w:val="en-US" w:eastAsia="zh-CN"/>
        </w:rPr>
        <w:t>211.22</w:t>
      </w:r>
      <w:r>
        <w:rPr>
          <w:rFonts w:ascii="仿宋_GB2312" w:eastAsia="仿宋_GB2312" w:cs="DengXian-Regular" w:hint="eastAsia"/>
          <w:sz w:val="32"/>
          <w:szCs w:val="32"/>
        </w:rPr>
        <w:t>%,比年初预算增加</w:t>
      </w:r>
      <w:r>
        <w:rPr>
          <w:rFonts w:ascii="仿宋_GB2312" w:eastAsia="仿宋_GB2312" w:cs="DengXian-Regular" w:hint="eastAsia"/>
          <w:sz w:val="32"/>
          <w:szCs w:val="32"/>
          <w:lang w:val="en-US" w:eastAsia="zh-CN"/>
        </w:rPr>
        <w:t>361.72</w:t>
      </w:r>
      <w:r>
        <w:rPr>
          <w:rFonts w:ascii="仿宋_GB2312" w:eastAsia="仿宋_GB2312" w:cs="DengXian-Regular" w:hint="eastAsia"/>
          <w:sz w:val="32"/>
          <w:szCs w:val="32"/>
        </w:rPr>
        <w:t>万元，决算数大于预算数主要原因</w:t>
      </w:r>
      <w:r>
        <w:rPr>
          <w:rFonts w:ascii="仿宋_GB2312" w:eastAsia="仿宋_GB2312" w:cs="DengXian-Regular" w:hint="eastAsia"/>
          <w:sz w:val="32"/>
          <w:szCs w:val="32"/>
          <w:lang w:eastAsia="zh-CN"/>
        </w:rPr>
        <w:t>与</w:t>
      </w:r>
      <w:r>
        <w:rPr>
          <w:rFonts w:ascii="仿宋_GB2312" w:eastAsia="仿宋_GB2312" w:cs="DengXian-Regular" w:hint="eastAsia"/>
          <w:sz w:val="32"/>
          <w:szCs w:val="32"/>
        </w:rPr>
        <w:t>财政拨款</w:t>
      </w:r>
      <w:r>
        <w:rPr>
          <w:rFonts w:ascii="仿宋_GB2312" w:eastAsia="仿宋_GB2312" w:cs="DengXian-Regular" w:hint="eastAsia"/>
          <w:sz w:val="32"/>
          <w:szCs w:val="32"/>
          <w:lang w:eastAsia="zh-CN"/>
        </w:rPr>
        <w:t>本年收入增加原因相同</w:t>
      </w:r>
      <w:r>
        <w:rPr>
          <w:rFonts w:ascii="仿宋_GB2312" w:eastAsia="仿宋_GB2312" w:cs="DengXian-Regular" w:hint="eastAsia"/>
          <w:sz w:val="32"/>
          <w:szCs w:val="32"/>
        </w:rPr>
        <w:t>。</w:t>
      </w:r>
    </w:p>
    <w:p>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其中，一般公共预算财政拨款本年收入完成年初预算</w:t>
      </w:r>
      <w:r>
        <w:rPr>
          <w:rFonts w:ascii="仿宋_GB2312" w:eastAsia="仿宋_GB2312" w:cs="DengXian-Regular" w:hint="eastAsia"/>
          <w:sz w:val="32"/>
          <w:szCs w:val="32"/>
          <w:lang w:val="en-US" w:eastAsia="zh-CN"/>
        </w:rPr>
        <w:t>85.10</w:t>
      </w:r>
      <w:r>
        <w:rPr>
          <w:rFonts w:ascii="仿宋_GB2312" w:eastAsia="仿宋_GB2312" w:cs="DengXian-Regular" w:hint="eastAsia"/>
          <w:sz w:val="32"/>
          <w:szCs w:val="32"/>
        </w:rPr>
        <w:t>%，比年初预算</w:t>
      </w:r>
      <w:r>
        <w:rPr>
          <w:rFonts w:ascii="仿宋_GB2312" w:eastAsia="仿宋_GB2312" w:cs="DengXian-Regular" w:hint="eastAsia"/>
          <w:sz w:val="32"/>
          <w:szCs w:val="32"/>
          <w:lang w:eastAsia="zh-CN"/>
        </w:rPr>
        <w:t>减少</w:t>
      </w:r>
      <w:r>
        <w:rPr>
          <w:rFonts w:ascii="仿宋_GB2312" w:eastAsia="仿宋_GB2312" w:cs="DengXian-Regular" w:hint="eastAsia"/>
          <w:sz w:val="32"/>
          <w:szCs w:val="32"/>
          <w:lang w:val="en-US" w:eastAsia="zh-CN"/>
        </w:rPr>
        <w:t>48.47</w:t>
      </w:r>
      <w:r>
        <w:rPr>
          <w:rFonts w:ascii="仿宋_GB2312" w:eastAsia="仿宋_GB2312" w:cs="DengXian-Regular" w:hint="eastAsia"/>
          <w:sz w:val="32"/>
          <w:szCs w:val="32"/>
        </w:rPr>
        <w:t>万元，主要</w:t>
      </w:r>
      <w:r>
        <w:rPr>
          <w:rFonts w:ascii="仿宋_GB2312" w:eastAsia="仿宋_GB2312" w:cs="DengXian-Regular" w:hint="eastAsia"/>
          <w:sz w:val="32"/>
          <w:szCs w:val="32"/>
          <w:lang w:eastAsia="zh-CN"/>
        </w:rPr>
        <w:t>原因一是年初职业年金预算</w:t>
      </w:r>
      <w:r>
        <w:rPr>
          <w:rFonts w:ascii="仿宋_GB2312" w:eastAsia="仿宋_GB2312" w:cs="DengXian-Regular" w:hint="eastAsia"/>
          <w:sz w:val="32"/>
          <w:szCs w:val="32"/>
          <w:lang w:val="en-US" w:eastAsia="zh-CN"/>
        </w:rPr>
        <w:t>10.13万元，因单位属性不明确未能实际列支</w:t>
      </w:r>
      <w:r>
        <w:rPr>
          <w:rFonts w:ascii="仿宋_GB2312" w:eastAsia="仿宋_GB2312" w:cs="DengXian-Regular" w:hint="eastAsia"/>
          <w:sz w:val="32"/>
          <w:szCs w:val="32"/>
        </w:rPr>
        <w:t>；</w:t>
      </w:r>
      <w:r>
        <w:rPr>
          <w:rFonts w:ascii="仿宋_GB2312" w:eastAsia="仿宋_GB2312" w:cs="DengXian-Regular" w:hint="eastAsia"/>
          <w:sz w:val="32"/>
          <w:szCs w:val="32"/>
          <w:lang w:eastAsia="zh-CN"/>
        </w:rPr>
        <w:t>二是改制五年等退医疗保险费实际决算支出比年初预算节约</w:t>
      </w:r>
      <w:r>
        <w:rPr>
          <w:rFonts w:ascii="仿宋_GB2312" w:eastAsia="仿宋_GB2312" w:cs="DengXian-Regular" w:hint="eastAsia"/>
          <w:sz w:val="32"/>
          <w:szCs w:val="32"/>
          <w:lang w:val="en-US" w:eastAsia="zh-CN"/>
        </w:rPr>
        <w:t>11.06万元；三是市农村产权流转交易中心经费因该中心开业运行时间较晚造成决算实际支出比年初预算少支出11.92万元。</w:t>
      </w:r>
      <w:r>
        <w:rPr>
          <w:rFonts w:ascii="仿宋_GB2312" w:eastAsia="仿宋_GB2312" w:cs="DengXian-Regular" w:hint="eastAsia"/>
          <w:sz w:val="32"/>
          <w:szCs w:val="32"/>
        </w:rPr>
        <w:t>支出完成年初预算</w:t>
      </w:r>
      <w:r>
        <w:rPr>
          <w:rFonts w:ascii="仿宋_GB2312" w:eastAsia="仿宋_GB2312" w:cs="DengXian-Regular" w:hint="eastAsia"/>
          <w:sz w:val="32"/>
          <w:szCs w:val="32"/>
          <w:lang w:val="en-US" w:eastAsia="zh-CN"/>
        </w:rPr>
        <w:t>85.10</w:t>
      </w:r>
      <w:r>
        <w:rPr>
          <w:rFonts w:ascii="仿宋_GB2312" w:eastAsia="仿宋_GB2312" w:cs="DengXian-Regular" w:hint="eastAsia"/>
          <w:sz w:val="32"/>
          <w:szCs w:val="32"/>
        </w:rPr>
        <w:t>%，比年初预算减少</w:t>
      </w:r>
      <w:r>
        <w:rPr>
          <w:rFonts w:ascii="仿宋_GB2312" w:eastAsia="仿宋_GB2312" w:cs="DengXian-Regular" w:hint="eastAsia"/>
          <w:sz w:val="32"/>
          <w:szCs w:val="32"/>
          <w:lang w:val="en-US" w:eastAsia="zh-CN"/>
        </w:rPr>
        <w:t>48.47</w:t>
      </w:r>
      <w:r>
        <w:rPr>
          <w:rFonts w:ascii="仿宋_GB2312" w:eastAsia="仿宋_GB2312" w:cs="DengXian-Regular" w:hint="eastAsia"/>
          <w:sz w:val="32"/>
          <w:szCs w:val="32"/>
        </w:rPr>
        <w:t>万元，主要</w:t>
      </w:r>
      <w:r>
        <w:rPr>
          <w:rFonts w:ascii="仿宋_GB2312" w:eastAsia="仿宋_GB2312" w:cs="DengXian-Regular" w:hint="eastAsia"/>
          <w:sz w:val="32"/>
          <w:szCs w:val="32"/>
          <w:lang w:eastAsia="zh-CN"/>
        </w:rPr>
        <w:t>原因与一般公共预算财政拨款本年收入减少原因相同</w:t>
      </w:r>
      <w:r>
        <w:rPr>
          <w:rFonts w:ascii="仿宋_GB2312" w:eastAsia="仿宋_GB2312" w:cs="DengXian-Regular" w:hint="eastAsia"/>
          <w:sz w:val="32"/>
          <w:szCs w:val="32"/>
        </w:rPr>
        <w:t>。政府性基金预算财政拨款本年收入</w:t>
      </w:r>
      <w:r>
        <w:rPr>
          <w:rFonts w:ascii="仿宋_GB2312" w:eastAsia="仿宋_GB2312" w:cs="DengXian-Regular" w:hint="eastAsia"/>
          <w:sz w:val="32"/>
          <w:szCs w:val="32"/>
          <w:lang w:eastAsia="zh-CN"/>
        </w:rPr>
        <w:t>全部为新增，</w:t>
      </w:r>
      <w:r>
        <w:rPr>
          <w:rFonts w:ascii="仿宋_GB2312" w:eastAsia="仿宋_GB2312" w:cs="DengXian-Regular" w:hint="eastAsia"/>
          <w:sz w:val="32"/>
          <w:szCs w:val="32"/>
        </w:rPr>
        <w:t>比年初预算增加</w:t>
      </w:r>
      <w:r>
        <w:rPr>
          <w:rFonts w:ascii="仿宋_GB2312" w:eastAsia="仿宋_GB2312" w:cs="DengXian-Regular" w:hint="eastAsia"/>
          <w:sz w:val="32"/>
          <w:szCs w:val="32"/>
          <w:lang w:val="en-US" w:eastAsia="zh-CN"/>
        </w:rPr>
        <w:t>410.19</w:t>
      </w:r>
      <w:r>
        <w:rPr>
          <w:rFonts w:ascii="仿宋_GB2312" w:eastAsia="仿宋_GB2312" w:cs="DengXian-Regular" w:hint="eastAsia"/>
          <w:sz w:val="32"/>
          <w:szCs w:val="32"/>
        </w:rPr>
        <w:t>万元，主要原因是因供销社系统改制工作，2018年度决算中</w:t>
      </w:r>
      <w:r>
        <w:rPr>
          <w:rFonts w:ascii="仿宋_GB2312" w:eastAsia="仿宋_GB2312" w:cs="DengXian-Regular" w:hint="eastAsia"/>
          <w:sz w:val="32"/>
          <w:szCs w:val="32"/>
          <w:lang w:eastAsia="zh-CN"/>
        </w:rPr>
        <w:t>新增</w:t>
      </w:r>
      <w:r>
        <w:rPr>
          <w:rFonts w:ascii="仿宋_GB2312" w:eastAsia="仿宋_GB2312" w:cs="DengXian-Regular" w:hint="eastAsia"/>
          <w:sz w:val="32"/>
          <w:szCs w:val="32"/>
        </w:rPr>
        <w:t>支付破产或改制企业职工安置费405.19万元（即:补缴2017年1-10月改制等退人员欠缴社会保险费79.95万元、退还党峪、新店子社资产购买者垫交土地出让金及税金325.24万元）以及其他国有土地使用权出让收入安排的支出5万元（2015年农业综合开发供销合作总社项目即核桃冷藏保鲜改造项目本级配套资金5万元）；支出</w:t>
      </w:r>
      <w:r>
        <w:rPr>
          <w:rFonts w:ascii="仿宋_GB2312" w:eastAsia="仿宋_GB2312" w:cs="DengXian-Regular" w:hint="eastAsia"/>
          <w:sz w:val="32"/>
          <w:szCs w:val="32"/>
          <w:lang w:eastAsia="zh-CN"/>
        </w:rPr>
        <w:t>全部为新增</w:t>
      </w:r>
      <w:r>
        <w:rPr>
          <w:rFonts w:ascii="仿宋_GB2312" w:eastAsia="仿宋_GB2312" w:cs="DengXian-Regular" w:hint="eastAsia"/>
          <w:sz w:val="32"/>
          <w:szCs w:val="32"/>
        </w:rPr>
        <w:t>，比年初预算增加</w:t>
      </w:r>
      <w:r>
        <w:rPr>
          <w:rFonts w:ascii="仿宋_GB2312" w:eastAsia="仿宋_GB2312" w:cs="DengXian-Regular" w:hint="eastAsia"/>
          <w:sz w:val="32"/>
          <w:szCs w:val="32"/>
          <w:lang w:val="en-US" w:eastAsia="zh-CN"/>
        </w:rPr>
        <w:t>410.19</w:t>
      </w:r>
      <w:r>
        <w:rPr>
          <w:rFonts w:ascii="仿宋_GB2312" w:eastAsia="仿宋_GB2312" w:cs="DengXian-Regular" w:hint="eastAsia"/>
          <w:sz w:val="32"/>
          <w:szCs w:val="32"/>
        </w:rPr>
        <w:t>万元，主要</w:t>
      </w:r>
      <w:r>
        <w:rPr>
          <w:rFonts w:ascii="仿宋_GB2312" w:eastAsia="仿宋_GB2312" w:cs="DengXian-Regular" w:hint="eastAsia"/>
          <w:sz w:val="32"/>
          <w:szCs w:val="32"/>
          <w:lang w:eastAsia="zh-CN"/>
        </w:rPr>
        <w:t>原因与政府性基金预算财政拨款本年收入增加原因相同</w:t>
      </w:r>
      <w:r>
        <w:rPr>
          <w:rFonts w:ascii="仿宋_GB2312" w:eastAsia="仿宋_GB2312" w:cs="DengXian-Regular" w:hint="eastAsia"/>
          <w:sz w:val="32"/>
          <w:szCs w:val="32"/>
        </w:rPr>
        <w:t>。</w:t>
      </w:r>
    </w:p>
    <w:p>
      <w:pPr>
        <w:numPr>
          <w:ilvl w:val="0"/>
          <w:numId w:val="1"/>
        </w:numPr>
        <w:adjustRightInd w:val="0"/>
        <w:snapToGrid w:val="0"/>
        <w:spacing w:after="0" w:line="580" w:lineRule="exact"/>
        <w:ind w:leftChars="200" w:left="420"/>
        <w:rPr>
          <w:rFonts w:ascii="楷体_GB2312" w:eastAsia="楷体_GB2312" w:cs="DengXian-Bold"/>
          <w:b/>
          <w:bCs/>
          <w:sz w:val="32"/>
          <w:szCs w:val="32"/>
        </w:rPr>
      </w:pPr>
      <w:r>
        <w:rPr>
          <w:rFonts w:ascii="楷体_GB2312" w:eastAsia="楷体_GB2312" w:cs="DengXian-Bold" w:hint="eastAsia"/>
          <w:b/>
          <w:bCs/>
          <w:sz w:val="32"/>
          <w:szCs w:val="32"/>
        </w:rPr>
        <w:t>财政拨款支出决算结构情况。</w:t>
      </w:r>
    </w:p>
    <w:p>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 年度财政拨款支出</w:t>
      </w:r>
      <w:r>
        <w:rPr>
          <w:rFonts w:ascii="仿宋_GB2312" w:eastAsia="仿宋_GB2312" w:cs="DengXian-Regular" w:hint="eastAsia"/>
          <w:sz w:val="32"/>
          <w:szCs w:val="32"/>
          <w:lang w:val="en-US" w:eastAsia="zh-CN"/>
        </w:rPr>
        <w:t>686.95</w:t>
      </w:r>
      <w:r>
        <w:rPr>
          <w:rFonts w:ascii="仿宋_GB2312" w:eastAsia="仿宋_GB2312" w:cs="DengXian-Regular" w:hint="eastAsia"/>
          <w:sz w:val="32"/>
          <w:szCs w:val="32"/>
        </w:rPr>
        <w:t>万元，主要用于以下方面</w:t>
      </w:r>
      <w:r>
        <w:rPr>
          <w:rFonts w:ascii="仿宋_GB2312" w:eastAsia="仿宋_GB2312" w:cs="DengXian-Regular" w:hint="eastAsia"/>
          <w:sz w:val="32"/>
          <w:szCs w:val="32"/>
          <w:lang w:eastAsia="zh-CN"/>
        </w:rPr>
        <w:t>：社会保障就业支出</w:t>
      </w:r>
      <w:r>
        <w:rPr>
          <w:rFonts w:ascii="仿宋_GB2312" w:eastAsia="仿宋_GB2312" w:cs="DengXian-Regular" w:hint="eastAsia"/>
          <w:sz w:val="32"/>
          <w:szCs w:val="32"/>
          <w:lang w:val="en-US" w:eastAsia="zh-CN"/>
        </w:rPr>
        <w:t>69.36万元，占10.10%；医疗卫生与计划生育支出44.66万元，占6.50%；城乡社区支出410.19万元，占59.71%；商业服务业等支出150.21万元，占21.87%；</w:t>
      </w:r>
      <w:r>
        <w:rPr>
          <w:rFonts w:ascii="仿宋_GB2312" w:eastAsia="仿宋_GB2312" w:cs="DengXian-Regular" w:hint="eastAsia"/>
          <w:sz w:val="32"/>
          <w:szCs w:val="32"/>
        </w:rPr>
        <w:t>住房保障支出</w:t>
      </w:r>
      <w:r>
        <w:rPr>
          <w:rFonts w:ascii="仿宋_GB2312" w:eastAsia="仿宋_GB2312" w:cs="DengXian-Regular" w:hint="eastAsia"/>
          <w:sz w:val="32"/>
          <w:szCs w:val="32"/>
          <w:lang w:val="en-US" w:eastAsia="zh-CN"/>
        </w:rPr>
        <w:t>12.53</w:t>
      </w:r>
      <w:r>
        <w:rPr>
          <w:rFonts w:ascii="仿宋_GB2312" w:eastAsia="仿宋_GB2312" w:cs="DengXian-Regular" w:hint="eastAsia"/>
          <w:sz w:val="32"/>
          <w:szCs w:val="32"/>
        </w:rPr>
        <w:t>万元，</w:t>
      </w:r>
      <w:r>
        <w:rPr>
          <w:rFonts w:ascii="仿宋_GB2312" w:eastAsia="仿宋_GB2312" w:cs="DengXian-Regular" w:hint="eastAsia"/>
          <w:sz w:val="32"/>
          <w:szCs w:val="32"/>
          <w:lang w:eastAsia="zh-CN"/>
        </w:rPr>
        <w:t>占</w:t>
      </w:r>
      <w:r>
        <w:rPr>
          <w:rFonts w:ascii="仿宋_GB2312" w:eastAsia="仿宋_GB2312" w:cs="DengXian-Regular" w:hint="eastAsia"/>
          <w:sz w:val="32"/>
          <w:szCs w:val="32"/>
          <w:lang w:val="en-US" w:eastAsia="zh-CN"/>
        </w:rPr>
        <w:t>1.82</w:t>
      </w:r>
      <w:r>
        <w:rPr>
          <w:rFonts w:ascii="仿宋_GB2312" w:eastAsia="仿宋_GB2312" w:cs="DengXian-Regular" w:hint="eastAsia"/>
          <w:sz w:val="32"/>
          <w:szCs w:val="32"/>
        </w:rPr>
        <w:t>%。</w:t>
      </w:r>
    </w:p>
    <w:p>
      <w:pPr>
        <w:adjustRightInd w:val="0"/>
        <w:snapToGrid w:val="0"/>
        <w:spacing w:after="0" w:line="580" w:lineRule="exact"/>
        <w:ind w:leftChars="200" w:left="420"/>
        <w:rPr>
          <w:rFonts w:ascii="楷体_GB2312" w:eastAsia="楷体_GB2312" w:cs="DengXian-Bold"/>
          <w:b/>
          <w:bCs/>
          <w:sz w:val="32"/>
          <w:szCs w:val="32"/>
        </w:rPr>
      </w:pPr>
      <w:r>
        <w:rPr>
          <w:sz w:val="44"/>
        </w:rPr>
        <mc:AlternateContent>
          <mc:Choice Requires="wps">
            <w:drawing>
              <wp:anchor distT="0" distB="0" distL="0" distR="0" simplePos="0" relativeHeight="119" behindDoc="0" locked="1" layoutInCell="1" hidden="0" allowOverlap="1">
                <wp:simplePos x="0" y="0"/>
                <wp:positionH relativeFrom="column">
                  <wp:posOffset>-1015365</wp:posOffset>
                </wp:positionH>
                <wp:positionV relativeFrom="topMargin">
                  <wp:posOffset>372109</wp:posOffset>
                </wp:positionV>
                <wp:extent cx="3833495" cy="558166"/>
                <wp:effectExtent l="1270" t="0" r="13334" b="13334"/>
                <wp:wrapNone/>
                <wp:docPr id="1136" name="组合 79"/>
                <wp:cNvGraphicFramePr>
                  <a:graphicFrameLocks noChangeAspect="0"/>
                </wp:cNvGraphicFramePr>
                <a:graphic>
                  <a:graphicData uri="http://schemas.microsoft.com/office/word/2010/wordprocessingGroup">
                    <wpg:wgp>
                      <wpg:cNvPr id="117" name="组合 79 117"/>
                      <wpg:cNvGrpSpPr/>
                      <wpg:grpSpPr>
                        <a:xfrm rot="0">
                          <a:off x="0" y="0"/>
                          <a:ext cx="3833495" cy="558166"/>
                          <a:chOff x="0" y="0"/>
                          <a:chExt cx="3833495" cy="558166"/>
                        </a:xfrm>
                        <a:prstGeom prst="rect"/>
                        <a:solidFill>
                          <a:srgbClr val="FFFFFF"/>
                        </a:solidFill>
                        <a:ln w="9525" cmpd="sng" cap="flat">
                          <a:solidFill>
                            <a:srgbClr val="000000"/>
                          </a:solidFill>
                          <a:prstDash val="solid"/>
                          <a:miter/>
                        </a:ln>
                      </wpg:grpSpPr>
                      <wps:wsp>
                        <wps:cNvPr id="118" name="矩形 1049 118 118"/>
                        <wps:cNvSpPr/>
                        <wps:spPr>
                          <a:xfrm rot="0">
                            <a:off x="0" y="0"/>
                            <a:ext cx="3833495" cy="469131"/>
                          </a:xfrm>
                          <a:prstGeom prst="rect"/>
                          <a:solidFill>
                            <a:srgbClr val="D8D8D8"/>
                          </a:solidFill>
                          <a:ln cmpd="sng" cap="flat">
                            <a:noFill/>
                            <a:prstDash val="solid"/>
                            <a:round/>
                          </a:ln>
                        </wps:spPr>
                        <wps:bodyPr vert="horz" wrap="square" lIns="91440" tIns="45720" rIns="91440" bIns="45720" anchor="t" anchorCtr="0" upright="0">
                          <a:noAutofit/>
                        </wps:bodyPr>
                      </wps:wsp>
                      <wps:wsp>
                        <wps:cNvPr id="119" name="矩形 1051 119 119"/>
                        <wps:cNvSpPr/>
                        <wps:spPr>
                          <a:xfrm rot="0">
                            <a:off x="11662" y="109797"/>
                            <a:ext cx="3733912" cy="448369"/>
                          </a:xfrm>
                          <a:prstGeom prst="rect"/>
                          <a:solidFill>
                            <a:srgbClr val="AD002D"/>
                          </a:solidFill>
                          <a:ln w="25400" cmpd="sng" cap="flat">
                            <a:solidFill>
                              <a:srgbClr val="AF7621"/>
                            </a:solidFill>
                            <a:prstDash val="solid"/>
                            <a:round/>
                          </a:ln>
                        </wps:spPr>
                        <wps:txbx id="120">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2018年度部门决算☞部门决算情况说明</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79" o:spid="_x0000_s121" coordorigin="-10,585" coordsize="6037,879" style="position:absolute;margin-left:-79.95pt;margin-top:29.299921pt;width:301.85pt;height:43.95008pt;z-index:119;mso-position-horizontal:absolute;mso-position-vertical:absolute;mso-position-vertical-relative:top-margin-area;mso-wrap-distance-left:0.0pt;mso-wrap-distance-right:0.0pt;">
                <v:rect type="#_x0000_t1" id="矩形 1049 118 118" o:spid="_x0000_s122" style="position:absolute;left:-10;top:585;width:6037;height:738;" fillcolor="#D8D8D8" stroked="f" strokeweight="-1.0pt">
                  <v:stroke/>
                </v:rect>
                <v:rect type="#_x0000_t1" id="_s123" o:spid="_x0000_s123" style="position:absolute;left:7;top:758;width:5880;height:706;mso-wrap-style:square;" fillcolor="#AD002D" stroked="t" strokeweight="2.0pt">
                  <v:textbox id="871"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2018年度部门决算☞部门决算情况说明</w:t>
                        </w:r>
                      </w:p>
                      <w:p>
                        <w:pPr>
                          <w:jc w:val="center"/>
                        </w:pPr>
                      </w:p>
                    </w:txbxContent>
                  </v:textbox>
                  <v:stroke color="#AF7621"/>
                </v:rect>
                <w10:anchorLock/>
              </v:group>
            </w:pict>
          </mc:Fallback>
        </mc:AlternateContent>
      </w:r>
      <w:r>
        <w:rPr>
          <w:rFonts w:ascii="楷体_GB2312" w:eastAsia="楷体_GB2312" w:cs="DengXian-Bold" w:hint="eastAsia"/>
          <w:b/>
          <w:bCs/>
          <w:sz w:val="32"/>
          <w:szCs w:val="32"/>
        </w:rPr>
        <w:t>（四）一般公共预算基本支出决算情况说明</w:t>
      </w:r>
    </w:p>
    <w:p>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2018 年度财政拨款基本支出</w:t>
      </w:r>
      <w:r>
        <w:rPr>
          <w:rFonts w:ascii="仿宋_GB2312" w:eastAsia="仿宋_GB2312" w:cs="DengXian-Regular" w:hint="eastAsia"/>
          <w:sz w:val="32"/>
          <w:szCs w:val="32"/>
          <w:lang w:val="en-US" w:eastAsia="zh-CN"/>
        </w:rPr>
        <w:t>209.33</w:t>
      </w:r>
      <w:r>
        <w:rPr>
          <w:rFonts w:ascii="仿宋_GB2312" w:eastAsia="仿宋_GB2312" w:cs="DengXian-Regular" w:hint="eastAsia"/>
          <w:sz w:val="32"/>
          <w:szCs w:val="32"/>
        </w:rPr>
        <w:t xml:space="preserve">万元，其中：人员经费 </w:t>
      </w:r>
      <w:r>
        <w:rPr>
          <w:rFonts w:ascii="仿宋_GB2312" w:eastAsia="仿宋_GB2312" w:cs="DengXian-Regular" w:hint="eastAsia"/>
          <w:sz w:val="32"/>
          <w:szCs w:val="32"/>
          <w:lang w:val="en-US" w:eastAsia="zh-CN"/>
        </w:rPr>
        <w:t>199.43</w:t>
      </w:r>
      <w:r>
        <w:rPr>
          <w:rFonts w:ascii="仿宋_GB2312" w:eastAsia="仿宋_GB2312" w:cs="DengXian-Regular" w:hint="eastAsia"/>
          <w:sz w:val="32"/>
          <w:szCs w:val="32"/>
        </w:rPr>
        <w:t>万元，主要包括基本工资</w:t>
      </w:r>
      <w:r>
        <w:rPr>
          <w:rFonts w:ascii="仿宋_GB2312" w:eastAsia="仿宋_GB2312" w:cs="DengXian-Regular" w:hint="eastAsia"/>
          <w:sz w:val="32"/>
          <w:szCs w:val="32"/>
          <w:lang w:val="en-US" w:eastAsia="zh-CN"/>
        </w:rPr>
        <w:t>61.42万元</w:t>
      </w:r>
      <w:r>
        <w:rPr>
          <w:rFonts w:ascii="仿宋_GB2312" w:eastAsia="仿宋_GB2312" w:cs="DengXian-Regular" w:hint="eastAsia"/>
          <w:sz w:val="32"/>
          <w:szCs w:val="32"/>
        </w:rPr>
        <w:t>、津贴补贴</w:t>
      </w:r>
      <w:r>
        <w:rPr>
          <w:rFonts w:ascii="仿宋_GB2312" w:eastAsia="仿宋_GB2312" w:cs="DengXian-Regular" w:hint="eastAsia"/>
          <w:sz w:val="32"/>
          <w:szCs w:val="32"/>
          <w:lang w:val="en-US" w:eastAsia="zh-CN"/>
        </w:rPr>
        <w:t>4.86万元</w:t>
      </w:r>
      <w:r>
        <w:rPr>
          <w:rFonts w:ascii="仿宋_GB2312" w:eastAsia="仿宋_GB2312" w:cs="DengXian-Regular" w:hint="eastAsia"/>
          <w:sz w:val="32"/>
          <w:szCs w:val="32"/>
        </w:rPr>
        <w:t>、绩效工资</w:t>
      </w:r>
      <w:r>
        <w:rPr>
          <w:rFonts w:ascii="仿宋_GB2312" w:eastAsia="仿宋_GB2312" w:cs="DengXian-Regular" w:hint="eastAsia"/>
          <w:sz w:val="32"/>
          <w:szCs w:val="32"/>
          <w:lang w:val="en-US" w:eastAsia="zh-CN"/>
        </w:rPr>
        <w:t>53.14万元</w:t>
      </w:r>
      <w:r>
        <w:rPr>
          <w:rFonts w:ascii="仿宋_GB2312" w:eastAsia="仿宋_GB2312" w:cs="DengXian-Regular" w:hint="eastAsia"/>
          <w:sz w:val="32"/>
          <w:szCs w:val="32"/>
        </w:rPr>
        <w:t>、机关事业单位基本养老保险缴费</w:t>
      </w:r>
      <w:r>
        <w:rPr>
          <w:rFonts w:ascii="仿宋_GB2312" w:eastAsia="仿宋_GB2312" w:cs="DengXian-Regular" w:hint="eastAsia"/>
          <w:sz w:val="32"/>
          <w:szCs w:val="32"/>
          <w:lang w:val="en-US" w:eastAsia="zh-CN"/>
        </w:rPr>
        <w:t>20.62万元</w:t>
      </w:r>
      <w:r>
        <w:rPr>
          <w:rFonts w:ascii="仿宋_GB2312" w:eastAsia="仿宋_GB2312" w:cs="DengXian-Regular" w:hint="eastAsia"/>
          <w:sz w:val="32"/>
          <w:szCs w:val="32"/>
        </w:rPr>
        <w:t>、职工基本医疗保险缴费</w:t>
      </w:r>
      <w:r>
        <w:rPr>
          <w:rFonts w:ascii="仿宋_GB2312" w:eastAsia="仿宋_GB2312" w:cs="DengXian-Regular" w:hint="eastAsia"/>
          <w:sz w:val="32"/>
          <w:szCs w:val="32"/>
          <w:lang w:val="en-US" w:eastAsia="zh-CN"/>
        </w:rPr>
        <w:t>22.25万元</w:t>
      </w:r>
      <w:r>
        <w:rPr>
          <w:rFonts w:ascii="仿宋_GB2312" w:eastAsia="仿宋_GB2312" w:cs="DengXian-Regular" w:hint="eastAsia"/>
          <w:sz w:val="32"/>
          <w:szCs w:val="32"/>
        </w:rPr>
        <w:t>、公务员医疗补助缴费</w:t>
      </w:r>
      <w:r>
        <w:rPr>
          <w:rFonts w:ascii="仿宋_GB2312" w:eastAsia="仿宋_GB2312" w:cs="DengXian-Regular" w:hint="eastAsia"/>
          <w:sz w:val="32"/>
          <w:szCs w:val="32"/>
          <w:lang w:val="en-US" w:eastAsia="zh-CN"/>
        </w:rPr>
        <w:t>22.41万元</w:t>
      </w:r>
      <w:r>
        <w:rPr>
          <w:rFonts w:ascii="仿宋_GB2312" w:eastAsia="仿宋_GB2312" w:cs="DengXian-Regular" w:hint="eastAsia"/>
          <w:sz w:val="32"/>
          <w:szCs w:val="32"/>
        </w:rPr>
        <w:t>、住房公积金</w:t>
      </w:r>
      <w:r>
        <w:rPr>
          <w:rFonts w:ascii="仿宋_GB2312" w:eastAsia="仿宋_GB2312" w:cs="DengXian-Regular" w:hint="eastAsia"/>
          <w:sz w:val="32"/>
          <w:szCs w:val="32"/>
          <w:lang w:val="en-US" w:eastAsia="zh-CN"/>
        </w:rPr>
        <w:t>12.53万元</w:t>
      </w:r>
      <w:r>
        <w:rPr>
          <w:rFonts w:ascii="仿宋_GB2312" w:eastAsia="仿宋_GB2312" w:cs="DengXian-Regular" w:hint="eastAsia"/>
          <w:sz w:val="32"/>
          <w:szCs w:val="32"/>
        </w:rPr>
        <w:t>、其他社会保障缴费</w:t>
      </w:r>
      <w:r>
        <w:rPr>
          <w:rFonts w:ascii="仿宋_GB2312" w:eastAsia="仿宋_GB2312" w:cs="DengXian-Regular" w:hint="eastAsia"/>
          <w:sz w:val="32"/>
          <w:szCs w:val="32"/>
          <w:lang w:val="en-US" w:eastAsia="zh-CN"/>
        </w:rPr>
        <w:t>0.77万元</w:t>
      </w:r>
      <w:r>
        <w:rPr>
          <w:rFonts w:ascii="仿宋_GB2312" w:eastAsia="仿宋_GB2312" w:cs="DengXian-Regular" w:hint="eastAsia"/>
          <w:sz w:val="32"/>
          <w:szCs w:val="32"/>
        </w:rPr>
        <w:t>、其他工资福利支出</w:t>
      </w:r>
      <w:r>
        <w:rPr>
          <w:rFonts w:ascii="仿宋_GB2312" w:eastAsia="仿宋_GB2312" w:cs="DengXian-Regular" w:hint="eastAsia"/>
          <w:sz w:val="32"/>
          <w:szCs w:val="32"/>
          <w:lang w:val="en-US" w:eastAsia="zh-CN"/>
        </w:rPr>
        <w:t>0.13万元</w:t>
      </w:r>
      <w:r>
        <w:rPr>
          <w:rFonts w:ascii="仿宋_GB2312" w:eastAsia="仿宋_GB2312" w:cs="DengXian-Regular" w:hint="eastAsia"/>
          <w:sz w:val="32"/>
          <w:szCs w:val="32"/>
        </w:rPr>
        <w:t>、抚恤金</w:t>
      </w:r>
      <w:r>
        <w:rPr>
          <w:rFonts w:ascii="仿宋_GB2312" w:eastAsia="仿宋_GB2312" w:cs="DengXian-Regular" w:hint="eastAsia"/>
          <w:sz w:val="32"/>
          <w:szCs w:val="32"/>
          <w:lang w:val="en-US" w:eastAsia="zh-CN"/>
        </w:rPr>
        <w:t>1.28万元</w:t>
      </w:r>
      <w:r>
        <w:rPr>
          <w:rFonts w:ascii="仿宋_GB2312" w:eastAsia="仿宋_GB2312" w:cs="DengXian-Regular" w:hint="eastAsia"/>
          <w:sz w:val="32"/>
          <w:szCs w:val="32"/>
        </w:rPr>
        <w:t>、奖励金</w:t>
      </w:r>
      <w:r>
        <w:rPr>
          <w:rFonts w:ascii="仿宋_GB2312" w:eastAsia="仿宋_GB2312" w:cs="DengXian-Regular" w:hint="eastAsia"/>
          <w:sz w:val="32"/>
          <w:szCs w:val="32"/>
          <w:lang w:val="en-US" w:eastAsia="zh-CN"/>
        </w:rPr>
        <w:t>0.02万元</w:t>
      </w:r>
      <w:r>
        <w:rPr>
          <w:rFonts w:ascii="仿宋_GB2312" w:eastAsia="仿宋_GB2312" w:cs="DengXian-Regular" w:hint="eastAsia"/>
          <w:sz w:val="32"/>
          <w:szCs w:val="32"/>
        </w:rPr>
        <w:t>；公用经费</w:t>
      </w:r>
      <w:r>
        <w:rPr>
          <w:rFonts w:ascii="仿宋_GB2312" w:eastAsia="仿宋_GB2312" w:cs="DengXian-Regular" w:hint="eastAsia"/>
          <w:sz w:val="32"/>
          <w:szCs w:val="32"/>
          <w:lang w:val="en-US" w:eastAsia="zh-CN"/>
        </w:rPr>
        <w:t>9.90</w:t>
      </w:r>
      <w:r>
        <w:rPr>
          <w:rFonts w:ascii="仿宋_GB2312" w:eastAsia="仿宋_GB2312" w:cs="DengXian-Regular" w:hint="eastAsia"/>
          <w:sz w:val="32"/>
          <w:szCs w:val="32"/>
        </w:rPr>
        <w:t>万元，主要包括办公费</w:t>
      </w:r>
      <w:r>
        <w:rPr>
          <w:rFonts w:ascii="仿宋_GB2312" w:eastAsia="仿宋_GB2312" w:cs="DengXian-Regular" w:hint="eastAsia"/>
          <w:sz w:val="32"/>
          <w:szCs w:val="32"/>
          <w:lang w:val="en-US" w:eastAsia="zh-CN"/>
        </w:rPr>
        <w:t>0.54万元</w:t>
      </w:r>
      <w:r>
        <w:rPr>
          <w:rFonts w:ascii="仿宋_GB2312" w:eastAsia="仿宋_GB2312" w:cs="DengXian-Regular" w:hint="eastAsia"/>
          <w:sz w:val="32"/>
          <w:szCs w:val="32"/>
        </w:rPr>
        <w:t>、电费</w:t>
      </w:r>
      <w:r>
        <w:rPr>
          <w:rFonts w:ascii="仿宋_GB2312" w:eastAsia="仿宋_GB2312" w:cs="DengXian-Regular" w:hint="eastAsia"/>
          <w:sz w:val="32"/>
          <w:szCs w:val="32"/>
          <w:lang w:val="en-US" w:eastAsia="zh-CN"/>
        </w:rPr>
        <w:t>0.36万元</w:t>
      </w:r>
      <w:r>
        <w:rPr>
          <w:rFonts w:ascii="仿宋_GB2312" w:eastAsia="仿宋_GB2312" w:cs="DengXian-Regular" w:hint="eastAsia"/>
          <w:sz w:val="32"/>
          <w:szCs w:val="32"/>
        </w:rPr>
        <w:t>、邮电费</w:t>
      </w:r>
      <w:r>
        <w:rPr>
          <w:rFonts w:ascii="仿宋_GB2312" w:eastAsia="仿宋_GB2312" w:cs="DengXian-Regular" w:hint="eastAsia"/>
          <w:sz w:val="32"/>
          <w:szCs w:val="32"/>
          <w:lang w:val="en-US" w:eastAsia="zh-CN"/>
        </w:rPr>
        <w:t>0.54万元</w:t>
      </w:r>
      <w:r>
        <w:rPr>
          <w:rFonts w:ascii="仿宋_GB2312" w:eastAsia="仿宋_GB2312" w:cs="DengXian-Regular" w:hint="eastAsia"/>
          <w:sz w:val="32"/>
          <w:szCs w:val="32"/>
        </w:rPr>
        <w:t>、取暖费</w:t>
      </w:r>
      <w:r>
        <w:rPr>
          <w:rFonts w:ascii="仿宋_GB2312" w:eastAsia="仿宋_GB2312" w:cs="DengXian-Regular" w:hint="eastAsia"/>
          <w:sz w:val="32"/>
          <w:szCs w:val="32"/>
          <w:lang w:val="en-US" w:eastAsia="zh-CN"/>
        </w:rPr>
        <w:t>4.51万元、</w:t>
      </w:r>
      <w:r>
        <w:rPr>
          <w:rFonts w:ascii="仿宋_GB2312" w:eastAsia="仿宋_GB2312" w:cs="DengXian-Regular" w:hint="eastAsia"/>
          <w:sz w:val="32"/>
          <w:szCs w:val="32"/>
        </w:rPr>
        <w:t>差旅费</w:t>
      </w:r>
      <w:r>
        <w:rPr>
          <w:rFonts w:ascii="仿宋_GB2312" w:eastAsia="仿宋_GB2312" w:cs="DengXian-Regular" w:hint="eastAsia"/>
          <w:sz w:val="32"/>
          <w:szCs w:val="32"/>
          <w:lang w:val="en-US" w:eastAsia="zh-CN"/>
        </w:rPr>
        <w:t>0.36万元</w:t>
      </w:r>
      <w:r>
        <w:rPr>
          <w:rFonts w:ascii="仿宋_GB2312" w:eastAsia="仿宋_GB2312" w:cs="DengXian-Regular" w:hint="eastAsia"/>
          <w:sz w:val="32"/>
          <w:szCs w:val="32"/>
        </w:rPr>
        <w:t>、会议费</w:t>
      </w:r>
      <w:r>
        <w:rPr>
          <w:rFonts w:ascii="仿宋_GB2312" w:eastAsia="仿宋_GB2312" w:cs="DengXian-Regular" w:hint="eastAsia"/>
          <w:sz w:val="32"/>
          <w:szCs w:val="32"/>
          <w:lang w:val="en-US" w:eastAsia="zh-CN"/>
        </w:rPr>
        <w:t>0.09万元</w:t>
      </w:r>
      <w:r>
        <w:rPr>
          <w:rFonts w:ascii="仿宋_GB2312" w:eastAsia="仿宋_GB2312" w:cs="DengXian-Regular" w:hint="eastAsia"/>
          <w:sz w:val="32"/>
          <w:szCs w:val="32"/>
        </w:rPr>
        <w:t>、培训费</w:t>
      </w:r>
      <w:r>
        <w:rPr>
          <w:rFonts w:ascii="仿宋_GB2312" w:eastAsia="仿宋_GB2312" w:cs="DengXian-Regular" w:hint="eastAsia"/>
          <w:sz w:val="32"/>
          <w:szCs w:val="32"/>
          <w:lang w:val="en-US" w:eastAsia="zh-CN"/>
        </w:rPr>
        <w:t>0.09万元</w:t>
      </w:r>
      <w:r>
        <w:rPr>
          <w:rFonts w:ascii="仿宋_GB2312" w:eastAsia="仿宋_GB2312" w:cs="DengXian-Regular" w:hint="eastAsia"/>
          <w:sz w:val="32"/>
          <w:szCs w:val="32"/>
        </w:rPr>
        <w:t>、公务接待费</w:t>
      </w:r>
      <w:r>
        <w:rPr>
          <w:rFonts w:ascii="仿宋_GB2312" w:eastAsia="仿宋_GB2312" w:cs="DengXian-Regular" w:hint="eastAsia"/>
          <w:sz w:val="32"/>
          <w:szCs w:val="32"/>
          <w:lang w:val="en-US" w:eastAsia="zh-CN"/>
        </w:rPr>
        <w:t>0.04万元</w:t>
      </w:r>
      <w:r>
        <w:rPr>
          <w:rFonts w:ascii="仿宋_GB2312" w:eastAsia="仿宋_GB2312" w:cs="DengXian-Regular" w:hint="eastAsia"/>
          <w:sz w:val="32"/>
          <w:szCs w:val="32"/>
        </w:rPr>
        <w:t>、工会经费</w:t>
      </w:r>
      <w:r>
        <w:rPr>
          <w:rFonts w:ascii="仿宋_GB2312" w:eastAsia="仿宋_GB2312" w:cs="DengXian-Regular" w:hint="eastAsia"/>
          <w:sz w:val="32"/>
          <w:szCs w:val="32"/>
          <w:lang w:val="en-US" w:eastAsia="zh-CN"/>
        </w:rPr>
        <w:t>1.31万元</w:t>
      </w:r>
      <w:r>
        <w:rPr>
          <w:rFonts w:ascii="仿宋_GB2312" w:eastAsia="仿宋_GB2312" w:cs="DengXian-Regular" w:hint="eastAsia"/>
          <w:sz w:val="32"/>
          <w:szCs w:val="32"/>
        </w:rPr>
        <w:t>、福利费</w:t>
      </w:r>
      <w:r>
        <w:rPr>
          <w:rFonts w:ascii="仿宋_GB2312" w:eastAsia="仿宋_GB2312" w:cs="DengXian-Regular" w:hint="eastAsia"/>
          <w:sz w:val="32"/>
          <w:szCs w:val="32"/>
          <w:lang w:val="en-US" w:eastAsia="zh-CN"/>
        </w:rPr>
        <w:t>0.46万元</w:t>
      </w:r>
      <w:r>
        <w:rPr>
          <w:rFonts w:ascii="仿宋_GB2312" w:eastAsia="仿宋_GB2312" w:cs="DengXian-Regular" w:hint="eastAsia"/>
          <w:sz w:val="32"/>
          <w:szCs w:val="32"/>
        </w:rPr>
        <w:t>、公务用车运行维护费</w:t>
      </w:r>
      <w:r>
        <w:rPr>
          <w:rFonts w:ascii="仿宋_GB2312" w:eastAsia="仿宋_GB2312" w:cs="DengXian-Regular" w:hint="eastAsia"/>
          <w:sz w:val="32"/>
          <w:szCs w:val="32"/>
          <w:lang w:val="en-US" w:eastAsia="zh-CN"/>
        </w:rPr>
        <w:t>0.70万元</w:t>
      </w:r>
      <w:r>
        <w:rPr>
          <w:rFonts w:ascii="仿宋_GB2312" w:eastAsia="仿宋_GB2312" w:cs="DengXian-Regular" w:hint="eastAsia"/>
          <w:sz w:val="32"/>
          <w:szCs w:val="32"/>
        </w:rPr>
        <w:t>、其他商品和服务支出</w:t>
      </w:r>
      <w:r>
        <w:rPr>
          <w:rFonts w:ascii="仿宋_GB2312" w:eastAsia="仿宋_GB2312" w:cs="DengXian-Regular" w:hint="eastAsia"/>
          <w:sz w:val="32"/>
          <w:szCs w:val="32"/>
          <w:lang w:val="en-US" w:eastAsia="zh-CN"/>
        </w:rPr>
        <w:t>0.90万元</w:t>
      </w:r>
      <w:r>
        <w:rPr>
          <w:rFonts w:ascii="仿宋_GB2312" w:eastAsia="仿宋_GB2312" w:cs="DengXian-Regular" w:hint="eastAsia"/>
          <w:sz w:val="32"/>
          <w:szCs w:val="32"/>
        </w:rPr>
        <w:t>。</w:t>
      </w:r>
    </w:p>
    <w:p>
      <w:pPr>
        <w:pStyle w:val="2"/>
        <w:spacing w:before="0" w:after="0" w:line="580" w:lineRule="exact"/>
        <w:ind w:firstLineChars="200" w:firstLine="640"/>
        <w:rPr>
          <w:rFonts w:ascii="黑体" w:eastAsia="黑体"/>
          <w:b w:val="0"/>
          <w:bCs w:val="0"/>
        </w:rPr>
      </w:pPr>
      <w:r>
        <w:rPr>
          <w:rFonts w:ascii="黑体" w:eastAsia="黑体" w:hint="eastAsia"/>
          <w:b w:val="0"/>
          <w:bCs w:val="0"/>
        </w:rPr>
        <w:t>五、一般公共预算</w:t>
      </w:r>
      <w:r>
        <w:rPr>
          <w:rFonts w:ascii="黑体" w:eastAsia="黑体" w:hint="eastAsia"/>
          <w:b w:val="0"/>
          <w:bCs w:val="0"/>
          <w:lang w:eastAsia="zh-CN"/>
        </w:rPr>
        <w:t>财政拨款</w:t>
      </w:r>
      <w:r>
        <w:rPr>
          <w:rFonts w:ascii="黑体" w:eastAsia="黑体" w:hint="eastAsia"/>
          <w:b w:val="0"/>
          <w:bCs w:val="0"/>
        </w:rPr>
        <w:t>“三公” 经费支出决算情况说明</w:t>
      </w:r>
    </w:p>
    <w:p>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本部门2018年度“三公”经费支出共计</w:t>
      </w:r>
      <w:r>
        <w:rPr>
          <w:rFonts w:ascii="仿宋_GB2312" w:eastAsia="仿宋_GB2312" w:cs="DengXian-Regular" w:hint="eastAsia"/>
          <w:sz w:val="32"/>
          <w:szCs w:val="32"/>
          <w:lang w:val="en-US" w:eastAsia="zh-CN"/>
        </w:rPr>
        <w:t>0.74</w:t>
      </w:r>
      <w:r>
        <w:rPr>
          <w:rFonts w:ascii="仿宋_GB2312" w:eastAsia="仿宋_GB2312" w:cs="DengXian-Regular" w:hint="eastAsia"/>
          <w:sz w:val="32"/>
          <w:szCs w:val="32"/>
        </w:rPr>
        <w:t>万元</w:t>
      </w:r>
      <w:r>
        <w:rPr>
          <w:rFonts w:ascii="仿宋_GB2312" w:eastAsia="仿宋_GB2312" w:cs="DengXian-Regular" w:hint="eastAsia"/>
          <w:b w:val="0"/>
          <w:bCs w:val="0"/>
          <w:sz w:val="32"/>
          <w:szCs w:val="32"/>
        </w:rPr>
        <w:t>，较年初预算减少</w:t>
      </w:r>
      <w:r>
        <w:rPr>
          <w:rFonts w:ascii="仿宋_GB2312" w:eastAsia="仿宋_GB2312" w:cs="DengXian-Regular" w:hint="eastAsia"/>
          <w:b w:val="0"/>
          <w:bCs w:val="0"/>
          <w:sz w:val="32"/>
          <w:szCs w:val="32"/>
          <w:lang w:val="en-US" w:eastAsia="zh-CN"/>
        </w:rPr>
        <w:t>1.35</w:t>
      </w:r>
      <w:r>
        <w:rPr>
          <w:rFonts w:ascii="仿宋_GB2312" w:eastAsia="仿宋_GB2312" w:cs="DengXian-Regular" w:hint="eastAsia"/>
          <w:b w:val="0"/>
          <w:bCs w:val="0"/>
          <w:sz w:val="32"/>
          <w:szCs w:val="32"/>
        </w:rPr>
        <w:t>万元，降低</w:t>
      </w:r>
      <w:r>
        <w:rPr>
          <w:rFonts w:ascii="仿宋_GB2312" w:eastAsia="仿宋_GB2312" w:cs="DengXian-Regular" w:hint="eastAsia"/>
          <w:b w:val="0"/>
          <w:bCs w:val="0"/>
          <w:sz w:val="32"/>
          <w:szCs w:val="32"/>
          <w:lang w:val="en-US" w:eastAsia="zh-CN"/>
        </w:rPr>
        <w:t>64.59</w:t>
      </w:r>
      <w:r>
        <w:rPr>
          <w:rFonts w:ascii="仿宋_GB2312" w:eastAsia="仿宋_GB2312" w:cs="DengXian-Regular" w:hint="eastAsia"/>
          <w:b w:val="0"/>
          <w:bCs w:val="0"/>
          <w:sz w:val="32"/>
          <w:szCs w:val="32"/>
        </w:rPr>
        <w:t>%，</w:t>
      </w:r>
      <w:r>
        <w:rPr>
          <w:rFonts w:ascii="仿宋_GB2312" w:eastAsia="仿宋_GB2312" w:cs="DengXian-Regular" w:hint="eastAsia"/>
          <w:sz w:val="32"/>
          <w:szCs w:val="32"/>
        </w:rPr>
        <w:t>主要是我单位公务接待严格执行市委、市政府要求，厉行节约，艰苦奋斗，严格执行招待报批程序，实行对口接待，控制陪餐人员，从严掌握招待标准，</w:t>
      </w:r>
      <w:r>
        <w:rPr>
          <w:rFonts w:ascii="仿宋_GB2312" w:eastAsia="仿宋_GB2312" w:cs="DengXian-Regular" w:hint="eastAsia"/>
          <w:sz w:val="32"/>
          <w:szCs w:val="32"/>
          <w:lang w:eastAsia="zh-CN"/>
        </w:rPr>
        <w:t>从严控制在预算额度内，</w:t>
      </w:r>
      <w:r>
        <w:rPr>
          <w:rFonts w:ascii="仿宋_GB2312" w:eastAsia="仿宋_GB2312" w:cs="DengXian-Regular" w:hint="eastAsia"/>
          <w:sz w:val="32"/>
          <w:szCs w:val="32"/>
        </w:rPr>
        <w:t>不存在利用公款相互宴请及请客送礼等问题，公务接待费用明显降低。我单位对公车运行实行定点维修，定点加油，统一保险和统一保养，节假日严格执行公务车辆封存制度，不存在超标准配备公车或装饰公车行为；较2017年度</w:t>
      </w:r>
      <w:r>
        <w:rPr>
          <w:rFonts w:ascii="仿宋_GB2312" w:eastAsia="仿宋_GB2312" w:cs="DengXian-Regular" w:hint="eastAsia"/>
          <w:sz w:val="32"/>
          <w:szCs w:val="32"/>
          <w:lang w:eastAsia="zh-CN"/>
        </w:rPr>
        <w:t>决算支出</w:t>
      </w:r>
      <w:r>
        <w:rPr>
          <w:rFonts w:ascii="仿宋_GB2312" w:eastAsia="仿宋_GB2312" w:cs="DengXian-Regular" w:hint="eastAsia"/>
          <w:sz w:val="32"/>
          <w:szCs w:val="32"/>
          <w:lang w:val="en-US" w:eastAsia="zh-CN"/>
        </w:rPr>
        <w:t>0.74</w:t>
      </w:r>
      <w:r>
        <w:rPr>
          <w:rFonts w:ascii="仿宋_GB2312" w:eastAsia="仿宋_GB2312" w:cs="DengXian-Regular" w:hint="eastAsia"/>
          <w:sz w:val="32"/>
          <w:szCs w:val="32"/>
        </w:rPr>
        <w:t>万元</w:t>
      </w:r>
      <w:r>
        <w:rPr>
          <w:rFonts w:ascii="仿宋_GB2312" w:eastAsia="仿宋_GB2312" w:cs="DengXian-Regular" w:hint="eastAsia"/>
          <w:sz w:val="32"/>
          <w:szCs w:val="32"/>
          <w:lang w:eastAsia="zh-CN"/>
        </w:rPr>
        <w:t>相同，</w:t>
      </w:r>
      <w:r>
        <w:rPr>
          <w:rFonts w:ascii="仿宋_GB2312" w:eastAsia="仿宋_GB2312" w:cs="DengXian-Regular" w:hint="eastAsia"/>
          <w:sz w:val="32"/>
          <w:szCs w:val="32"/>
        </w:rPr>
        <w:t>主要</w:t>
      </w:r>
      <w:r>
        <w:rPr>
          <w:rFonts w:ascii="仿宋_GB2312" w:eastAsia="仿宋_GB2312" w:cs="DengXian-Regular" w:hint="eastAsia"/>
          <w:sz w:val="32"/>
          <w:szCs w:val="32"/>
          <w:lang w:eastAsia="zh-CN"/>
        </w:rPr>
        <w:t>原因是今年“三公”经费开支的项目和金额与去年相同。</w:t>
      </w:r>
      <w:r>
        <w:rPr>
          <w:rFonts w:ascii="仿宋_GB2312" w:eastAsia="仿宋_GB2312" w:cs="DengXian-Regular" w:hint="eastAsia"/>
          <w:sz w:val="32"/>
          <w:szCs w:val="32"/>
        </w:rPr>
        <w:t>具体情况如下：</w:t>
      </w:r>
    </w:p>
    <w:p>
      <w:pPr>
        <w:adjustRightInd w:val="0"/>
        <w:snapToGrid w:val="0"/>
        <w:spacing w:after="0" w:line="580" w:lineRule="exact"/>
        <w:ind w:firstLineChars="200" w:firstLine="640"/>
        <w:rPr>
          <w:rFonts w:ascii="仿宋_GB2312" w:eastAsia="仿宋_GB2312" w:cs="DengXian-Regular" w:hint="eastAsia"/>
          <w:sz w:val="32"/>
          <w:szCs w:val="32"/>
          <w:lang w:val="en-US" w:eastAsia="zh-CN"/>
        </w:rPr>
      </w:pPr>
      <w:r>
        <w:rPr>
          <w:rFonts w:ascii="楷体_GB2312" w:eastAsia="楷体_GB2312" w:cs="DengXian-Bold" w:hint="eastAsia"/>
          <w:b/>
          <w:bCs/>
          <w:sz w:val="32"/>
          <w:szCs w:val="32"/>
        </w:rPr>
        <w:t>（</w:t>
      </w:r>
      <w:r>
        <w:rPr>
          <w:sz w:val="44"/>
        </w:rPr>
        <mc:AlternateContent>
          <mc:Choice Requires="wps">
            <w:drawing>
              <wp:anchor distT="0" distB="0" distL="0" distR="0" simplePos="0" relativeHeight="121" behindDoc="0" locked="1" layoutInCell="1" hidden="0" allowOverlap="1">
                <wp:simplePos x="0" y="0"/>
                <wp:positionH relativeFrom="column">
                  <wp:posOffset>-1015365</wp:posOffset>
                </wp:positionH>
                <wp:positionV relativeFrom="topMargin">
                  <wp:posOffset>372109</wp:posOffset>
                </wp:positionV>
                <wp:extent cx="3833495" cy="558166"/>
                <wp:effectExtent l="1270" t="0" r="13334" b="13334"/>
                <wp:wrapNone/>
                <wp:docPr id="1137" name="组合 82"/>
                <wp:cNvGraphicFramePr>
                  <a:graphicFrameLocks noChangeAspect="0"/>
                </wp:cNvGraphicFramePr>
                <a:graphic>
                  <a:graphicData uri="http://schemas.microsoft.com/office/word/2010/wordprocessingGroup">
                    <wpg:wgp>
                      <wpg:cNvPr id="124" name="组合 82 124"/>
                      <wpg:cNvGrpSpPr/>
                      <wpg:grpSpPr>
                        <a:xfrm rot="0">
                          <a:off x="0" y="0"/>
                          <a:ext cx="3833495" cy="558166"/>
                          <a:chOff x="0" y="0"/>
                          <a:chExt cx="3833495" cy="558166"/>
                        </a:xfrm>
                        <a:prstGeom prst="rect"/>
                        <a:solidFill>
                          <a:srgbClr val="FFFFFF"/>
                        </a:solidFill>
                        <a:ln w="9525" cmpd="sng" cap="flat">
                          <a:solidFill>
                            <a:srgbClr val="000000"/>
                          </a:solidFill>
                          <a:prstDash val="solid"/>
                          <a:miter/>
                        </a:ln>
                      </wpg:grpSpPr>
                      <wps:wsp>
                        <wps:cNvPr id="125" name="矩形 1052 125 125"/>
                        <wps:cNvSpPr/>
                        <wps:spPr>
                          <a:xfrm rot="0">
                            <a:off x="0" y="0"/>
                            <a:ext cx="3833495" cy="469131"/>
                          </a:xfrm>
                          <a:prstGeom prst="rect"/>
                          <a:solidFill>
                            <a:srgbClr val="D8D8D8"/>
                          </a:solidFill>
                          <a:ln cmpd="sng" cap="flat">
                            <a:noFill/>
                            <a:prstDash val="solid"/>
                            <a:round/>
                          </a:ln>
                        </wps:spPr>
                        <wps:bodyPr vert="horz" wrap="square" lIns="91440" tIns="45720" rIns="91440" bIns="45720" anchor="t" anchorCtr="0" upright="0">
                          <a:noAutofit/>
                        </wps:bodyPr>
                      </wps:wsp>
                      <wps:wsp>
                        <wps:cNvPr id="126" name="矩形 1054 126 126"/>
                        <wps:cNvSpPr/>
                        <wps:spPr>
                          <a:xfrm rot="0">
                            <a:off x="11662" y="109797"/>
                            <a:ext cx="3733912" cy="448369"/>
                          </a:xfrm>
                          <a:prstGeom prst="rect"/>
                          <a:solidFill>
                            <a:srgbClr val="AD002D"/>
                          </a:solidFill>
                          <a:ln w="25400" cmpd="sng" cap="flat">
                            <a:solidFill>
                              <a:srgbClr val="AF7621"/>
                            </a:solidFill>
                            <a:prstDash val="solid"/>
                            <a:round/>
                          </a:ln>
                        </wps:spPr>
                        <wps:txbx id="127">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2018年度部门决算☞部门决算情况说明</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82" o:spid="_x0000_s128" coordorigin="-10,585" coordsize="6037,879" style="position:absolute;margin-left:-79.95pt;margin-top:29.299921pt;width:301.85pt;height:43.95008pt;z-index:121;mso-position-horizontal:absolute;mso-position-vertical:absolute;mso-position-vertical-relative:top-margin-area;mso-wrap-distance-left:0.0pt;mso-wrap-distance-right:0.0pt;">
                <v:rect type="#_x0000_t1" id="矩形 1052 125 125" o:spid="_x0000_s129" style="position:absolute;left:-10;top:585;width:6037;height:738;" fillcolor="#D8D8D8" stroked="f" strokeweight="-1.0pt">
                  <v:stroke/>
                </v:rect>
                <v:rect type="#_x0000_t1" id="_s130" o:spid="_x0000_s130" style="position:absolute;left:7;top:758;width:5880;height:706;mso-wrap-style:square;" fillcolor="#AD002D" stroked="t" strokeweight="2.0pt">
                  <v:textbox id="872"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2018年度部门决算☞部门决算情况说明</w:t>
                        </w:r>
                      </w:p>
                      <w:p>
                        <w:pPr>
                          <w:jc w:val="center"/>
                        </w:pPr>
                      </w:p>
                    </w:txbxContent>
                  </v:textbox>
                  <v:stroke color="#AF7621"/>
                </v:rect>
                <w10:anchorLock/>
              </v:group>
            </w:pict>
          </mc:Fallback>
        </mc:AlternateContent>
      </w:r>
      <w:r>
        <w:rPr>
          <w:rFonts w:ascii="楷体_GB2312" w:eastAsia="楷体_GB2312" w:cs="DengXian-Bold" w:hint="eastAsia"/>
          <w:b/>
          <w:bCs/>
          <w:sz w:val="32"/>
          <w:szCs w:val="32"/>
        </w:rPr>
        <w:t>一）因公出国（境）费支出</w:t>
      </w:r>
      <w:r>
        <w:rPr>
          <w:rFonts w:ascii="楷体_GB2312" w:eastAsia="楷体_GB2312" w:cs="DengXian-Bold" w:hint="eastAsia"/>
          <w:b/>
          <w:bCs/>
          <w:sz w:val="32"/>
          <w:szCs w:val="32"/>
          <w:lang w:val="en-US" w:eastAsia="zh-CN"/>
        </w:rPr>
        <w:t>0</w:t>
      </w:r>
      <w:r>
        <w:rPr>
          <w:rFonts w:ascii="楷体_GB2312" w:eastAsia="楷体_GB2312" w:cs="DengXian-Bold" w:hint="eastAsia"/>
          <w:b/>
          <w:bCs/>
          <w:sz w:val="32"/>
          <w:szCs w:val="32"/>
        </w:rPr>
        <w:t>万元。</w:t>
      </w:r>
      <w:r>
        <w:rPr>
          <w:rFonts w:ascii="仿宋_GB2312" w:eastAsia="仿宋_GB2312" w:cs="DengXian-Regular" w:hint="eastAsia"/>
          <w:sz w:val="32"/>
          <w:szCs w:val="32"/>
        </w:rPr>
        <w:t>本部门2018年度参加其他单位组织的因公出国（境）团组</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个</w:t>
      </w:r>
      <w:r>
        <w:rPr>
          <w:rFonts w:ascii="仿宋_GB2312" w:eastAsia="仿宋_GB2312" w:cs="DengXian-Regular" w:hint="eastAsia"/>
          <w:sz w:val="32"/>
          <w:szCs w:val="32"/>
          <w:lang w:eastAsia="zh-CN"/>
        </w:rPr>
        <w:t>，</w:t>
      </w:r>
      <w:r>
        <w:rPr>
          <w:rFonts w:ascii="仿宋_GB2312" w:eastAsia="仿宋_GB2312" w:cs="DengXian-Regular" w:hint="eastAsia"/>
          <w:sz w:val="32"/>
          <w:szCs w:val="32"/>
        </w:rPr>
        <w:t>无本单位组织的出国（境）团组。因公出国（境）费支出</w:t>
      </w:r>
      <w:r>
        <w:rPr>
          <w:rFonts w:ascii="仿宋_GB2312" w:eastAsia="仿宋_GB2312" w:cs="DengXian-Regular" w:hint="eastAsia"/>
          <w:sz w:val="32"/>
          <w:szCs w:val="32"/>
          <w:lang w:eastAsia="zh-CN"/>
        </w:rPr>
        <w:t>与</w:t>
      </w:r>
      <w:r>
        <w:rPr>
          <w:rFonts w:ascii="仿宋_GB2312" w:eastAsia="仿宋_GB2312" w:cs="DengXian-Regular" w:hint="eastAsia"/>
          <w:sz w:val="32"/>
          <w:szCs w:val="32"/>
        </w:rPr>
        <w:t>年初预算</w:t>
      </w:r>
      <w:r>
        <w:rPr>
          <w:rFonts w:ascii="仿宋_GB2312" w:eastAsia="仿宋_GB2312" w:cs="DengXian-Regular" w:hint="eastAsia"/>
          <w:sz w:val="32"/>
          <w:szCs w:val="32"/>
          <w:lang w:eastAsia="zh-CN"/>
        </w:rPr>
        <w:t>和上年决算支出相同，均为</w:t>
      </w:r>
      <w:r>
        <w:rPr>
          <w:rFonts w:ascii="仿宋_GB2312" w:eastAsia="仿宋_GB2312" w:cs="DengXian-Regular" w:hint="eastAsia"/>
          <w:sz w:val="32"/>
          <w:szCs w:val="32"/>
          <w:lang w:val="en-US" w:eastAsia="zh-CN"/>
        </w:rPr>
        <w:t>0万元。</w:t>
      </w:r>
    </w:p>
    <w:p>
      <w:pPr>
        <w:adjustRightInd w:val="0"/>
        <w:snapToGrid w:val="0"/>
        <w:spacing w:after="0" w:line="580" w:lineRule="exact"/>
        <w:ind w:firstLineChars="200" w:firstLine="640"/>
        <w:rPr>
          <w:rFonts w:ascii="仿宋_GB2312" w:eastAsia="仿宋_GB2312" w:cs="DengXian-Bold"/>
          <w:b/>
          <w:bCs/>
          <w:sz w:val="32"/>
          <w:szCs w:val="32"/>
        </w:rPr>
      </w:pPr>
      <w:r>
        <w:rPr>
          <w:rFonts w:ascii="楷体_GB2312" w:eastAsia="楷体_GB2312" w:cs="DengXian-Bold" w:hint="eastAsia"/>
          <w:b/>
          <w:bCs/>
          <w:sz w:val="32"/>
          <w:szCs w:val="32"/>
        </w:rPr>
        <w:t>（二）公务用车购置及运行维护费支出</w:t>
      </w:r>
      <w:r>
        <w:rPr>
          <w:rFonts w:ascii="楷体_GB2312" w:eastAsia="楷体_GB2312" w:cs="DengXian-Bold" w:hint="eastAsia"/>
          <w:b/>
          <w:bCs/>
          <w:sz w:val="32"/>
          <w:szCs w:val="32"/>
          <w:lang w:val="en-US" w:eastAsia="zh-CN"/>
        </w:rPr>
        <w:t>0.74</w:t>
      </w:r>
      <w:r>
        <w:rPr>
          <w:rFonts w:ascii="楷体_GB2312" w:eastAsia="楷体_GB2312" w:cs="DengXian-Bold" w:hint="eastAsia"/>
          <w:b/>
          <w:bCs/>
          <w:sz w:val="32"/>
          <w:szCs w:val="32"/>
        </w:rPr>
        <w:t>万元。</w:t>
      </w:r>
      <w:r>
        <w:rPr>
          <w:rFonts w:ascii="仿宋_GB2312" w:eastAsia="仿宋_GB2312" w:cs="DengXian-Regular" w:hint="eastAsia"/>
          <w:sz w:val="32"/>
          <w:szCs w:val="32"/>
        </w:rPr>
        <w:t>本部门2018年度公务用车购置及运行维护费较年初预算减少</w:t>
      </w:r>
      <w:r>
        <w:rPr>
          <w:rFonts w:ascii="仿宋_GB2312" w:eastAsia="仿宋_GB2312" w:cs="DengXian-Regular" w:hint="eastAsia"/>
          <w:sz w:val="32"/>
          <w:szCs w:val="32"/>
          <w:lang w:val="en-US" w:eastAsia="zh-CN"/>
        </w:rPr>
        <w:t>1.35</w:t>
      </w:r>
      <w:r>
        <w:rPr>
          <w:rFonts w:ascii="仿宋_GB2312" w:eastAsia="仿宋_GB2312" w:cs="DengXian-Regular" w:hint="eastAsia"/>
          <w:sz w:val="32"/>
          <w:szCs w:val="32"/>
        </w:rPr>
        <w:t>万元，降低</w:t>
      </w:r>
      <w:r>
        <w:rPr>
          <w:rFonts w:ascii="仿宋_GB2312" w:eastAsia="仿宋_GB2312" w:cs="DengXian-Regular" w:hint="eastAsia"/>
          <w:sz w:val="32"/>
          <w:szCs w:val="32"/>
          <w:lang w:val="en-US" w:eastAsia="zh-CN"/>
        </w:rPr>
        <w:t>65.86</w:t>
      </w:r>
      <w:r>
        <w:rPr>
          <w:rFonts w:ascii="仿宋_GB2312" w:eastAsia="仿宋_GB2312" w:cs="DengXian-Regular" w:hint="eastAsia"/>
          <w:sz w:val="32"/>
          <w:szCs w:val="32"/>
        </w:rPr>
        <w:t>%,主要是</w:t>
      </w:r>
      <w:r>
        <w:rPr>
          <w:rFonts w:ascii="仿宋_GB2312" w:eastAsia="仿宋_GB2312" w:cs="DengXian-Regular" w:hint="eastAsia"/>
          <w:sz w:val="32"/>
          <w:szCs w:val="32"/>
          <w:lang w:eastAsia="zh-CN"/>
        </w:rPr>
        <w:t>本年度未发生年初预算中的公务用车运行维护费中维修费等部分项目</w:t>
      </w:r>
      <w:r>
        <w:rPr>
          <w:rFonts w:ascii="仿宋_GB2312" w:eastAsia="仿宋_GB2312" w:cs="DengXian-Regular" w:hint="eastAsia"/>
          <w:sz w:val="32"/>
          <w:szCs w:val="32"/>
        </w:rPr>
        <w:t>；较上年减少</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万元，降低</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%,主要</w:t>
      </w:r>
      <w:r>
        <w:rPr>
          <w:rFonts w:ascii="仿宋_GB2312" w:eastAsia="仿宋_GB2312" w:cs="DengXian-Regular" w:hint="eastAsia"/>
          <w:sz w:val="32"/>
          <w:szCs w:val="32"/>
          <w:lang w:eastAsia="zh-CN"/>
        </w:rPr>
        <w:t>原因是今年开支项目和金额与去年相同，较</w:t>
      </w:r>
      <w:r>
        <w:rPr>
          <w:rFonts w:ascii="仿宋_GB2312" w:eastAsia="仿宋_GB2312" w:cs="DengXian-Regular" w:hint="eastAsia"/>
          <w:sz w:val="32"/>
          <w:szCs w:val="32"/>
          <w:lang w:val="en-US" w:eastAsia="zh-CN"/>
        </w:rPr>
        <w:t>2017年度决算无增减变化</w:t>
      </w:r>
      <w:r>
        <w:rPr>
          <w:rFonts w:ascii="仿宋_GB2312" w:eastAsia="仿宋_GB2312" w:cs="DengXian-Regular" w:hint="eastAsia"/>
          <w:sz w:val="32"/>
          <w:szCs w:val="32"/>
        </w:rPr>
        <w:t>。</w:t>
      </w:r>
      <w:r>
        <w:rPr>
          <w:rFonts w:ascii="仿宋_GB2312" w:eastAsia="仿宋_GB2312" w:cs="DengXian-Bold" w:hint="eastAsia"/>
          <w:b/>
          <w:bCs/>
          <w:sz w:val="32"/>
          <w:szCs w:val="32"/>
        </w:rPr>
        <w:t>其中：</w:t>
      </w:r>
    </w:p>
    <w:p>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b/>
          <w:sz w:val="32"/>
          <w:szCs w:val="32"/>
        </w:rPr>
        <w:t>公务用车购置费：</w:t>
      </w:r>
      <w:r>
        <w:rPr>
          <w:rFonts w:ascii="仿宋_GB2312" w:eastAsia="仿宋_GB2312" w:cs="DengXian-Regular" w:hint="eastAsia"/>
          <w:sz w:val="32"/>
          <w:szCs w:val="32"/>
        </w:rPr>
        <w:t>本部门2018年度公务用车购置量</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辆，发生“公务用车购置”经费支出</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万元。公务用车购置费支出较年初预算增加</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万元，增长</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%,主要</w:t>
      </w:r>
      <w:r>
        <w:rPr>
          <w:rFonts w:ascii="仿宋_GB2312" w:eastAsia="仿宋_GB2312" w:cs="DengXian-Regular" w:hint="eastAsia"/>
          <w:sz w:val="32"/>
          <w:szCs w:val="32"/>
          <w:lang w:eastAsia="zh-CN"/>
        </w:rPr>
        <w:t>原因是今年未发生公务用车购置经费支出，较年初预算无增减变化。较上年增加</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lang w:eastAsia="zh-CN"/>
        </w:rPr>
        <w:t>万元，增长</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lang w:eastAsia="zh-CN"/>
        </w:rPr>
        <w:t>%,主要原因是今年未发生公务用车购置经费支出，较</w:t>
      </w:r>
      <w:r>
        <w:rPr>
          <w:rFonts w:ascii="仿宋_GB2312" w:eastAsia="仿宋_GB2312" w:cs="DengXian-Regular" w:hint="eastAsia"/>
          <w:sz w:val="32"/>
          <w:szCs w:val="32"/>
          <w:lang w:val="en-US" w:eastAsia="zh-CN"/>
        </w:rPr>
        <w:t>2017年度决算</w:t>
      </w:r>
      <w:r>
        <w:rPr>
          <w:rFonts w:ascii="仿宋_GB2312" w:eastAsia="仿宋_GB2312" w:cs="DengXian-Regular" w:hint="eastAsia"/>
          <w:sz w:val="32"/>
          <w:szCs w:val="32"/>
          <w:lang w:eastAsia="zh-CN"/>
        </w:rPr>
        <w:t>无增减变化。</w:t>
      </w:r>
    </w:p>
    <w:p>
      <w:pPr>
        <w:adjustRightInd w:val="0"/>
        <w:snapToGrid w:val="0"/>
        <w:spacing w:after="0" w:line="580" w:lineRule="exact"/>
        <w:ind w:firstLineChars="200" w:firstLine="640"/>
        <w:rPr>
          <w:rFonts w:ascii="仿宋_GB2312" w:eastAsia="仿宋_GB2312" w:cs="DengXian-Regular" w:hint="eastAsia"/>
          <w:sz w:val="32"/>
          <w:szCs w:val="32"/>
          <w:lang w:val="en-US" w:eastAsia="zh-CN"/>
        </w:rPr>
      </w:pPr>
      <w:r>
        <w:rPr>
          <w:rFonts w:ascii="仿宋_GB2312" w:eastAsia="仿宋_GB2312" w:cs="DengXian-Regular" w:hint="eastAsia"/>
          <w:b/>
          <w:sz w:val="32"/>
          <w:szCs w:val="32"/>
        </w:rPr>
        <w:t>公务用车运行维护费：</w:t>
      </w:r>
      <w:r>
        <w:rPr>
          <w:rFonts w:ascii="仿宋_GB2312" w:eastAsia="仿宋_GB2312" w:cs="DengXian-Regular" w:hint="eastAsia"/>
          <w:sz w:val="32"/>
          <w:szCs w:val="32"/>
        </w:rPr>
        <w:t>本部门2018年度单位公务用车保有量</w:t>
      </w:r>
      <w:r>
        <w:rPr>
          <w:rFonts w:ascii="仿宋_GB2312" w:eastAsia="仿宋_GB2312" w:cs="DengXian-Regular" w:hint="eastAsia"/>
          <w:sz w:val="32"/>
          <w:szCs w:val="32"/>
          <w:lang w:val="en-US" w:eastAsia="zh-CN"/>
        </w:rPr>
        <w:t>1</w:t>
      </w:r>
      <w:r>
        <w:rPr>
          <w:rFonts w:ascii="仿宋_GB2312" w:eastAsia="仿宋_GB2312" w:cs="DengXian-Regular" w:hint="eastAsia"/>
          <w:sz w:val="32"/>
          <w:szCs w:val="32"/>
        </w:rPr>
        <w:t>辆。公车运行维护费支出较年初预算减少</w:t>
      </w:r>
      <w:r>
        <w:rPr>
          <w:rFonts w:ascii="仿宋_GB2312" w:eastAsia="仿宋_GB2312" w:cs="DengXian-Regular" w:hint="eastAsia"/>
          <w:sz w:val="32"/>
          <w:szCs w:val="32"/>
          <w:lang w:val="en-US" w:eastAsia="zh-CN"/>
        </w:rPr>
        <w:t>1.35</w:t>
      </w:r>
      <w:r>
        <w:rPr>
          <w:rFonts w:ascii="仿宋_GB2312" w:eastAsia="仿宋_GB2312" w:cs="DengXian-Regular" w:hint="eastAsia"/>
          <w:sz w:val="32"/>
          <w:szCs w:val="32"/>
        </w:rPr>
        <w:t>万元，降低</w:t>
      </w:r>
      <w:r>
        <w:rPr>
          <w:rFonts w:ascii="仿宋_GB2312" w:eastAsia="仿宋_GB2312" w:cs="DengXian-Regular" w:hint="eastAsia"/>
          <w:sz w:val="32"/>
          <w:szCs w:val="32"/>
          <w:lang w:val="en-US" w:eastAsia="zh-CN"/>
        </w:rPr>
        <w:t>65.86</w:t>
      </w:r>
      <w:r>
        <w:rPr>
          <w:rFonts w:ascii="仿宋_GB2312" w:eastAsia="仿宋_GB2312" w:cs="DengXian-Regular" w:hint="eastAsia"/>
          <w:sz w:val="32"/>
          <w:szCs w:val="32"/>
        </w:rPr>
        <w:t>%,主要是本年度未发生年初预算中的公务用车运行维护费中维修费等部分项目；较上年</w:t>
      </w:r>
      <w:r>
        <w:rPr>
          <w:rFonts w:ascii="仿宋_GB2312" w:eastAsia="仿宋_GB2312" w:cs="DengXian-Regular" w:hint="eastAsia"/>
          <w:sz w:val="32"/>
          <w:szCs w:val="32"/>
          <w:lang w:val="en-US" w:eastAsia="zh-CN"/>
        </w:rPr>
        <w:t>0.70</w:t>
      </w:r>
      <w:r>
        <w:rPr>
          <w:rFonts w:ascii="仿宋_GB2312" w:eastAsia="仿宋_GB2312" w:cs="DengXian-Regular" w:hint="eastAsia"/>
          <w:sz w:val="32"/>
          <w:szCs w:val="32"/>
        </w:rPr>
        <w:t>万元</w:t>
      </w:r>
      <w:r>
        <w:rPr>
          <w:rFonts w:ascii="仿宋_GB2312" w:eastAsia="仿宋_GB2312" w:cs="DengXian-Regular" w:hint="eastAsia"/>
          <w:sz w:val="32"/>
          <w:szCs w:val="32"/>
          <w:lang w:eastAsia="zh-CN"/>
        </w:rPr>
        <w:t>相同</w:t>
      </w:r>
      <w:r>
        <w:rPr>
          <w:rFonts w:ascii="仿宋_GB2312" w:eastAsia="仿宋_GB2312" w:cs="DengXian-Regular" w:hint="eastAsia"/>
          <w:sz w:val="32"/>
          <w:szCs w:val="32"/>
        </w:rPr>
        <w:t>，增长</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%，主要原因是今年开支项目和金额与去年相同</w:t>
      </w:r>
      <w:r>
        <w:rPr>
          <w:rFonts w:ascii="仿宋_GB2312" w:eastAsia="仿宋_GB2312" w:cs="DengXian-Regular" w:hint="eastAsia"/>
          <w:sz w:val="32"/>
          <w:szCs w:val="32"/>
          <w:lang w:eastAsia="zh-CN"/>
        </w:rPr>
        <w:t>，较</w:t>
      </w:r>
      <w:r>
        <w:rPr>
          <w:rFonts w:ascii="仿宋_GB2312" w:eastAsia="仿宋_GB2312" w:cs="DengXian-Regular" w:hint="eastAsia"/>
          <w:sz w:val="32"/>
          <w:szCs w:val="32"/>
          <w:lang w:val="en-US" w:eastAsia="zh-CN"/>
        </w:rPr>
        <w:t>2017年度决算无增减变化。</w:t>
      </w:r>
    </w:p>
    <w:p>
      <w:pPr>
        <w:adjustRightInd w:val="0"/>
        <w:snapToGrid w:val="0"/>
        <w:spacing w:after="0" w:line="580" w:lineRule="exact"/>
        <w:ind w:firstLineChars="200" w:firstLine="640"/>
        <w:rPr>
          <w:rFonts w:ascii="仿宋_GB2312" w:eastAsia="仿宋_GB2312" w:cs="DengXian-Regular"/>
          <w:sz w:val="32"/>
          <w:szCs w:val="32"/>
        </w:rPr>
      </w:pPr>
      <w:r>
        <w:rPr>
          <w:rFonts w:ascii="楷体_GB2312" w:eastAsia="楷体_GB2312" w:cs="DengXian-Bold" w:hint="eastAsia"/>
          <w:b/>
          <w:bCs/>
          <w:sz w:val="32"/>
          <w:szCs w:val="32"/>
        </w:rPr>
        <w:t>（三）公务接待费支出</w:t>
      </w:r>
      <w:r>
        <w:rPr>
          <w:rFonts w:ascii="楷体_GB2312" w:eastAsia="楷体_GB2312" w:cs="DengXian-Bold" w:hint="eastAsia"/>
          <w:b/>
          <w:bCs/>
          <w:sz w:val="32"/>
          <w:szCs w:val="32"/>
          <w:lang w:val="en-US" w:eastAsia="zh-CN"/>
        </w:rPr>
        <w:t>0.04</w:t>
      </w:r>
      <w:r>
        <w:rPr>
          <w:rFonts w:ascii="楷体_GB2312" w:eastAsia="楷体_GB2312" w:cs="DengXian-Bold" w:hint="eastAsia"/>
          <w:b/>
          <w:bCs/>
          <w:sz w:val="32"/>
          <w:szCs w:val="32"/>
        </w:rPr>
        <w:t>万元。</w:t>
      </w:r>
      <w:r>
        <w:rPr>
          <w:sz w:val="44"/>
        </w:rPr>
        <mc:AlternateContent>
          <mc:Choice Requires="wps">
            <w:drawing>
              <wp:anchor distT="0" distB="0" distL="0" distR="0" simplePos="0" relativeHeight="123" behindDoc="0" locked="1" layoutInCell="1" hidden="0" allowOverlap="1">
                <wp:simplePos x="0" y="0"/>
                <wp:positionH relativeFrom="column">
                  <wp:posOffset>-1015365</wp:posOffset>
                </wp:positionH>
                <wp:positionV relativeFrom="topMargin">
                  <wp:posOffset>372109</wp:posOffset>
                </wp:positionV>
                <wp:extent cx="3833495" cy="558166"/>
                <wp:effectExtent l="1270" t="0" r="13334" b="13334"/>
                <wp:wrapNone/>
                <wp:docPr id="1138" name="组合 85"/>
                <wp:cNvGraphicFramePr>
                  <a:graphicFrameLocks noChangeAspect="0"/>
                </wp:cNvGraphicFramePr>
                <a:graphic>
                  <a:graphicData uri="http://schemas.microsoft.com/office/word/2010/wordprocessingGroup">
                    <wpg:wgp>
                      <wpg:cNvPr id="131" name="组合 85 131"/>
                      <wpg:cNvGrpSpPr/>
                      <wpg:grpSpPr>
                        <a:xfrm rot="0">
                          <a:off x="0" y="0"/>
                          <a:ext cx="3833495" cy="558166"/>
                          <a:chOff x="0" y="0"/>
                          <a:chExt cx="3833495" cy="558166"/>
                        </a:xfrm>
                        <a:prstGeom prst="rect"/>
                        <a:solidFill>
                          <a:srgbClr val="FFFFFF"/>
                        </a:solidFill>
                        <a:ln w="9525" cmpd="sng" cap="flat">
                          <a:solidFill>
                            <a:srgbClr val="000000"/>
                          </a:solidFill>
                          <a:prstDash val="solid"/>
                          <a:miter/>
                        </a:ln>
                      </wpg:grpSpPr>
                      <wps:wsp>
                        <wps:cNvPr id="132" name="矩形 1055 132 132"/>
                        <wps:cNvSpPr/>
                        <wps:spPr>
                          <a:xfrm rot="0">
                            <a:off x="0" y="0"/>
                            <a:ext cx="3833495" cy="469131"/>
                          </a:xfrm>
                          <a:prstGeom prst="rect"/>
                          <a:solidFill>
                            <a:srgbClr val="D8D8D8"/>
                          </a:solidFill>
                          <a:ln cmpd="sng" cap="flat">
                            <a:noFill/>
                            <a:prstDash val="solid"/>
                            <a:round/>
                          </a:ln>
                        </wps:spPr>
                        <wps:bodyPr vert="horz" wrap="square" lIns="91440" tIns="45720" rIns="91440" bIns="45720" anchor="t" anchorCtr="0" upright="0">
                          <a:noAutofit/>
                        </wps:bodyPr>
                      </wps:wsp>
                      <wps:wsp>
                        <wps:cNvPr id="133" name="矩形 1057 133 133"/>
                        <wps:cNvSpPr/>
                        <wps:spPr>
                          <a:xfrm rot="0">
                            <a:off x="11662" y="109797"/>
                            <a:ext cx="3733912" cy="448369"/>
                          </a:xfrm>
                          <a:prstGeom prst="rect"/>
                          <a:solidFill>
                            <a:srgbClr val="AD002D"/>
                          </a:solidFill>
                          <a:ln w="25400" cmpd="sng" cap="flat">
                            <a:solidFill>
                              <a:srgbClr val="AF7621"/>
                            </a:solidFill>
                            <a:prstDash val="solid"/>
                            <a:round/>
                          </a:ln>
                        </wps:spPr>
                        <wps:txbx id="134">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2018年度部门决算☞部门决算情况说明</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85" o:spid="_x0000_s135" coordorigin="-10,585" coordsize="6037,879" style="position:absolute;margin-left:-79.95pt;margin-top:29.299921pt;width:301.85pt;height:43.95008pt;z-index:123;mso-position-horizontal:absolute;mso-position-vertical:absolute;mso-position-vertical-relative:top-margin-area;mso-wrap-distance-left:0.0pt;mso-wrap-distance-right:0.0pt;">
                <v:rect type="#_x0000_t1" id="矩形 1055 132 132" o:spid="_x0000_s136" style="position:absolute;left:-10;top:585;width:6037;height:738;" fillcolor="#D8D8D8" stroked="f" strokeweight="-1.0pt">
                  <v:stroke/>
                </v:rect>
                <v:rect type="#_x0000_t1" id="_s137" o:spid="_x0000_s137" style="position:absolute;left:7;top:758;width:5880;height:706;mso-wrap-style:square;" fillcolor="#AD002D" stroked="t" strokeweight="2.0pt">
                  <v:textbox id="873"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2018年度部门决算☞部门决算情况说明</w:t>
                        </w:r>
                      </w:p>
                      <w:p>
                        <w:pPr>
                          <w:jc w:val="center"/>
                        </w:pPr>
                      </w:p>
                    </w:txbxContent>
                  </v:textbox>
                  <v:stroke color="#AF7621"/>
                </v:rect>
                <w10:anchorLock/>
              </v:group>
            </w:pict>
          </mc:Fallback>
        </mc:AlternateContent>
      </w:r>
      <w:r>
        <w:rPr>
          <w:rFonts w:ascii="仿宋_GB2312" w:eastAsia="仿宋_GB2312" w:cs="DengXian-Regular" w:hint="eastAsia"/>
          <w:sz w:val="32"/>
          <w:szCs w:val="32"/>
        </w:rPr>
        <w:t>本部门2018年度公务接待共</w:t>
      </w:r>
      <w:r>
        <w:rPr>
          <w:rFonts w:ascii="仿宋_GB2312" w:eastAsia="仿宋_GB2312" w:cs="DengXian-Regular" w:hint="eastAsia"/>
          <w:sz w:val="32"/>
          <w:szCs w:val="32"/>
          <w:lang w:val="en-US" w:eastAsia="zh-CN"/>
        </w:rPr>
        <w:t>1</w:t>
      </w:r>
      <w:r>
        <w:rPr>
          <w:rFonts w:ascii="仿宋_GB2312" w:eastAsia="仿宋_GB2312" w:cs="DengXian-Regular" w:hint="eastAsia"/>
          <w:sz w:val="32"/>
          <w:szCs w:val="32"/>
        </w:rPr>
        <w:t>批次、</w:t>
      </w:r>
      <w:r>
        <w:rPr>
          <w:rFonts w:ascii="仿宋_GB2312" w:eastAsia="仿宋_GB2312" w:cs="DengXian-Regular" w:hint="eastAsia"/>
          <w:sz w:val="32"/>
          <w:szCs w:val="32"/>
          <w:lang w:val="en-US" w:eastAsia="zh-CN"/>
        </w:rPr>
        <w:t>10</w:t>
      </w:r>
      <w:r>
        <w:rPr>
          <w:rFonts w:ascii="仿宋_GB2312" w:eastAsia="仿宋_GB2312" w:cs="DengXian-Regular" w:hint="eastAsia"/>
          <w:sz w:val="32"/>
          <w:szCs w:val="32"/>
        </w:rPr>
        <w:t>人次。公务接待费支出较年初预算减少</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万元，降低</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%,主要是</w:t>
      </w:r>
      <w:r>
        <w:rPr>
          <w:rFonts w:ascii="仿宋_GB2312" w:eastAsia="仿宋_GB2312" w:cs="DengXian-Regular" w:hint="eastAsia"/>
          <w:sz w:val="32"/>
          <w:szCs w:val="32"/>
          <w:lang w:eastAsia="zh-CN"/>
        </w:rPr>
        <w:t>今年公务接待费支出与年初预算数额相同</w:t>
      </w:r>
      <w:r>
        <w:rPr>
          <w:rFonts w:ascii="仿宋_GB2312" w:eastAsia="仿宋_GB2312" w:cs="DengXian-Regular" w:hint="eastAsia"/>
          <w:sz w:val="32"/>
          <w:szCs w:val="32"/>
        </w:rPr>
        <w:t>；较上年度减少</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万元，降低</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%,主要是</w:t>
      </w:r>
      <w:r>
        <w:rPr>
          <w:rFonts w:ascii="仿宋_GB2312" w:eastAsia="仿宋_GB2312" w:cs="DengXian-Regular" w:hint="eastAsia"/>
          <w:sz w:val="32"/>
          <w:szCs w:val="32"/>
          <w:lang w:eastAsia="zh-CN"/>
        </w:rPr>
        <w:t>今年公务接待费支出与上年决算支出数额相同</w:t>
      </w:r>
      <w:r>
        <w:rPr>
          <w:rFonts w:ascii="仿宋_GB2312" w:eastAsia="仿宋_GB2312" w:cs="DengXian-Regular" w:hint="eastAsia"/>
          <w:sz w:val="32"/>
          <w:szCs w:val="32"/>
        </w:rPr>
        <w:t>。</w:t>
      </w:r>
    </w:p>
    <w:p>
      <w:pPr>
        <w:adjustRightInd w:val="0"/>
        <w:snapToGrid w:val="0"/>
        <w:spacing w:after="0" w:line="580" w:lineRule="exact"/>
        <w:ind w:firstLineChars="200" w:firstLine="640"/>
        <w:rPr>
          <w:rFonts w:ascii="黑体" w:eastAsia="黑体"/>
          <w:sz w:val="32"/>
          <w:szCs w:val="40"/>
        </w:rPr>
      </w:pPr>
      <w:r>
        <w:rPr>
          <w:rFonts w:ascii="黑体" w:eastAsia="黑体" w:hint="eastAsia"/>
          <w:sz w:val="32"/>
          <w:szCs w:val="40"/>
        </w:rPr>
        <w:t>六、预算绩效情况说明</w:t>
      </w:r>
    </w:p>
    <w:p>
      <w:pPr>
        <w:adjustRightInd w:val="0"/>
        <w:snapToGrid w:val="0"/>
        <w:spacing w:after="0" w:line="580" w:lineRule="exact"/>
        <w:ind w:firstLineChars="200" w:firstLine="640"/>
        <w:rPr>
          <w:rFonts w:ascii="仿宋_GB2312" w:eastAsia="仿宋_GB2312" w:cs="DengXian-Regular" w:hint="eastAsia"/>
          <w:sz w:val="32"/>
          <w:szCs w:val="32"/>
        </w:rPr>
      </w:pPr>
      <w:r>
        <w:rPr>
          <w:rFonts w:ascii="仿宋_GB2312" w:eastAsia="仿宋_GB2312" w:cs="DengXian-Regular" w:hint="eastAsia"/>
          <w:sz w:val="32"/>
          <w:szCs w:val="32"/>
        </w:rPr>
        <w:t>（一）绩效管理工作开展情况</w:t>
      </w:r>
    </w:p>
    <w:p>
      <w:pPr>
        <w:adjustRightInd w:val="0"/>
        <w:snapToGrid w:val="0"/>
        <w:spacing w:after="0" w:line="580" w:lineRule="exact"/>
        <w:ind w:firstLineChars="200" w:firstLine="640"/>
        <w:rPr>
          <w:rFonts w:ascii="仿宋_GB2312" w:eastAsia="仿宋_GB2312" w:cs="DengXian-Regular" w:hint="eastAsia"/>
          <w:sz w:val="32"/>
          <w:szCs w:val="32"/>
        </w:rPr>
      </w:pPr>
      <w:r>
        <w:rPr>
          <w:rFonts w:ascii="仿宋_GB2312" w:eastAsia="仿宋_GB2312" w:cs="DengXian-Regular" w:hint="eastAsia"/>
          <w:sz w:val="32"/>
          <w:szCs w:val="32"/>
        </w:rPr>
        <w:t>为深入推进绩效管理工作，根据《河北省人民政府关于深化推进预算绩效管理的意见》（冀政【 2014】76号）、《河北省财政支出绩效评价管理办法》（冀财预【2011】68号）</w:t>
      </w:r>
      <w:r>
        <w:rPr>
          <w:rFonts w:ascii="仿宋_GB2312" w:eastAsia="仿宋_GB2312" w:cs="DengXian-Regular" w:hint="eastAsia"/>
          <w:sz w:val="32"/>
          <w:szCs w:val="32"/>
          <w:lang w:eastAsia="zh-CN"/>
        </w:rPr>
        <w:t>、</w:t>
      </w:r>
      <w:r>
        <w:rPr>
          <w:rFonts w:ascii="仿宋_GB2312" w:eastAsia="仿宋_GB2312" w:cs="DengXian-Regular" w:hint="eastAsia"/>
          <w:sz w:val="32"/>
          <w:szCs w:val="32"/>
          <w:lang w:val="en-US" w:eastAsia="zh-CN"/>
        </w:rPr>
        <w:t>2015年3月31日遵化市政府批准的《遵化市财政局 遵化市人力资源和社会保障局 遵化市供销合作社关于市供销合作社系统改制涉及人员欠缴社会保险费有关情况的报告》、2016年9月23日遵化市政府批准的《遵化市供销合作社关于为原工业品公司退休职工陈贺缴纳医疗保险的请示》</w:t>
      </w:r>
      <w:r>
        <w:rPr>
          <w:rFonts w:ascii="仿宋_GB2312" w:eastAsia="仿宋_GB2312" w:cs="DengXian-Regular" w:hint="eastAsia"/>
          <w:sz w:val="32"/>
          <w:szCs w:val="32"/>
        </w:rPr>
        <w:t>等文件要求，我</w:t>
      </w:r>
      <w:r>
        <w:rPr>
          <w:rFonts w:ascii="仿宋_GB2312" w:eastAsia="仿宋_GB2312" w:cs="DengXian-Regular" w:hint="eastAsia"/>
          <w:sz w:val="32"/>
          <w:szCs w:val="32"/>
          <w:lang w:eastAsia="zh-CN"/>
        </w:rPr>
        <w:t>社</w:t>
      </w:r>
      <w:r>
        <w:rPr>
          <w:rFonts w:ascii="仿宋_GB2312" w:eastAsia="仿宋_GB2312" w:cs="DengXian-Regular" w:hint="eastAsia"/>
          <w:sz w:val="32"/>
          <w:szCs w:val="32"/>
        </w:rPr>
        <w:t>成立了绩效评价领导小组，统一组织并确定绩效评价工作的程序和方法，对</w:t>
      </w:r>
      <w:r>
        <w:rPr>
          <w:rFonts w:ascii="仿宋_GB2312" w:eastAsia="仿宋_GB2312" w:cs="DengXian-Regular" w:hint="eastAsia"/>
          <w:sz w:val="32"/>
          <w:szCs w:val="32"/>
          <w:lang w:eastAsia="zh-CN"/>
        </w:rPr>
        <w:t>改制五年等退人员医疗保险费</w:t>
      </w:r>
      <w:r>
        <w:rPr>
          <w:rFonts w:ascii="仿宋_GB2312" w:eastAsia="仿宋_GB2312" w:cs="DengXian-Regular" w:hint="eastAsia"/>
          <w:sz w:val="32"/>
          <w:szCs w:val="32"/>
        </w:rPr>
        <w:t>项目进行了绩效评价。</w:t>
      </w:r>
    </w:p>
    <w:p>
      <w:pPr>
        <w:numPr>
          <w:ilvl w:val="0"/>
          <w:numId w:val="2"/>
        </w:numPr>
        <w:adjustRightInd w:val="0"/>
        <w:snapToGrid w:val="0"/>
        <w:spacing w:after="0" w:line="580" w:lineRule="exact"/>
        <w:ind w:left="0" w:firstLineChars="200" w:firstLine="640"/>
        <w:rPr>
          <w:rFonts w:ascii="仿宋_GB2312" w:eastAsia="仿宋_GB2312" w:cs="DengXian-Regular" w:hint="eastAsia"/>
          <w:sz w:val="32"/>
          <w:szCs w:val="32"/>
        </w:rPr>
      </w:pPr>
      <w:r>
        <w:rPr>
          <w:rFonts w:ascii="仿宋_GB2312" w:eastAsia="仿宋_GB2312" w:cs="DengXian-Regular" w:hint="eastAsia"/>
          <w:sz w:val="32"/>
          <w:szCs w:val="32"/>
        </w:rPr>
        <w:t>预算项目绩效评价开展情况</w:t>
      </w:r>
    </w:p>
    <w:p>
      <w:pPr>
        <w:adjustRightInd w:val="0"/>
        <w:snapToGrid w:val="0"/>
        <w:spacing w:after="0" w:line="580" w:lineRule="exact"/>
        <w:ind w:left="0" w:firstLine="640"/>
        <w:rPr>
          <w:rFonts w:ascii="仿宋_GB2312" w:eastAsia="仿宋_GB2312" w:cs="DengXian-Regular" w:hint="eastAsia"/>
          <w:sz w:val="32"/>
          <w:szCs w:val="32"/>
          <w:lang w:val="en-US" w:eastAsia="zh-CN"/>
        </w:rPr>
      </w:pPr>
      <w:r>
        <w:rPr>
          <w:rFonts w:ascii="仿宋_GB2312" w:eastAsia="仿宋_GB2312" w:cs="DengXian-Regular" w:hint="eastAsia"/>
          <w:sz w:val="32"/>
          <w:szCs w:val="32"/>
          <w:lang w:val="en-US" w:eastAsia="zh-CN"/>
        </w:rPr>
        <w:t>2018年项目绩效评价的开展工作围绕如下内容开展：</w:t>
      </w:r>
    </w:p>
    <w:p>
      <w:pPr>
        <w:numPr>
          <w:ilvl w:val="0"/>
          <w:numId w:val="3"/>
        </w:numPr>
        <w:adjustRightInd w:val="0"/>
        <w:snapToGrid w:val="0"/>
        <w:spacing w:after="0" w:line="580" w:lineRule="exact"/>
        <w:ind w:left="0" w:firstLine="640"/>
        <w:rPr>
          <w:rFonts w:ascii="仿宋_GB2312" w:eastAsia="仿宋_GB2312" w:cs="DengXian-Regular" w:hint="eastAsia"/>
          <w:sz w:val="32"/>
          <w:szCs w:val="32"/>
          <w:lang w:val="en-US" w:eastAsia="zh-CN"/>
        </w:rPr>
      </w:pPr>
      <w:r>
        <w:rPr>
          <w:rFonts w:ascii="仿宋_GB2312" w:eastAsia="仿宋_GB2312" w:cs="DengXian-Regular" w:hint="eastAsia"/>
          <w:sz w:val="32"/>
          <w:szCs w:val="32"/>
          <w:lang w:val="en-US" w:eastAsia="zh-CN"/>
        </w:rPr>
        <w:t>项目基本情况1.项目基本情况。2.项目资金的来源及资金的管理。3.业务开展情况。</w:t>
      </w:r>
    </w:p>
    <w:p>
      <w:pPr>
        <w:adjustRightInd w:val="0"/>
        <w:snapToGrid w:val="0"/>
        <w:spacing w:after="0" w:line="580" w:lineRule="exact"/>
        <w:ind w:left="0" w:firstLineChars="200" w:firstLine="640"/>
        <w:rPr>
          <w:rFonts w:ascii="仿宋_GB2312" w:eastAsia="仿宋_GB2312" w:cs="DengXian-Regular"/>
          <w:sz w:val="32"/>
          <w:szCs w:val="32"/>
          <w:lang w:val="en-US" w:eastAsia="zh-CN"/>
        </w:rPr>
      </w:pPr>
      <w:r>
        <w:rPr>
          <w:rFonts w:ascii="仿宋_GB2312" w:eastAsia="仿宋_GB2312" w:cs="DengXian-Regular" w:hint="eastAsia"/>
          <w:sz w:val="32"/>
          <w:szCs w:val="32"/>
          <w:lang w:val="en-US" w:eastAsia="zh-CN"/>
        </w:rPr>
        <w:t>二、项目绩效及考评结论 1.管理绩效自评情况。2.结果绩效自评情况。3.考评发现的问题。4.相关意见与建议。5、附件。</w:t>
      </w:r>
    </w:p>
    <w:p>
      <w:pPr>
        <w:adjustRightInd w:val="0"/>
        <w:snapToGrid w:val="0"/>
        <w:spacing w:after="0" w:line="580" w:lineRule="exact"/>
        <w:ind w:firstLineChars="200" w:firstLine="640"/>
        <w:rPr>
          <w:rFonts w:ascii="仿宋_GB2312" w:eastAsia="仿宋_GB2312" w:cs="DengXian-Regular" w:hint="eastAsia"/>
          <w:sz w:val="32"/>
          <w:szCs w:val="32"/>
        </w:rPr>
      </w:pPr>
      <w:r>
        <w:rPr>
          <w:rFonts w:ascii="仿宋_GB2312" w:eastAsia="仿宋_GB2312" w:cs="DengXian-Regular" w:hint="eastAsia"/>
          <w:sz w:val="32"/>
          <w:szCs w:val="32"/>
        </w:rPr>
        <w:t>（三）预算项目绩效自评选例</w:t>
      </w:r>
    </w:p>
    <w:p>
      <w:pPr>
        <w:adjustRightInd w:val="0"/>
        <w:snapToGrid w:val="0"/>
        <w:spacing w:after="0" w:line="580" w:lineRule="exact"/>
        <w:ind w:firstLineChars="200" w:firstLine="640"/>
        <w:rPr>
          <w:rFonts w:ascii="仿宋_GB2312" w:eastAsia="仿宋_GB2312" w:cs="DengXian-Regular" w:hint="eastAsia"/>
          <w:sz w:val="32"/>
          <w:szCs w:val="32"/>
        </w:rPr>
      </w:pPr>
    </w:p>
    <w:p>
      <w:pPr>
        <w:jc w:val="center"/>
        <w:rPr>
          <w:rFonts w:ascii="仿宋_GB2312" w:eastAsia="仿宋_GB2312" w:hint="eastAsia"/>
          <w:b/>
          <w:bCs/>
          <w:sz w:val="32"/>
        </w:rPr>
      </w:pPr>
      <w:r>
        <w:rPr>
          <w:rFonts w:ascii="仿宋_GB2312" w:eastAsia="仿宋_GB2312" w:hint="eastAsia"/>
          <w:b/>
          <w:bCs/>
          <w:sz w:val="44"/>
        </w:rPr>
        <w:t>遵化市预算支出项目绩效评价报告</w:t>
      </w:r>
    </w:p>
    <w:p>
      <w:pPr>
        <w:ind w:firstLineChars="192" w:firstLine="614"/>
        <w:rPr>
          <w:rFonts w:ascii="仿宋_GB2312" w:eastAsia="仿宋_GB2312" w:hint="eastAsia"/>
          <w:sz w:val="32"/>
        </w:rPr>
      </w:pPr>
    </w:p>
    <w:p>
      <w:pPr>
        <w:ind w:firstLineChars="192" w:firstLine="614"/>
        <w:rPr>
          <w:rFonts w:ascii="仿宋_GB2312" w:eastAsia="仿宋_GB2312" w:hint="eastAsia"/>
          <w:b/>
          <w:sz w:val="32"/>
          <w:u w:val="single"/>
        </w:rPr>
      </w:pPr>
      <w:r>
        <w:rPr>
          <w:rFonts w:ascii="仿宋_GB2312" w:eastAsia="仿宋_GB2312" w:hint="eastAsia"/>
          <w:b/>
          <w:sz w:val="32"/>
        </w:rPr>
        <w:t>项目名称</w:t>
      </w:r>
      <w:r>
        <w:rPr>
          <w:rFonts w:ascii="仿宋_GB2312" w:eastAsia="仿宋_GB2312" w:hint="eastAsia"/>
          <w:b/>
          <w:sz w:val="32"/>
          <w:u w:val="single"/>
        </w:rPr>
        <w:t xml:space="preserve">  改制五年等退人员医疗保险费  </w:t>
      </w:r>
    </w:p>
    <w:p>
      <w:pPr>
        <w:ind w:firstLineChars="192" w:firstLine="614"/>
        <w:rPr>
          <w:rFonts w:ascii="仿宋_GB2312" w:eastAsia="仿宋_GB2312" w:hint="eastAsia"/>
          <w:b/>
          <w:sz w:val="32"/>
        </w:rPr>
      </w:pPr>
      <w:r>
        <w:rPr>
          <w:rFonts w:ascii="仿宋_GB2312" w:eastAsia="仿宋_GB2312" w:hint="eastAsia"/>
          <w:b/>
          <w:sz w:val="32"/>
        </w:rPr>
        <w:t>项目单位</w:t>
      </w:r>
      <w:r>
        <w:rPr>
          <w:rFonts w:ascii="仿宋_GB2312" w:eastAsia="仿宋_GB2312" w:hint="eastAsia"/>
          <w:b/>
          <w:sz w:val="32"/>
          <w:u w:val="single"/>
        </w:rPr>
        <w:t xml:space="preserve">   遵化市供销合作社           </w:t>
      </w:r>
    </w:p>
    <w:p>
      <w:pPr>
        <w:ind w:firstLineChars="192" w:firstLine="614"/>
        <w:rPr>
          <w:rFonts w:ascii="仿宋_GB2312" w:eastAsia="仿宋_GB2312" w:hint="eastAsia"/>
          <w:b/>
          <w:sz w:val="32"/>
          <w:u w:val="single"/>
        </w:rPr>
      </w:pPr>
      <w:r>
        <w:rPr>
          <w:rFonts w:ascii="仿宋_GB2312" w:eastAsia="仿宋_GB2312" w:hint="eastAsia"/>
          <w:b/>
          <w:sz w:val="32"/>
        </w:rPr>
        <w:t>主管部门</w:t>
      </w:r>
      <w:r>
        <w:rPr>
          <w:rFonts w:ascii="仿宋_GB2312" w:eastAsia="仿宋_GB2312" w:hint="eastAsia"/>
          <w:b/>
          <w:sz w:val="32"/>
          <w:u w:val="single"/>
        </w:rPr>
        <w:t xml:space="preserve">   遵化市供销合作社           </w:t>
      </w:r>
    </w:p>
    <w:p>
      <w:pPr>
        <w:ind w:firstLineChars="192" w:firstLine="614"/>
        <w:rPr>
          <w:rFonts w:ascii="仿宋_GB2312" w:eastAsia="仿宋_GB2312" w:hint="eastAsia"/>
          <w:b/>
          <w:sz w:val="28"/>
        </w:rPr>
      </w:pPr>
      <w:r>
        <w:rPr>
          <w:rFonts w:ascii="仿宋_GB2312" w:eastAsia="仿宋_GB2312" w:hint="eastAsia"/>
          <w:b/>
          <w:sz w:val="32"/>
        </w:rPr>
        <w:t xml:space="preserve">考评类型  </w:t>
      </w:r>
      <w:r>
        <w:rPr>
          <w:rFonts w:ascii="仿宋_GB2312" w:eastAsia="仿宋_GB2312" w:hint="eastAsia"/>
          <w:b/>
          <w:sz w:val="28"/>
        </w:rPr>
        <w:t>事前考评□      事中考评□      事后考评</w:t>
      </w:r>
      <w:r>
        <w:rPr>
          <w:rFonts w:ascii="仿宋_GB2312" w:eastAsia="仿宋_GB2312" w:hint="eastAsia"/>
          <w:b/>
          <w:sz w:val="28"/>
        </w:rPr>
        <w:sym w:font="Wingdings 2" w:char="52"/>
      </w:r>
    </w:p>
    <w:p>
      <w:pPr>
        <w:ind w:firstLineChars="192" w:firstLine="614"/>
        <w:rPr>
          <w:rFonts w:ascii="仿宋_GB2312" w:eastAsia="仿宋_GB2312" w:hint="eastAsia"/>
          <w:b/>
          <w:sz w:val="32"/>
        </w:rPr>
      </w:pPr>
      <w:r>
        <w:rPr>
          <w:rFonts w:ascii="仿宋_GB2312" w:eastAsia="仿宋_GB2312" w:hint="eastAsia"/>
          <w:b/>
          <w:sz w:val="32"/>
        </w:rPr>
        <w:t>考评方式：</w:t>
      </w:r>
      <w:r>
        <w:rPr>
          <w:rFonts w:ascii="仿宋_GB2312" w:eastAsia="仿宋_GB2312" w:hint="eastAsia"/>
          <w:b/>
          <w:sz w:val="28"/>
          <w:szCs w:val="28"/>
        </w:rPr>
        <w:t>部门（单位）绩效自评</w:t>
      </w:r>
      <w:r>
        <w:rPr>
          <w:rFonts w:ascii="仿宋_GB2312" w:eastAsia="仿宋_GB2312" w:hint="eastAsia"/>
          <w:b/>
          <w:sz w:val="28"/>
          <w:szCs w:val="28"/>
        </w:rPr>
        <w:sym w:font="Wingdings 2" w:char="52"/>
      </w:r>
      <w:r>
        <w:rPr>
          <w:rFonts w:ascii="仿宋_GB2312" w:eastAsia="仿宋_GB2312" w:hint="eastAsia"/>
          <w:b/>
          <w:sz w:val="28"/>
          <w:szCs w:val="28"/>
        </w:rPr>
        <w:t xml:space="preserve">  财政部门组织考评□</w:t>
      </w:r>
    </w:p>
    <w:p>
      <w:pPr>
        <w:ind w:firstLineChars="192" w:firstLine="614"/>
        <w:rPr>
          <w:rFonts w:ascii="仿宋_GB2312" w:eastAsia="仿宋_GB2312" w:hint="eastAsia"/>
          <w:b/>
          <w:sz w:val="32"/>
        </w:rPr>
      </w:pPr>
      <w:r>
        <w:rPr>
          <w:rFonts w:ascii="仿宋_GB2312" w:eastAsia="仿宋_GB2312" w:hint="eastAsia"/>
          <w:b/>
          <w:sz w:val="32"/>
        </w:rPr>
        <w:t>考评机构：</w:t>
      </w:r>
      <w:r>
        <w:rPr>
          <w:rFonts w:ascii="仿宋_GB2312" w:eastAsia="仿宋_GB2312" w:hint="eastAsia"/>
          <w:b/>
          <w:sz w:val="25"/>
          <w:szCs w:val="25"/>
        </w:rPr>
        <w:t>中介机构□   部门（单位）考评组</w:t>
      </w:r>
      <w:r>
        <w:rPr>
          <w:rFonts w:ascii="仿宋_GB2312" w:eastAsia="仿宋_GB2312" w:hint="eastAsia"/>
          <w:b/>
          <w:sz w:val="25"/>
          <w:szCs w:val="25"/>
        </w:rPr>
        <w:sym w:font="Wingdings 2" w:char="52"/>
      </w:r>
      <w:r>
        <w:rPr>
          <w:rFonts w:ascii="仿宋_GB2312" w:eastAsia="仿宋_GB2312" w:hint="eastAsia"/>
          <w:b/>
          <w:sz w:val="25"/>
          <w:szCs w:val="25"/>
        </w:rPr>
        <w:t xml:space="preserve">   财政考评组□</w:t>
      </w:r>
    </w:p>
    <w:p>
      <w:pPr>
        <w:jc w:val="center"/>
        <w:rPr>
          <w:rFonts w:ascii="仿宋_GB2312" w:eastAsia="仿宋_GB2312" w:hint="eastAsia"/>
          <w:b/>
          <w:sz w:val="32"/>
        </w:rPr>
      </w:pPr>
    </w:p>
    <w:p>
      <w:pPr>
        <w:jc w:val="center"/>
        <w:rPr>
          <w:rFonts w:ascii="仿宋_GB2312" w:eastAsia="仿宋_GB2312" w:hint="eastAsia"/>
          <w:b/>
          <w:sz w:val="32"/>
        </w:rPr>
      </w:pPr>
    </w:p>
    <w:p>
      <w:pPr>
        <w:jc w:val="center"/>
        <w:rPr>
          <w:rFonts w:ascii="仿宋_GB2312" w:eastAsia="仿宋_GB2312" w:hint="eastAsia"/>
          <w:b/>
          <w:sz w:val="32"/>
        </w:rPr>
      </w:pPr>
      <w:r>
        <w:rPr>
          <w:rFonts w:ascii="仿宋_GB2312" w:eastAsia="仿宋_GB2312" w:hint="eastAsia"/>
          <w:b/>
          <w:sz w:val="32"/>
        </w:rPr>
        <w:t>2019年03月18日</w:t>
      </w:r>
    </w:p>
    <w:p>
      <w:pPr>
        <w:jc w:val="center"/>
        <w:rPr>
          <w:rFonts w:ascii="仿宋_GB2312" w:eastAsia="仿宋_GB2312" w:hint="eastAsia"/>
          <w:b/>
          <w:sz w:val="32"/>
        </w:rPr>
      </w:pPr>
      <w:r>
        <w:rPr>
          <w:rFonts w:ascii="仿宋_GB2312" w:eastAsia="仿宋_GB2312" w:hint="eastAsia"/>
          <w:b/>
          <w:sz w:val="32"/>
        </w:rPr>
        <w:t xml:space="preserve">  遵化市财政局（制）</w:t>
      </w:r>
    </w:p>
    <w:tbl>
      <w:tblPr>
        <w:tblpPr w:leftFromText="180" w:rightFromText="180" w:vertAnchor="text" w:horzAnchor="margin" w:tblpXSpec="center" w:tblpY="301"/>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3026"/>
        <w:gridCol w:w="1619"/>
        <w:gridCol w:w="1527"/>
        <w:gridCol w:w="1426"/>
        <w:gridCol w:w="1362"/>
      </w:tblGrid>
      <w:tr>
        <w:trPr>
          <w:trHeight w:val="812"/>
        </w:trPr>
        <w:tc>
          <w:tcPr>
            <w:tcW w:w="3026" w:type="dxa"/>
          </w:tcPr>
          <w:p>
            <w:pPr>
              <w:rPr>
                <w:rFonts w:ascii="仿宋_GB2312" w:eastAsia="仿宋_GB2312" w:hint="eastAsia"/>
                <w:sz w:val="28"/>
              </w:rPr>
            </w:pPr>
            <w:r>
              <w:rPr>
                <w:rFonts w:ascii="仿宋_GB2312" w:eastAsia="仿宋_GB2312" w:hint="eastAsia"/>
                <w:sz w:val="28"/>
              </w:rPr>
              <w:t>项目负责人</w:t>
            </w:r>
          </w:p>
        </w:tc>
        <w:tc>
          <w:tcPr>
            <w:tcW w:w="1619" w:type="dxa"/>
          </w:tcPr>
          <w:p>
            <w:pPr>
              <w:rPr>
                <w:rFonts w:ascii="仿宋_GB2312" w:eastAsia="仿宋_GB2312" w:hint="eastAsia"/>
                <w:sz w:val="28"/>
              </w:rPr>
            </w:pPr>
            <w:r>
              <w:rPr>
                <w:rFonts w:ascii="仿宋_GB2312" w:eastAsia="仿宋_GB2312" w:hint="eastAsia"/>
                <w:sz w:val="28"/>
              </w:rPr>
              <w:t>杨贺海</w:t>
            </w:r>
          </w:p>
        </w:tc>
        <w:tc>
          <w:tcPr>
            <w:tcW w:w="1527" w:type="dxa"/>
          </w:tcPr>
          <w:p>
            <w:pPr>
              <w:rPr>
                <w:rFonts w:ascii="仿宋_GB2312" w:eastAsia="仿宋_GB2312" w:hint="eastAsia"/>
                <w:sz w:val="28"/>
              </w:rPr>
            </w:pPr>
            <w:r>
              <w:rPr>
                <w:rFonts w:ascii="仿宋_GB2312" w:eastAsia="仿宋_GB2312" w:hint="eastAsia"/>
                <w:sz w:val="28"/>
              </w:rPr>
              <w:t>联系电话</w:t>
            </w:r>
          </w:p>
        </w:tc>
        <w:tc>
          <w:tcPr>
            <w:tcW w:w="2788" w:type="dxa"/>
            <w:gridSpan w:val="2"/>
          </w:tcPr>
          <w:p>
            <w:pPr>
              <w:rPr>
                <w:rFonts w:ascii="仿宋_GB2312" w:eastAsia="仿宋_GB2312"/>
                <w:sz w:val="28"/>
              </w:rPr>
            </w:pPr>
            <w:r>
              <w:rPr>
                <w:rFonts w:ascii="仿宋_GB2312" w:eastAsia="仿宋_GB2312" w:hint="eastAsia"/>
                <w:sz w:val="28"/>
              </w:rPr>
              <w:t>6613381</w:t>
            </w:r>
          </w:p>
        </w:tc>
      </w:tr>
      <w:tr>
        <w:trPr>
          <w:cantSplit/>
          <w:trHeight w:val="812"/>
        </w:trPr>
        <w:tc>
          <w:tcPr>
            <w:tcW w:w="3026" w:type="dxa"/>
          </w:tcPr>
          <w:p>
            <w:pPr>
              <w:rPr>
                <w:rFonts w:ascii="仿宋_GB2312" w:eastAsia="仿宋_GB2312" w:hint="eastAsia"/>
                <w:sz w:val="28"/>
              </w:rPr>
            </w:pPr>
            <w:r>
              <w:rPr>
                <w:rFonts w:ascii="仿宋_GB2312" w:eastAsia="仿宋_GB2312" w:hint="eastAsia"/>
                <w:sz w:val="28"/>
              </w:rPr>
              <w:t>地     址</w:t>
            </w:r>
          </w:p>
        </w:tc>
        <w:tc>
          <w:tcPr>
            <w:tcW w:w="3146" w:type="dxa"/>
            <w:gridSpan w:val="2"/>
            <w:tcBorders>
              <w:left w:val="single" w:sz="4" w:space="0" w:color="auto"/>
            </w:tcBorders>
          </w:tcPr>
          <w:p>
            <w:pPr>
              <w:rPr>
                <w:rFonts w:ascii="仿宋_GB2312" w:eastAsia="仿宋_GB2312" w:hint="eastAsia"/>
                <w:sz w:val="28"/>
              </w:rPr>
            </w:pPr>
            <w:r>
              <w:rPr>
                <w:rFonts w:ascii="仿宋_GB2312" w:eastAsia="仿宋_GB2312" w:hint="eastAsia"/>
                <w:sz w:val="28"/>
              </w:rPr>
              <w:t>遵化市东二环北路</w:t>
            </w:r>
          </w:p>
        </w:tc>
        <w:tc>
          <w:tcPr>
            <w:tcW w:w="1426" w:type="dxa"/>
            <w:tcBorders>
              <w:left w:val="single" w:sz="4" w:space="0" w:color="auto"/>
            </w:tcBorders>
          </w:tcPr>
          <w:p>
            <w:pPr>
              <w:rPr>
                <w:rFonts w:ascii="仿宋_GB2312" w:eastAsia="仿宋_GB2312" w:hint="eastAsia"/>
                <w:sz w:val="28"/>
              </w:rPr>
            </w:pPr>
            <w:r>
              <w:rPr>
                <w:rFonts w:ascii="仿宋_GB2312" w:eastAsia="仿宋_GB2312" w:hint="eastAsia"/>
                <w:sz w:val="28"/>
              </w:rPr>
              <w:t>邮编</w:t>
            </w:r>
          </w:p>
        </w:tc>
        <w:tc>
          <w:tcPr>
            <w:tcW w:w="1362" w:type="dxa"/>
            <w:tcBorders>
              <w:left w:val="single" w:sz="4" w:space="0" w:color="auto"/>
            </w:tcBorders>
          </w:tcPr>
          <w:p>
            <w:pPr>
              <w:rPr>
                <w:rFonts w:ascii="仿宋_GB2312" w:eastAsia="仿宋_GB2312" w:hint="eastAsia"/>
                <w:sz w:val="28"/>
              </w:rPr>
            </w:pPr>
            <w:r>
              <w:rPr>
                <w:rFonts w:ascii="仿宋_GB2312" w:eastAsia="仿宋_GB2312" w:hint="eastAsia"/>
                <w:sz w:val="28"/>
              </w:rPr>
              <w:t>064200</w:t>
            </w:r>
          </w:p>
        </w:tc>
      </w:tr>
      <w:tr>
        <w:trPr>
          <w:cantSplit/>
          <w:trHeight w:val="812"/>
        </w:trPr>
        <w:tc>
          <w:tcPr>
            <w:tcW w:w="3026" w:type="dxa"/>
          </w:tcPr>
          <w:p>
            <w:pPr>
              <w:rPr>
                <w:rFonts w:ascii="仿宋_GB2312" w:eastAsia="仿宋_GB2312" w:hint="eastAsia"/>
                <w:sz w:val="28"/>
              </w:rPr>
            </w:pPr>
            <w:r>
              <w:rPr>
                <w:rFonts w:ascii="仿宋_GB2312" w:eastAsia="仿宋_GB2312" w:hint="eastAsia"/>
                <w:sz w:val="28"/>
              </w:rPr>
              <w:t>项目起止时间</w:t>
            </w:r>
          </w:p>
        </w:tc>
        <w:tc>
          <w:tcPr>
            <w:tcW w:w="5934" w:type="dxa"/>
            <w:gridSpan w:val="4"/>
            <w:tcBorders>
              <w:left w:val="single" w:sz="4" w:space="0" w:color="auto"/>
            </w:tcBorders>
          </w:tcPr>
          <w:p>
            <w:pPr>
              <w:jc w:val="center"/>
              <w:rPr>
                <w:rFonts w:ascii="仿宋_GB2312" w:eastAsia="仿宋_GB2312" w:hint="eastAsia"/>
                <w:sz w:val="32"/>
              </w:rPr>
            </w:pPr>
            <w:r>
              <w:rPr>
                <w:rFonts w:ascii="仿宋_GB2312" w:eastAsia="仿宋_GB2312" w:hint="eastAsia"/>
                <w:sz w:val="32"/>
              </w:rPr>
              <w:t>2018.1.1-2018.12.31</w:t>
            </w:r>
          </w:p>
        </w:tc>
      </w:tr>
      <w:tr>
        <w:trPr>
          <w:trHeight w:val="812"/>
        </w:trPr>
        <w:tc>
          <w:tcPr>
            <w:tcW w:w="3026" w:type="dxa"/>
            <w:vAlign w:val="center"/>
          </w:tcPr>
          <w:p>
            <w:pPr>
              <w:rPr>
                <w:rFonts w:ascii="仿宋_GB2312" w:eastAsia="仿宋_GB2312" w:hint="eastAsia"/>
                <w:sz w:val="28"/>
                <w:szCs w:val="28"/>
              </w:rPr>
            </w:pPr>
            <w:r>
              <w:rPr>
                <w:rFonts w:ascii="仿宋_GB2312" w:eastAsia="仿宋_GB2312" w:hint="eastAsia"/>
                <w:sz w:val="28"/>
                <w:szCs w:val="28"/>
              </w:rPr>
              <w:t>计划安排资金（万元）</w:t>
            </w:r>
          </w:p>
        </w:tc>
        <w:tc>
          <w:tcPr>
            <w:tcW w:w="1619" w:type="dxa"/>
            <w:tcBorders>
              <w:left w:val="single" w:sz="4" w:space="0" w:color="auto"/>
            </w:tcBorders>
            <w:vAlign w:val="center"/>
          </w:tcPr>
          <w:p>
            <w:pPr>
              <w:rPr>
                <w:rFonts w:ascii="仿宋_GB2312" w:eastAsia="仿宋_GB2312"/>
                <w:sz w:val="28"/>
                <w:szCs w:val="28"/>
              </w:rPr>
            </w:pPr>
            <w:r>
              <w:rPr>
                <w:rFonts w:ascii="仿宋_GB2312" w:eastAsia="仿宋_GB2312" w:hint="eastAsia"/>
                <w:sz w:val="28"/>
                <w:szCs w:val="28"/>
              </w:rPr>
              <w:t>59.80</w:t>
            </w:r>
          </w:p>
        </w:tc>
        <w:tc>
          <w:tcPr>
            <w:tcW w:w="2953" w:type="dxa"/>
            <w:gridSpan w:val="2"/>
            <w:tcBorders>
              <w:left w:val="single" w:sz="4" w:space="0" w:color="auto"/>
            </w:tcBorders>
            <w:vAlign w:val="center"/>
          </w:tcPr>
          <w:p>
            <w:pPr>
              <w:rPr>
                <w:rFonts w:ascii="仿宋_GB2312" w:eastAsia="仿宋_GB2312" w:hint="eastAsia"/>
                <w:sz w:val="28"/>
                <w:szCs w:val="28"/>
              </w:rPr>
            </w:pPr>
            <w:r>
              <w:rPr>
                <w:rFonts w:ascii="仿宋_GB2312" w:eastAsia="仿宋_GB2312" w:hint="eastAsia"/>
                <w:sz w:val="28"/>
                <w:szCs w:val="28"/>
              </w:rPr>
              <w:t>实际到位资金（万元）</w:t>
            </w:r>
          </w:p>
        </w:tc>
        <w:tc>
          <w:tcPr>
            <w:tcW w:w="1362" w:type="dxa"/>
            <w:tcBorders>
              <w:left w:val="single" w:sz="4" w:space="0" w:color="auto"/>
            </w:tcBorders>
            <w:vAlign w:val="center"/>
          </w:tcPr>
          <w:p>
            <w:pPr>
              <w:rPr>
                <w:rFonts w:ascii="仿宋_GB2312" w:eastAsia="仿宋_GB2312"/>
                <w:sz w:val="28"/>
                <w:szCs w:val="28"/>
              </w:rPr>
            </w:pPr>
            <w:r>
              <w:rPr>
                <w:rFonts w:ascii="仿宋_GB2312" w:eastAsia="仿宋_GB2312" w:hint="eastAsia"/>
                <w:sz w:val="28"/>
                <w:szCs w:val="28"/>
              </w:rPr>
              <w:t>48.74</w:t>
            </w:r>
          </w:p>
        </w:tc>
      </w:tr>
      <w:tr>
        <w:trPr>
          <w:trHeight w:val="812"/>
        </w:trPr>
        <w:tc>
          <w:tcPr>
            <w:tcW w:w="3026" w:type="dxa"/>
            <w:vAlign w:val="center"/>
          </w:tcPr>
          <w:p>
            <w:pPr>
              <w:rPr>
                <w:rFonts w:ascii="仿宋_GB2312" w:eastAsia="仿宋_GB2312" w:hint="eastAsia"/>
                <w:sz w:val="28"/>
                <w:szCs w:val="28"/>
              </w:rPr>
            </w:pPr>
            <w:r>
              <w:rPr>
                <w:rFonts w:ascii="仿宋_GB2312" w:eastAsia="仿宋_GB2312" w:hint="eastAsia"/>
                <w:sz w:val="28"/>
                <w:szCs w:val="28"/>
              </w:rPr>
              <w:t>其中：中央财政</w:t>
            </w:r>
          </w:p>
        </w:tc>
        <w:tc>
          <w:tcPr>
            <w:tcW w:w="1619" w:type="dxa"/>
            <w:tcBorders>
              <w:left w:val="single" w:sz="4" w:space="0" w:color="auto"/>
            </w:tcBorders>
            <w:vAlign w:val="center"/>
          </w:tcPr>
          <w:p>
            <w:pPr>
              <w:rPr>
                <w:rFonts w:ascii="仿宋_GB2312" w:eastAsia="仿宋_GB2312" w:hint="eastAsia"/>
                <w:sz w:val="28"/>
                <w:szCs w:val="28"/>
              </w:rPr>
            </w:pPr>
          </w:p>
        </w:tc>
        <w:tc>
          <w:tcPr>
            <w:tcW w:w="2953" w:type="dxa"/>
            <w:gridSpan w:val="2"/>
            <w:tcBorders>
              <w:left w:val="single" w:sz="4" w:space="0" w:color="auto"/>
            </w:tcBorders>
            <w:vAlign w:val="center"/>
          </w:tcPr>
          <w:p>
            <w:pPr>
              <w:rPr>
                <w:rFonts w:ascii="仿宋_GB2312" w:eastAsia="仿宋_GB2312" w:hint="eastAsia"/>
                <w:sz w:val="28"/>
                <w:szCs w:val="28"/>
              </w:rPr>
            </w:pPr>
            <w:r>
              <w:rPr>
                <w:rFonts w:ascii="仿宋_GB2312" w:eastAsia="仿宋_GB2312" w:hint="eastAsia"/>
                <w:sz w:val="28"/>
                <w:szCs w:val="28"/>
              </w:rPr>
              <w:t>其中：中央财政</w:t>
            </w:r>
          </w:p>
        </w:tc>
        <w:tc>
          <w:tcPr>
            <w:tcW w:w="1362" w:type="dxa"/>
            <w:tcBorders>
              <w:left w:val="single" w:sz="4" w:space="0" w:color="auto"/>
            </w:tcBorders>
            <w:vAlign w:val="center"/>
          </w:tcPr>
          <w:p>
            <w:pPr>
              <w:rPr>
                <w:rFonts w:ascii="仿宋_GB2312" w:eastAsia="仿宋_GB2312" w:hint="eastAsia"/>
                <w:sz w:val="28"/>
                <w:szCs w:val="28"/>
              </w:rPr>
            </w:pPr>
          </w:p>
        </w:tc>
      </w:tr>
      <w:tr>
        <w:trPr>
          <w:trHeight w:val="812"/>
        </w:trPr>
        <w:tc>
          <w:tcPr>
            <w:tcW w:w="3026" w:type="dxa"/>
            <w:vAlign w:val="center"/>
          </w:tcPr>
          <w:p>
            <w:pPr>
              <w:ind w:firstLineChars="317" w:firstLine="888"/>
              <w:rPr>
                <w:rFonts w:ascii="仿宋_GB2312" w:eastAsia="仿宋_GB2312" w:hint="eastAsia"/>
                <w:sz w:val="28"/>
                <w:szCs w:val="28"/>
              </w:rPr>
            </w:pPr>
            <w:r>
              <w:rPr>
                <w:rFonts w:ascii="仿宋_GB2312" w:eastAsia="仿宋_GB2312" w:hint="eastAsia"/>
                <w:sz w:val="28"/>
                <w:szCs w:val="28"/>
              </w:rPr>
              <w:t>省财政</w:t>
            </w:r>
          </w:p>
        </w:tc>
        <w:tc>
          <w:tcPr>
            <w:tcW w:w="1619" w:type="dxa"/>
            <w:tcBorders>
              <w:left w:val="single" w:sz="4" w:space="0" w:color="auto"/>
            </w:tcBorders>
            <w:vAlign w:val="center"/>
          </w:tcPr>
          <w:p>
            <w:pPr>
              <w:rPr>
                <w:rFonts w:ascii="仿宋_GB2312" w:eastAsia="仿宋_GB2312" w:hint="eastAsia"/>
                <w:sz w:val="28"/>
                <w:szCs w:val="28"/>
              </w:rPr>
            </w:pPr>
          </w:p>
        </w:tc>
        <w:tc>
          <w:tcPr>
            <w:tcW w:w="2953" w:type="dxa"/>
            <w:gridSpan w:val="2"/>
            <w:tcBorders>
              <w:left w:val="single" w:sz="4" w:space="0" w:color="auto"/>
            </w:tcBorders>
            <w:vAlign w:val="center"/>
          </w:tcPr>
          <w:p>
            <w:pPr>
              <w:ind w:firstLineChars="317" w:firstLine="888"/>
              <w:rPr>
                <w:rFonts w:ascii="仿宋_GB2312" w:eastAsia="仿宋_GB2312" w:hint="eastAsia"/>
                <w:sz w:val="28"/>
                <w:szCs w:val="28"/>
              </w:rPr>
            </w:pPr>
            <w:r>
              <w:rPr>
                <w:rFonts w:ascii="仿宋_GB2312" w:eastAsia="仿宋_GB2312" w:hint="eastAsia"/>
                <w:sz w:val="28"/>
                <w:szCs w:val="28"/>
              </w:rPr>
              <w:t>省财政</w:t>
            </w:r>
          </w:p>
        </w:tc>
        <w:tc>
          <w:tcPr>
            <w:tcW w:w="1362" w:type="dxa"/>
            <w:tcBorders>
              <w:left w:val="single" w:sz="4" w:space="0" w:color="auto"/>
            </w:tcBorders>
            <w:vAlign w:val="center"/>
          </w:tcPr>
          <w:p>
            <w:pPr>
              <w:rPr>
                <w:rFonts w:ascii="仿宋_GB2312" w:eastAsia="仿宋_GB2312" w:hint="eastAsia"/>
                <w:sz w:val="28"/>
                <w:szCs w:val="28"/>
              </w:rPr>
            </w:pPr>
          </w:p>
        </w:tc>
      </w:tr>
      <w:tr>
        <w:trPr>
          <w:trHeight w:val="812"/>
        </w:trPr>
        <w:tc>
          <w:tcPr>
            <w:tcW w:w="3026" w:type="dxa"/>
            <w:vAlign w:val="center"/>
          </w:tcPr>
          <w:p>
            <w:pPr>
              <w:ind w:firstLineChars="317" w:firstLine="888"/>
              <w:rPr>
                <w:rFonts w:ascii="仿宋_GB2312" w:eastAsia="仿宋_GB2312" w:hint="eastAsia"/>
                <w:sz w:val="28"/>
                <w:szCs w:val="28"/>
              </w:rPr>
            </w:pPr>
            <w:r>
              <w:rPr>
                <w:rFonts w:ascii="仿宋_GB2312" w:eastAsia="仿宋_GB2312" w:hint="eastAsia"/>
                <w:sz w:val="28"/>
                <w:szCs w:val="28"/>
              </w:rPr>
              <w:t>市县财政</w:t>
            </w:r>
          </w:p>
        </w:tc>
        <w:tc>
          <w:tcPr>
            <w:tcW w:w="1619" w:type="dxa"/>
            <w:tcBorders>
              <w:left w:val="single" w:sz="4" w:space="0" w:color="auto"/>
            </w:tcBorders>
            <w:vAlign w:val="center"/>
          </w:tcPr>
          <w:p>
            <w:pPr>
              <w:rPr>
                <w:rFonts w:ascii="仿宋_GB2312" w:eastAsia="仿宋_GB2312"/>
                <w:sz w:val="28"/>
                <w:szCs w:val="28"/>
              </w:rPr>
            </w:pPr>
            <w:r>
              <w:rPr>
                <w:rFonts w:ascii="仿宋_GB2312" w:eastAsia="仿宋_GB2312" w:hint="eastAsia"/>
                <w:sz w:val="28"/>
                <w:szCs w:val="28"/>
              </w:rPr>
              <w:t>59.80</w:t>
            </w:r>
          </w:p>
        </w:tc>
        <w:tc>
          <w:tcPr>
            <w:tcW w:w="2953" w:type="dxa"/>
            <w:gridSpan w:val="2"/>
            <w:tcBorders>
              <w:left w:val="single" w:sz="4" w:space="0" w:color="auto"/>
            </w:tcBorders>
            <w:vAlign w:val="center"/>
          </w:tcPr>
          <w:p>
            <w:pPr>
              <w:ind w:firstLineChars="317" w:firstLine="888"/>
              <w:rPr>
                <w:rFonts w:ascii="仿宋_GB2312" w:eastAsia="仿宋_GB2312" w:hint="eastAsia"/>
                <w:sz w:val="28"/>
                <w:szCs w:val="28"/>
              </w:rPr>
            </w:pPr>
            <w:r>
              <w:rPr>
                <w:rFonts w:ascii="仿宋_GB2312" w:eastAsia="仿宋_GB2312" w:hint="eastAsia"/>
                <w:sz w:val="28"/>
                <w:szCs w:val="28"/>
              </w:rPr>
              <w:t>市县财政</w:t>
            </w:r>
          </w:p>
        </w:tc>
        <w:tc>
          <w:tcPr>
            <w:tcW w:w="1362" w:type="dxa"/>
            <w:tcBorders>
              <w:left w:val="single" w:sz="4" w:space="0" w:color="auto"/>
            </w:tcBorders>
            <w:vAlign w:val="center"/>
          </w:tcPr>
          <w:p>
            <w:pPr>
              <w:rPr>
                <w:rFonts w:ascii="仿宋_GB2312" w:eastAsia="仿宋_GB2312"/>
                <w:sz w:val="28"/>
                <w:szCs w:val="28"/>
              </w:rPr>
            </w:pPr>
            <w:r>
              <w:rPr>
                <w:rFonts w:ascii="仿宋_GB2312" w:eastAsia="仿宋_GB2312" w:hint="eastAsia"/>
                <w:sz w:val="28"/>
                <w:szCs w:val="28"/>
              </w:rPr>
              <w:t>48.74</w:t>
            </w:r>
          </w:p>
        </w:tc>
      </w:tr>
      <w:tr>
        <w:trPr>
          <w:trHeight w:val="812"/>
        </w:trPr>
        <w:tc>
          <w:tcPr>
            <w:tcW w:w="3026" w:type="dxa"/>
            <w:vAlign w:val="center"/>
          </w:tcPr>
          <w:p>
            <w:pPr>
              <w:ind w:firstLineChars="317" w:firstLine="888"/>
              <w:rPr>
                <w:rFonts w:ascii="仿宋_GB2312" w:eastAsia="仿宋_GB2312" w:hint="eastAsia"/>
                <w:sz w:val="28"/>
                <w:szCs w:val="28"/>
              </w:rPr>
            </w:pPr>
            <w:r>
              <w:rPr>
                <w:rFonts w:ascii="仿宋_GB2312" w:eastAsia="仿宋_GB2312" w:hint="eastAsia"/>
                <w:sz w:val="28"/>
                <w:szCs w:val="28"/>
              </w:rPr>
              <w:t>其它</w:t>
            </w:r>
          </w:p>
        </w:tc>
        <w:tc>
          <w:tcPr>
            <w:tcW w:w="1619" w:type="dxa"/>
            <w:tcBorders>
              <w:left w:val="single" w:sz="4" w:space="0" w:color="auto"/>
            </w:tcBorders>
            <w:vAlign w:val="center"/>
          </w:tcPr>
          <w:p>
            <w:pPr>
              <w:rPr>
                <w:rFonts w:ascii="仿宋_GB2312" w:eastAsia="仿宋_GB2312" w:hint="eastAsia"/>
                <w:sz w:val="28"/>
                <w:szCs w:val="28"/>
              </w:rPr>
            </w:pPr>
          </w:p>
        </w:tc>
        <w:tc>
          <w:tcPr>
            <w:tcW w:w="2953" w:type="dxa"/>
            <w:gridSpan w:val="2"/>
            <w:tcBorders>
              <w:left w:val="single" w:sz="4" w:space="0" w:color="auto"/>
            </w:tcBorders>
            <w:vAlign w:val="center"/>
          </w:tcPr>
          <w:p>
            <w:pPr>
              <w:ind w:firstLineChars="317" w:firstLine="888"/>
              <w:rPr>
                <w:rFonts w:ascii="仿宋_GB2312" w:eastAsia="仿宋_GB2312" w:hint="eastAsia"/>
                <w:sz w:val="28"/>
                <w:szCs w:val="28"/>
              </w:rPr>
            </w:pPr>
            <w:r>
              <w:rPr>
                <w:rFonts w:ascii="仿宋_GB2312" w:eastAsia="仿宋_GB2312" w:hint="eastAsia"/>
                <w:sz w:val="28"/>
                <w:szCs w:val="28"/>
              </w:rPr>
              <w:t>其它</w:t>
            </w:r>
          </w:p>
        </w:tc>
        <w:tc>
          <w:tcPr>
            <w:tcW w:w="1362" w:type="dxa"/>
            <w:tcBorders>
              <w:left w:val="single" w:sz="4" w:space="0" w:color="auto"/>
            </w:tcBorders>
            <w:vAlign w:val="center"/>
          </w:tcPr>
          <w:p>
            <w:pPr>
              <w:rPr>
                <w:rFonts w:ascii="仿宋_GB2312" w:eastAsia="仿宋_GB2312" w:hint="eastAsia"/>
                <w:sz w:val="28"/>
                <w:szCs w:val="28"/>
              </w:rPr>
            </w:pPr>
          </w:p>
        </w:tc>
      </w:tr>
      <w:tr>
        <w:trPr>
          <w:trHeight w:val="812"/>
        </w:trPr>
        <w:tc>
          <w:tcPr>
            <w:tcW w:w="3026" w:type="dxa"/>
            <w:vAlign w:val="center"/>
          </w:tcPr>
          <w:p>
            <w:pPr>
              <w:rPr>
                <w:rFonts w:ascii="仿宋_GB2312" w:eastAsia="仿宋_GB2312" w:hint="eastAsia"/>
                <w:sz w:val="24"/>
              </w:rPr>
            </w:pPr>
            <w:r>
              <w:rPr>
                <w:rFonts w:ascii="仿宋_GB2312" w:eastAsia="仿宋_GB2312" w:hint="eastAsia"/>
                <w:sz w:val="24"/>
              </w:rPr>
              <w:t>实际支出（万元）</w:t>
            </w:r>
          </w:p>
        </w:tc>
        <w:tc>
          <w:tcPr>
            <w:tcW w:w="5934" w:type="dxa"/>
            <w:gridSpan w:val="4"/>
            <w:tcBorders>
              <w:left w:val="single" w:sz="4" w:space="0" w:color="auto"/>
            </w:tcBorders>
            <w:vAlign w:val="center"/>
          </w:tcPr>
          <w:p>
            <w:pPr>
              <w:rPr>
                <w:rFonts w:ascii="仿宋_GB2312" w:eastAsia="仿宋_GB2312"/>
                <w:sz w:val="28"/>
              </w:rPr>
            </w:pPr>
            <w:r>
              <w:rPr>
                <w:rFonts w:ascii="仿宋_GB2312" w:eastAsia="仿宋_GB2312" w:hint="eastAsia"/>
                <w:sz w:val="28"/>
              </w:rPr>
              <w:t>48.74</w:t>
            </w:r>
          </w:p>
        </w:tc>
      </w:tr>
      <w:tr>
        <w:trPr>
          <w:cantSplit/>
          <w:trHeight w:val="812"/>
        </w:trPr>
        <w:tc>
          <w:tcPr>
            <w:tcW w:w="8960" w:type="dxa"/>
            <w:gridSpan w:val="5"/>
            <w:tcBorders>
              <w:bottom w:val="single" w:sz="4" w:space="0" w:color="auto"/>
            </w:tcBorders>
            <w:vAlign w:val="center"/>
          </w:tcPr>
          <w:p>
            <w:pPr>
              <w:jc w:val="center"/>
              <w:rPr>
                <w:rFonts w:ascii="仿宋_GB2312" w:eastAsia="仿宋_GB2312" w:hint="eastAsia"/>
                <w:b/>
                <w:sz w:val="32"/>
                <w:szCs w:val="32"/>
              </w:rPr>
            </w:pPr>
            <w:r>
              <w:rPr>
                <w:rFonts w:ascii="仿宋_GB2312" w:eastAsia="仿宋_GB2312" w:hint="eastAsia"/>
                <w:b/>
                <w:sz w:val="32"/>
                <w:szCs w:val="32"/>
              </w:rPr>
              <w:t>二、项目支出明细情况</w:t>
            </w:r>
          </w:p>
        </w:tc>
      </w:tr>
      <w:tr>
        <w:trPr>
          <w:cantSplit/>
          <w:trHeight w:val="980"/>
        </w:trPr>
        <w:tc>
          <w:tcPr>
            <w:tcW w:w="3026" w:type="dxa"/>
            <w:tcBorders>
              <w:bottom w:val="single" w:sz="4" w:space="0" w:color="auto"/>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仿宋_GB2312" w:eastAsia="仿宋_GB2312" w:hint="eastAsia"/>
                <w:sz w:val="28"/>
                <w:szCs w:val="28"/>
              </w:rPr>
            </w:pPr>
            <w:r>
              <w:rPr>
                <w:rFonts w:ascii="仿宋_GB2312" w:eastAsia="仿宋_GB2312" w:hint="eastAsia"/>
                <w:sz w:val="28"/>
                <w:szCs w:val="28"/>
              </w:rPr>
              <w:t>支出内容</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仿宋_GB2312" w:eastAsia="仿宋_GB2312" w:hint="eastAsia"/>
                <w:sz w:val="28"/>
                <w:szCs w:val="28"/>
              </w:rPr>
            </w:pPr>
            <w:r>
              <w:rPr>
                <w:rFonts w:ascii="仿宋_GB2312" w:eastAsia="仿宋_GB2312" w:hint="eastAsia"/>
                <w:sz w:val="28"/>
                <w:szCs w:val="28"/>
              </w:rPr>
              <w:t>（经济科目）</w:t>
            </w:r>
          </w:p>
        </w:tc>
        <w:tc>
          <w:tcPr>
            <w:tcW w:w="3146" w:type="dxa"/>
            <w:gridSpan w:val="2"/>
            <w:tcBorders>
              <w:bottom w:val="single" w:sz="4" w:space="0" w:color="auto"/>
            </w:tcBorders>
            <w:vAlign w:val="center"/>
          </w:tcPr>
          <w:p>
            <w:pPr>
              <w:jc w:val="center"/>
              <w:rPr>
                <w:rFonts w:ascii="仿宋_GB2312" w:eastAsia="仿宋_GB2312" w:hint="eastAsia"/>
                <w:sz w:val="28"/>
                <w:szCs w:val="28"/>
              </w:rPr>
            </w:pPr>
            <w:r>
              <w:rPr>
                <w:rFonts w:ascii="仿宋_GB2312" w:eastAsia="仿宋_GB2312" w:hint="eastAsia"/>
                <w:sz w:val="28"/>
                <w:szCs w:val="28"/>
              </w:rPr>
              <w:t>计划支出数</w:t>
            </w:r>
          </w:p>
        </w:tc>
        <w:tc>
          <w:tcPr>
            <w:tcW w:w="2788" w:type="dxa"/>
            <w:gridSpan w:val="2"/>
            <w:tcBorders>
              <w:bottom w:val="single" w:sz="4" w:space="0" w:color="auto"/>
            </w:tcBorders>
            <w:vAlign w:val="center"/>
          </w:tcPr>
          <w:p>
            <w:pPr>
              <w:jc w:val="center"/>
              <w:rPr>
                <w:rFonts w:ascii="仿宋_GB2312" w:eastAsia="仿宋_GB2312" w:hint="eastAsia"/>
                <w:sz w:val="28"/>
                <w:szCs w:val="28"/>
              </w:rPr>
            </w:pPr>
            <w:r>
              <w:rPr>
                <w:rFonts w:ascii="仿宋_GB2312" w:eastAsia="仿宋_GB2312" w:hint="eastAsia"/>
                <w:sz w:val="28"/>
                <w:szCs w:val="28"/>
              </w:rPr>
              <w:t>实际支出数</w:t>
            </w:r>
          </w:p>
        </w:tc>
      </w:tr>
      <w:tr>
        <w:trPr>
          <w:cantSplit/>
          <w:trHeight w:val="812"/>
        </w:trPr>
        <w:tc>
          <w:tcPr>
            <w:tcW w:w="3026" w:type="dxa"/>
            <w:tcBorders>
              <w:bottom w:val="single" w:sz="4" w:space="0" w:color="auto"/>
            </w:tcBorders>
            <w:vAlign w:val="center"/>
          </w:tcPr>
          <w:p>
            <w:pPr>
              <w:jc w:val="center"/>
              <w:rPr>
                <w:rFonts w:ascii="仿宋_GB2312" w:eastAsia="仿宋_GB2312" w:hint="eastAsia"/>
                <w:sz w:val="28"/>
                <w:szCs w:val="28"/>
              </w:rPr>
            </w:pPr>
            <w:r>
              <w:rPr>
                <w:rFonts w:ascii="仿宋_GB2312" w:eastAsia="仿宋_GB2312" w:hint="eastAsia"/>
                <w:sz w:val="28"/>
                <w:szCs w:val="28"/>
              </w:rPr>
              <w:t>医疗费补助</w:t>
            </w:r>
          </w:p>
        </w:tc>
        <w:tc>
          <w:tcPr>
            <w:tcW w:w="3146" w:type="dxa"/>
            <w:gridSpan w:val="2"/>
            <w:tcBorders>
              <w:bottom w:val="single" w:sz="4" w:space="0" w:color="auto"/>
            </w:tcBorders>
            <w:vAlign w:val="center"/>
          </w:tcPr>
          <w:p>
            <w:pPr>
              <w:jc w:val="center"/>
              <w:rPr>
                <w:rFonts w:ascii="仿宋_GB2312" w:eastAsia="仿宋_GB2312"/>
                <w:sz w:val="28"/>
                <w:szCs w:val="28"/>
              </w:rPr>
            </w:pPr>
            <w:r>
              <w:rPr>
                <w:rFonts w:ascii="仿宋_GB2312" w:eastAsia="仿宋_GB2312" w:hint="eastAsia"/>
                <w:sz w:val="28"/>
                <w:szCs w:val="28"/>
              </w:rPr>
              <w:t>59.80</w:t>
            </w:r>
          </w:p>
        </w:tc>
        <w:tc>
          <w:tcPr>
            <w:tcW w:w="2788" w:type="dxa"/>
            <w:gridSpan w:val="2"/>
            <w:tcBorders>
              <w:bottom w:val="single" w:sz="4" w:space="0" w:color="auto"/>
            </w:tcBorders>
            <w:vAlign w:val="center"/>
          </w:tcPr>
          <w:p>
            <w:pPr>
              <w:jc w:val="center"/>
              <w:rPr>
                <w:rFonts w:ascii="仿宋_GB2312" w:eastAsia="仿宋_GB2312"/>
                <w:sz w:val="28"/>
                <w:szCs w:val="28"/>
              </w:rPr>
            </w:pPr>
            <w:r>
              <w:rPr>
                <w:rFonts w:ascii="仿宋_GB2312" w:eastAsia="仿宋_GB2312" w:hint="eastAsia"/>
                <w:sz w:val="28"/>
                <w:szCs w:val="28"/>
              </w:rPr>
              <w:t>48.74</w:t>
            </w:r>
          </w:p>
        </w:tc>
      </w:tr>
      <w:tr>
        <w:trPr>
          <w:cantSplit/>
          <w:trHeight w:val="812"/>
        </w:trPr>
        <w:tc>
          <w:tcPr>
            <w:tcW w:w="3026" w:type="dxa"/>
            <w:tcBorders>
              <w:bottom w:val="single" w:sz="4" w:space="0" w:color="auto"/>
            </w:tcBorders>
            <w:vAlign w:val="center"/>
          </w:tcPr>
          <w:p>
            <w:pPr>
              <w:jc w:val="center"/>
              <w:rPr>
                <w:rFonts w:ascii="仿宋_GB2312" w:eastAsia="仿宋_GB2312" w:hint="eastAsia"/>
                <w:sz w:val="28"/>
                <w:szCs w:val="28"/>
              </w:rPr>
            </w:pPr>
          </w:p>
        </w:tc>
        <w:tc>
          <w:tcPr>
            <w:tcW w:w="3146" w:type="dxa"/>
            <w:gridSpan w:val="2"/>
            <w:tcBorders>
              <w:bottom w:val="single" w:sz="4" w:space="0" w:color="auto"/>
            </w:tcBorders>
            <w:vAlign w:val="center"/>
          </w:tcPr>
          <w:p>
            <w:pPr>
              <w:jc w:val="center"/>
              <w:rPr>
                <w:rFonts w:ascii="仿宋_GB2312" w:eastAsia="仿宋_GB2312" w:hint="eastAsia"/>
                <w:sz w:val="28"/>
                <w:szCs w:val="28"/>
              </w:rPr>
            </w:pPr>
          </w:p>
        </w:tc>
        <w:tc>
          <w:tcPr>
            <w:tcW w:w="2788" w:type="dxa"/>
            <w:gridSpan w:val="2"/>
            <w:tcBorders>
              <w:bottom w:val="single" w:sz="4" w:space="0" w:color="auto"/>
            </w:tcBorders>
          </w:tcPr>
          <w:p>
            <w:pPr>
              <w:jc w:val="center"/>
              <w:rPr>
                <w:rFonts w:ascii="仿宋_GB2312" w:eastAsia="仿宋_GB2312" w:hint="eastAsia"/>
                <w:sz w:val="28"/>
                <w:szCs w:val="28"/>
              </w:rPr>
            </w:pPr>
          </w:p>
        </w:tc>
      </w:tr>
      <w:tr>
        <w:trPr>
          <w:cantSplit/>
          <w:trHeight w:val="863"/>
        </w:trPr>
        <w:tc>
          <w:tcPr>
            <w:tcW w:w="3026" w:type="dxa"/>
            <w:tcBorders>
              <w:bottom w:val="single" w:sz="4" w:space="0" w:color="auto"/>
            </w:tcBorders>
            <w:vAlign w:val="center"/>
          </w:tcPr>
          <w:p>
            <w:pPr>
              <w:jc w:val="center"/>
              <w:rPr>
                <w:rFonts w:ascii="仿宋_GB2312" w:eastAsia="仿宋_GB2312" w:hint="eastAsia"/>
                <w:sz w:val="28"/>
                <w:szCs w:val="28"/>
              </w:rPr>
            </w:pPr>
            <w:r>
              <w:rPr>
                <w:rFonts w:ascii="仿宋_GB2312" w:eastAsia="仿宋_GB2312" w:hAnsi="华文中宋" w:hint="eastAsia"/>
                <w:sz w:val="28"/>
                <w:szCs w:val="28"/>
              </w:rPr>
              <w:t>支出合计</w:t>
            </w:r>
          </w:p>
        </w:tc>
        <w:tc>
          <w:tcPr>
            <w:tcW w:w="3146" w:type="dxa"/>
            <w:gridSpan w:val="2"/>
            <w:tcBorders>
              <w:bottom w:val="single" w:sz="4" w:space="0" w:color="auto"/>
            </w:tcBorders>
            <w:vAlign w:val="center"/>
          </w:tcPr>
          <w:p>
            <w:pPr>
              <w:jc w:val="center"/>
              <w:rPr>
                <w:rFonts w:ascii="仿宋_GB2312" w:eastAsia="仿宋_GB2312"/>
                <w:sz w:val="28"/>
                <w:szCs w:val="28"/>
              </w:rPr>
            </w:pPr>
            <w:r>
              <w:rPr>
                <w:rFonts w:ascii="仿宋_GB2312" w:eastAsia="仿宋_GB2312" w:hint="eastAsia"/>
                <w:sz w:val="28"/>
                <w:szCs w:val="28"/>
              </w:rPr>
              <w:t>59.80</w:t>
            </w:r>
          </w:p>
        </w:tc>
        <w:tc>
          <w:tcPr>
            <w:tcW w:w="2788" w:type="dxa"/>
            <w:gridSpan w:val="2"/>
            <w:tcBorders>
              <w:bottom w:val="single" w:sz="4" w:space="0" w:color="auto"/>
            </w:tcBorders>
          </w:tcPr>
          <w:p>
            <w:pPr>
              <w:jc w:val="center"/>
              <w:rPr>
                <w:rFonts w:ascii="仿宋_GB2312" w:eastAsia="仿宋_GB2312"/>
                <w:sz w:val="28"/>
                <w:szCs w:val="28"/>
              </w:rPr>
            </w:pPr>
            <w:r>
              <w:rPr>
                <w:rFonts w:ascii="仿宋_GB2312" w:eastAsia="仿宋_GB2312" w:hint="eastAsia"/>
                <w:sz w:val="28"/>
                <w:szCs w:val="28"/>
              </w:rPr>
              <w:t>48.74</w:t>
            </w:r>
          </w:p>
        </w:tc>
      </w:tr>
      <w:tr>
        <w:trPr>
          <w:cantSplit/>
          <w:trHeight w:val="12339"/>
        </w:trPr>
        <w:tc>
          <w:tcPr>
            <w:tcW w:w="8960" w:type="dxa"/>
            <w:gridSpan w:val="5"/>
            <w:tcBorders>
              <w:bottom w:val="single" w:sz="4" w:space="0" w:color="auto"/>
            </w:tcBorders>
            <w:vAlign w:val="center"/>
          </w:tcPr>
          <w:p>
            <w:pPr>
              <w:keepNext w:val="0"/>
              <w:keepLines w:val="0"/>
              <w:pageBreakBefore w:val="0"/>
              <w:widowControl w:val="0"/>
              <w:numPr>
                <w:ilvl w:val="0"/>
                <w:numId w:val="4"/>
              </w:numPr>
              <w:kinsoku/>
              <w:wordWrap/>
              <w:overflowPunct/>
              <w:topLinePunct w:val="0"/>
              <w:autoSpaceDE/>
              <w:autoSpaceDN/>
              <w:bidi w:val="0"/>
              <w:adjustRightInd/>
              <w:snapToGrid w:val="0"/>
              <w:spacing w:line="570" w:lineRule="atLeast"/>
              <w:ind w:left="0" w:hanging="811"/>
              <w:textAlignment w:val="auto"/>
              <w:rPr>
                <w:rFonts w:ascii="仿宋_GB2312" w:eastAsia="仿宋_GB2312" w:cs="仿宋_GB2312" w:hAnsi="仿宋_GB2312" w:hint="eastAsia"/>
                <w:b/>
                <w:sz w:val="32"/>
                <w:szCs w:val="32"/>
              </w:rPr>
            </w:pPr>
            <w:r>
              <w:rPr>
                <w:rFonts w:ascii="仿宋_GB2312" w:eastAsia="仿宋_GB2312" w:cs="仿宋_GB2312" w:hAnsi="仿宋_GB2312" w:hint="eastAsia"/>
                <w:b/>
                <w:sz w:val="24"/>
              </w:rPr>
              <w:t xml:space="preserve">                       </w:t>
            </w:r>
          </w:p>
          <w:p>
            <w:pPr>
              <w:numPr>
                <w:ilvl w:val="0"/>
                <w:numId w:val="4"/>
              </w:numPr>
              <w:snapToGrid w:val="0"/>
              <w:ind w:left="0"/>
              <w:rPr>
                <w:rFonts w:ascii="仿宋_GB2312" w:eastAsia="仿宋_GB2312" w:cs="仿宋_GB2312" w:hAnsi="仿宋_GB2312" w:hint="eastAsia"/>
                <w:b/>
                <w:sz w:val="32"/>
                <w:szCs w:val="32"/>
              </w:rPr>
            </w:pPr>
            <w:r>
              <w:rPr>
                <w:rFonts w:ascii="仿宋_GB2312" w:eastAsia="仿宋_GB2312" w:cs="仿宋_GB2312" w:hAnsi="仿宋_GB2312" w:hint="eastAsia"/>
                <w:b/>
                <w:sz w:val="32"/>
                <w:szCs w:val="32"/>
              </w:rPr>
              <w:t xml:space="preserve">                  三、项目考评情况</w:t>
            </w:r>
          </w:p>
          <w:p>
            <w:pPr>
              <w:keepNext w:val="0"/>
              <w:keepLines w:val="0"/>
              <w:pageBreakBefore w:val="0"/>
              <w:widowControl w:val="0"/>
              <w:numPr>
                <w:ilvl w:val="0"/>
                <w:numId w:val="4"/>
              </w:numPr>
              <w:kinsoku/>
              <w:wordWrap/>
              <w:overflowPunct/>
              <w:topLinePunct w:val="0"/>
              <w:autoSpaceDE/>
              <w:autoSpaceDN/>
              <w:bidi w:val="0"/>
              <w:adjustRightInd/>
              <w:snapToGrid w:val="0"/>
              <w:spacing w:line="480" w:lineRule="exact"/>
              <w:ind w:left="0" w:hanging="811"/>
              <w:textAlignment w:val="auto"/>
              <w:rPr>
                <w:rFonts w:ascii="仿宋_GB2312" w:eastAsia="仿宋_GB2312" w:cs="仿宋_GB2312" w:hAnsi="仿宋_GB2312" w:hint="eastAsia"/>
                <w:b/>
                <w:bCs/>
                <w:sz w:val="28"/>
                <w:szCs w:val="28"/>
              </w:rPr>
            </w:pPr>
            <w:r>
              <w:rPr>
                <w:rFonts w:ascii="仿宋_GB2312" w:eastAsia="仿宋_GB2312" w:cs="仿宋_GB2312" w:hAnsi="仿宋_GB2312" w:hint="eastAsia"/>
                <w:b/>
                <w:bCs/>
                <w:sz w:val="28"/>
                <w:szCs w:val="28"/>
              </w:rPr>
              <w:t>（一）项目基本情况</w:t>
            </w:r>
          </w:p>
          <w:p>
            <w:pPr>
              <w:keepNext w:val="0"/>
              <w:keepLines w:val="0"/>
              <w:pageBreakBefore w:val="0"/>
              <w:widowControl w:val="0"/>
              <w:numPr>
                <w:ilvl w:val="0"/>
                <w:numId w:val="4"/>
              </w:numPr>
              <w:kinsoku/>
              <w:wordWrap/>
              <w:overflowPunct/>
              <w:topLinePunct w:val="0"/>
              <w:autoSpaceDE/>
              <w:autoSpaceDN/>
              <w:bidi w:val="0"/>
              <w:adjustRightInd/>
              <w:snapToGrid w:val="0"/>
              <w:spacing w:line="570" w:lineRule="exact"/>
              <w:ind w:left="0" w:hanging="811"/>
              <w:textAlignment w:val="auto"/>
              <w:rPr>
                <w:rFonts w:ascii="仿宋_GB2312" w:eastAsia="仿宋_GB2312" w:cs="仿宋_GB2312" w:hAnsi="仿宋_GB2312"/>
                <w:sz w:val="28"/>
                <w:szCs w:val="28"/>
              </w:rPr>
            </w:pPr>
            <w:r>
              <w:rPr>
                <w:rFonts w:ascii="方正仿宋简体" w:eastAsia="方正仿宋简体" w:cs="方正仿宋简体" w:hAnsi="方正仿宋简体" w:hint="eastAsia"/>
                <w:sz w:val="28"/>
                <w:szCs w:val="28"/>
              </w:rPr>
              <w:t xml:space="preserve">    根据2015年3月31日遵化市政府批准的《遵化市财政局 遵化市人力资源和社会保障局 遵化市供销合作社关于市供销合作社系统改制涉及人员欠缴社会保险费有关情况的报告》精神，遵化市财政局给我社下发了的《关于全系统改制涉及人员欠缴社会保险费有关情况请示的答复》（遵财答复[2015]398号），其中涉及</w:t>
            </w:r>
            <w:r>
              <w:rPr>
                <w:rFonts w:ascii="方正仿宋简体" w:eastAsia="方正仿宋简体" w:cs="方正仿宋简体" w:hAnsi="方正仿宋简体" w:hint="eastAsia"/>
                <w:b/>
                <w:bCs/>
                <w:sz w:val="28"/>
                <w:szCs w:val="28"/>
              </w:rPr>
              <w:t>“3、对于221名等退人员等退期间2015年以后应缴医疗保险单位部分，为使职工享受医保待遇，按年核实后，据实缴纳。”（答复中第3条）“4、以上所需社会保险费纳入当年财政预算”，</w:t>
            </w:r>
            <w:r>
              <w:rPr>
                <w:rFonts w:ascii="方正仿宋简体" w:eastAsia="方正仿宋简体" w:cs="方正仿宋简体" w:hAnsi="方正仿宋简体" w:hint="eastAsia"/>
                <w:sz w:val="28"/>
                <w:szCs w:val="28"/>
              </w:rPr>
              <w:t>2015-2018年度我社此项开支已纳入了财政预算并按月进行了开支，另据2016年9月23日遵化市政府批准的《遵化市供销合作社关于为原市工业品公司退休职工陈贺缴纳医疗保险的请示》精神，遵化市财政局给我社下发了《关于为“原市工业品公司退休职工陈贺缴纳医疗保险”请示的答复》（遵财答复[2016]1740号），将应缴纳退休人员陈贺医疗保险自2017年1月起一并纳入此项。结合2017年度实际开支及每年计算基数增减变化情况，2018年度此项指标预算计划59.80万元，项目实际支出48.74万元为据实缴纳。</w:t>
            </w:r>
          </w:p>
          <w:p>
            <w:pPr>
              <w:jc w:val="left"/>
              <w:rPr>
                <w:rFonts w:ascii="仿宋_GB2312" w:eastAsia="仿宋_GB2312" w:cs="仿宋_GB2312" w:hAnsi="仿宋_GB2312" w:hint="eastAsia"/>
                <w:b/>
                <w:sz w:val="24"/>
              </w:rPr>
            </w:pPr>
          </w:p>
        </w:tc>
      </w:tr>
      <w:tr>
        <w:trPr>
          <w:trHeight w:val="13247"/>
        </w:trPr>
        <w:tc>
          <w:tcPr>
            <w:tcW w:w="8960" w:type="dxa"/>
            <w:gridSpan w:val="5"/>
            <w:vAlign w:val="center"/>
          </w:tcPr>
          <w:p>
            <w:pPr>
              <w:keepNext w:val="0"/>
              <w:keepLines w:val="0"/>
              <w:pageBreakBefore w:val="0"/>
              <w:widowControl w:val="0"/>
              <w:kinsoku/>
              <w:wordWrap/>
              <w:overflowPunct/>
              <w:topLinePunct w:val="0"/>
              <w:autoSpaceDE/>
              <w:autoSpaceDN/>
              <w:bidi w:val="0"/>
              <w:adjustRightInd/>
              <w:snapToGrid w:val="0"/>
              <w:spacing w:line="240" w:lineRule="atLeast"/>
              <w:ind w:firstLineChars="250" w:firstLine="700"/>
              <w:textAlignment w:val="auto"/>
              <w:rPr>
                <w:rFonts w:ascii="仿宋_GB2312" w:eastAsia="仿宋_GB2312" w:cs="仿宋_GB2312" w:hAnsi="仿宋_GB2312" w:hint="eastAsia"/>
                <w:sz w:val="28"/>
                <w:szCs w:val="28"/>
              </w:rPr>
            </w:pPr>
            <w:r>
              <w:rPr>
                <w:rFonts w:ascii="仿宋_GB2312" w:eastAsia="仿宋_GB2312" w:cs="仿宋_GB2312" w:hAnsi="仿宋_GB2312" w:hint="eastAsia"/>
                <w:sz w:val="28"/>
                <w:szCs w:val="28"/>
              </w:rPr>
              <w:t>（二）综合考评意见</w:t>
            </w:r>
          </w:p>
          <w:p>
            <w:pPr>
              <w:keepNext w:val="0"/>
              <w:keepLines w:val="0"/>
              <w:pageBreakBefore w:val="0"/>
              <w:widowControl w:val="0"/>
              <w:kinsoku/>
              <w:wordWrap/>
              <w:overflowPunct/>
              <w:topLinePunct w:val="0"/>
              <w:autoSpaceDE/>
              <w:autoSpaceDN/>
              <w:bidi w:val="0"/>
              <w:adjustRightInd/>
              <w:snapToGrid w:val="0"/>
              <w:spacing w:line="240" w:lineRule="atLeast"/>
              <w:ind w:firstLineChars="200" w:firstLine="560"/>
              <w:textAlignment w:val="auto"/>
              <w:rPr>
                <w:rFonts w:ascii="仿宋_GB2312" w:eastAsia="仿宋_GB2312" w:cs="仿宋_GB2312" w:hAnsi="仿宋_GB2312" w:hint="eastAsia"/>
                <w:sz w:val="28"/>
                <w:szCs w:val="28"/>
              </w:rPr>
            </w:pPr>
            <w:r>
              <w:rPr>
                <w:rFonts w:ascii="仿宋_GB2312" w:eastAsia="仿宋_GB2312" w:cs="仿宋_GB2312" w:hAnsi="仿宋_GB2312" w:hint="eastAsia"/>
                <w:sz w:val="28"/>
                <w:szCs w:val="28"/>
              </w:rPr>
              <w:t>今年以来，在市委、市政府的坚强领导下，我社以“四个干”工作机制为抓手，全力推进供销社综合改革与发展，在努力创建新型乡镇供销社、农民专业合作社、项目建设等工作的同时下大力气解决好历史遗留的改制问题，维护职工合法权益和信访稳定，进一步巩固扩大改制成果，为供销社综合改革与发展服务，各项工作圆满完成。</w:t>
            </w:r>
          </w:p>
          <w:tbl>
            <w:tblPr>
              <w:tblpPr w:leftFromText="180" w:rightFromText="180" w:vertAnchor="text" w:horzAnchor="page" w:tblpX="64" w:tblpY="405"/>
              <w:tblOverlap w:val="never"/>
              <w:tblW w:w="8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Look w:val="0600" w:firstRow="0" w:lastRow="0" w:firstColumn="0" w:lastColumn="0" w:noHBand="1" w:noVBand="1"/>
            </w:tblPr>
            <w:tblGrid>
              <w:gridCol w:w="1721"/>
              <w:gridCol w:w="1728"/>
              <w:gridCol w:w="1726"/>
              <w:gridCol w:w="1594"/>
              <w:gridCol w:w="1991"/>
            </w:tblGrid>
            <w:tr>
              <w:trPr>
                <w:trHeight w:val="607"/>
              </w:trPr>
              <w:tc>
                <w:tcPr>
                  <w:tcW w:w="1721"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ascii="仿宋_GB2312" w:eastAsia="仿宋_GB2312" w:cs="仿宋_GB2312" w:hAnsi="仿宋_GB2312" w:hint="eastAsia"/>
                      <w:sz w:val="24"/>
                      <w:szCs w:val="24"/>
                    </w:rPr>
                  </w:pPr>
                  <w:r>
                    <w:rPr>
                      <w:rFonts w:ascii="仿宋_GB2312" w:eastAsia="仿宋_GB2312" w:cs="仿宋_GB2312" w:hAnsi="仿宋_GB2312" w:hint="eastAsia"/>
                      <w:sz w:val="24"/>
                      <w:szCs w:val="24"/>
                    </w:rPr>
                    <w:t>一级指标1得分</w:t>
                  </w:r>
                </w:p>
              </w:tc>
              <w:tc>
                <w:tcPr>
                  <w:tcW w:w="1728"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ascii="仿宋_GB2312" w:eastAsia="仿宋_GB2312" w:cs="仿宋_GB2312" w:hAnsi="仿宋_GB2312" w:hint="eastAsia"/>
                      <w:sz w:val="24"/>
                      <w:szCs w:val="24"/>
                    </w:rPr>
                  </w:pPr>
                  <w:r>
                    <w:rPr>
                      <w:rFonts w:ascii="仿宋_GB2312" w:eastAsia="仿宋_GB2312" w:cs="仿宋_GB2312" w:hAnsi="仿宋_GB2312" w:hint="eastAsia"/>
                      <w:sz w:val="24"/>
                      <w:szCs w:val="24"/>
                    </w:rPr>
                    <w:t>一级指标2得分</w:t>
                  </w:r>
                </w:p>
              </w:tc>
              <w:tc>
                <w:tcPr>
                  <w:tcW w:w="1726"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ascii="仿宋_GB2312" w:eastAsia="仿宋_GB2312" w:cs="仿宋_GB2312" w:hAnsi="仿宋_GB2312" w:hint="eastAsia"/>
                      <w:sz w:val="24"/>
                      <w:szCs w:val="24"/>
                    </w:rPr>
                  </w:pPr>
                  <w:r>
                    <w:rPr>
                      <w:rFonts w:ascii="仿宋_GB2312" w:eastAsia="仿宋_GB2312" w:cs="仿宋_GB2312" w:hAnsi="仿宋_GB2312" w:hint="eastAsia"/>
                      <w:sz w:val="24"/>
                      <w:szCs w:val="24"/>
                    </w:rPr>
                    <w:t>一级指标3得分</w:t>
                  </w:r>
                </w:p>
              </w:tc>
              <w:tc>
                <w:tcPr>
                  <w:tcW w:w="1594"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ascii="仿宋_GB2312" w:eastAsia="仿宋_GB2312" w:cs="仿宋_GB2312" w:hAnsi="仿宋_GB2312" w:hint="eastAsia"/>
                      <w:sz w:val="24"/>
                      <w:szCs w:val="24"/>
                    </w:rPr>
                  </w:pPr>
                  <w:r>
                    <w:rPr>
                      <w:rFonts w:ascii="仿宋_GB2312" w:eastAsia="仿宋_GB2312" w:cs="仿宋_GB2312" w:hAnsi="仿宋_GB2312" w:hint="eastAsia"/>
                      <w:sz w:val="24"/>
                      <w:szCs w:val="24"/>
                    </w:rPr>
                    <w:t>一级指标4得分</w:t>
                  </w:r>
                </w:p>
              </w:tc>
              <w:tc>
                <w:tcPr>
                  <w:tcW w:w="1991"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jc w:val="both"/>
                    <w:textAlignment w:val="auto"/>
                    <w:rPr>
                      <w:rFonts w:ascii="仿宋_GB2312" w:eastAsia="仿宋_GB2312" w:cs="仿宋_GB2312" w:hAnsi="仿宋_GB2312" w:hint="eastAsia"/>
                      <w:sz w:val="24"/>
                      <w:szCs w:val="24"/>
                    </w:rPr>
                  </w:pPr>
                  <w:r>
                    <w:rPr>
                      <w:rFonts w:ascii="仿宋_GB2312" w:eastAsia="仿宋_GB2312" w:cs="仿宋_GB2312" w:hAnsi="仿宋_GB2312" w:hint="eastAsia"/>
                      <w:sz w:val="24"/>
                      <w:szCs w:val="24"/>
                    </w:rPr>
                    <w:t>项目总得分</w:t>
                  </w:r>
                </w:p>
              </w:tc>
            </w:tr>
            <w:tr>
              <w:trPr>
                <w:trHeight w:val="321"/>
              </w:trPr>
              <w:tc>
                <w:tcPr>
                  <w:tcW w:w="1721" w:type="dxa"/>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ascii="仿宋_GB2312" w:eastAsia="仿宋_GB2312" w:cs="仿宋_GB2312" w:hAnsi="仿宋_GB2312" w:hint="eastAsia"/>
                      <w:sz w:val="24"/>
                      <w:szCs w:val="24"/>
                    </w:rPr>
                  </w:pPr>
                  <w:r>
                    <w:rPr>
                      <w:rFonts w:ascii="仿宋_GB2312" w:eastAsia="仿宋_GB2312" w:cs="仿宋_GB2312" w:hAnsi="仿宋_GB2312" w:hint="eastAsia"/>
                      <w:sz w:val="24"/>
                      <w:szCs w:val="24"/>
                    </w:rPr>
                    <w:t>15</w:t>
                  </w:r>
                </w:p>
              </w:tc>
              <w:tc>
                <w:tcPr>
                  <w:tcW w:w="1728" w:type="dxa"/>
                  <w:tcBorders>
                    <w:left w:val="single" w:sz="4" w:space="0" w:color="auto"/>
                  </w:tcBorders>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ascii="仿宋_GB2312" w:eastAsia="仿宋_GB2312" w:cs="仿宋_GB2312" w:hAnsi="仿宋_GB2312" w:hint="eastAsia"/>
                      <w:sz w:val="24"/>
                      <w:szCs w:val="24"/>
                    </w:rPr>
                  </w:pPr>
                  <w:r>
                    <w:rPr>
                      <w:rFonts w:ascii="仿宋_GB2312" w:eastAsia="仿宋_GB2312" w:cs="仿宋_GB2312" w:hAnsi="仿宋_GB2312" w:hint="eastAsia"/>
                      <w:sz w:val="24"/>
                      <w:szCs w:val="24"/>
                    </w:rPr>
                    <w:t>15</w:t>
                  </w:r>
                </w:p>
              </w:tc>
              <w:tc>
                <w:tcPr>
                  <w:tcW w:w="1726" w:type="dxa"/>
                  <w:tcBorders>
                    <w:left w:val="single" w:sz="4" w:space="0" w:color="auto"/>
                  </w:tcBorders>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ascii="仿宋_GB2312" w:eastAsia="仿宋_GB2312" w:cs="仿宋_GB2312" w:hAnsi="仿宋_GB2312"/>
                      <w:sz w:val="24"/>
                      <w:szCs w:val="24"/>
                    </w:rPr>
                  </w:pPr>
                  <w:r>
                    <w:rPr>
                      <w:rFonts w:ascii="仿宋_GB2312" w:eastAsia="仿宋_GB2312" w:cs="仿宋_GB2312" w:hAnsi="仿宋_GB2312" w:hint="eastAsia"/>
                      <w:sz w:val="24"/>
                      <w:szCs w:val="24"/>
                    </w:rPr>
                    <w:t>30</w:t>
                  </w:r>
                </w:p>
              </w:tc>
              <w:tc>
                <w:tcPr>
                  <w:tcW w:w="1594" w:type="dxa"/>
                  <w:tcBorders>
                    <w:left w:val="single" w:sz="4" w:space="0" w:color="auto"/>
                  </w:tcBorders>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ascii="仿宋_GB2312" w:eastAsia="仿宋_GB2312" w:cs="仿宋_GB2312" w:hAnsi="仿宋_GB2312"/>
                      <w:sz w:val="24"/>
                      <w:szCs w:val="24"/>
                    </w:rPr>
                  </w:pPr>
                  <w:r>
                    <w:rPr>
                      <w:rFonts w:ascii="仿宋_GB2312" w:eastAsia="仿宋_GB2312" w:cs="仿宋_GB2312" w:hAnsi="仿宋_GB2312" w:hint="eastAsia"/>
                      <w:sz w:val="24"/>
                      <w:szCs w:val="24"/>
                    </w:rPr>
                    <w:t>37</w:t>
                  </w:r>
                </w:p>
              </w:tc>
              <w:tc>
                <w:tcPr>
                  <w:tcW w:w="1991" w:type="dxa"/>
                  <w:tcBorders>
                    <w:left w:val="single" w:sz="4" w:space="0" w:color="auto"/>
                  </w:tcBorders>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ascii="仿宋_GB2312" w:eastAsia="仿宋_GB2312" w:cs="仿宋_GB2312" w:hAnsi="仿宋_GB2312"/>
                      <w:sz w:val="24"/>
                      <w:szCs w:val="24"/>
                    </w:rPr>
                  </w:pPr>
                  <w:r>
                    <w:rPr>
                      <w:rFonts w:ascii="仿宋_GB2312" w:eastAsia="仿宋_GB2312" w:cs="仿宋_GB2312" w:hAnsi="仿宋_GB2312" w:hint="eastAsia"/>
                      <w:sz w:val="24"/>
                      <w:szCs w:val="24"/>
                    </w:rPr>
                    <w:t>97</w:t>
                  </w:r>
                </w:p>
              </w:tc>
            </w:tr>
          </w:tbl>
          <w:p>
            <w:pPr>
              <w:keepNext w:val="0"/>
              <w:keepLines w:val="0"/>
              <w:pageBreakBefore w:val="0"/>
              <w:widowControl w:val="0"/>
              <w:kinsoku/>
              <w:wordWrap/>
              <w:overflowPunct/>
              <w:topLinePunct w:val="0"/>
              <w:autoSpaceDE/>
              <w:autoSpaceDN/>
              <w:bidi w:val="0"/>
              <w:adjustRightInd/>
              <w:snapToGrid w:val="0"/>
              <w:spacing w:line="240" w:lineRule="atLeast"/>
              <w:ind w:firstLineChars="200" w:firstLine="560"/>
              <w:textAlignment w:val="auto"/>
              <w:rPr>
                <w:rFonts w:ascii="仿宋_GB2312" w:eastAsia="仿宋_GB2312" w:cs="仿宋_GB2312" w:hAnsi="仿宋_GB2312" w:hint="eastAsia"/>
                <w:sz w:val="28"/>
                <w:szCs w:val="28"/>
              </w:rPr>
            </w:pPr>
            <w:r>
              <w:rPr>
                <w:rFonts w:ascii="仿宋_GB2312" w:eastAsia="仿宋_GB2312" w:cs="仿宋_GB2312" w:hAnsi="仿宋_GB2312" w:hint="eastAsia"/>
                <w:sz w:val="28"/>
                <w:szCs w:val="28"/>
              </w:rPr>
              <w:t>改制五年等退人员医疗保险费项目绩效考评得分表</w:t>
            </w:r>
          </w:p>
          <w:p>
            <w:pPr>
              <w:keepNext w:val="0"/>
              <w:keepLines w:val="0"/>
              <w:pageBreakBefore w:val="0"/>
              <w:widowControl w:val="0"/>
              <w:kinsoku/>
              <w:wordWrap/>
              <w:overflowPunct/>
              <w:topLinePunct w:val="0"/>
              <w:autoSpaceDE/>
              <w:autoSpaceDN/>
              <w:bidi w:val="0"/>
              <w:adjustRightInd/>
              <w:snapToGrid w:val="0"/>
              <w:spacing w:line="240" w:lineRule="atLeast"/>
              <w:ind w:firstLineChars="100" w:firstLine="280"/>
              <w:textAlignment w:val="auto"/>
              <w:rPr>
                <w:rFonts w:ascii="仿宋_GB2312" w:eastAsia="仿宋_GB2312" w:cs="仿宋_GB2312" w:hAnsi="仿宋_GB2312" w:hint="eastAsia"/>
                <w:sz w:val="28"/>
                <w:szCs w:val="28"/>
              </w:rPr>
            </w:pPr>
            <w:r>
              <w:rPr>
                <w:rFonts w:ascii="仿宋_GB2312" w:eastAsia="仿宋_GB2312" w:cs="仿宋_GB2312" w:hAnsi="仿宋_GB2312" w:hint="eastAsia"/>
                <w:sz w:val="28"/>
                <w:szCs w:val="28"/>
              </w:rPr>
              <w:t>1、一级指标1考评情况分析：总分15分，自评得分15分。该项目目标明确，依据符合文件规定，资金到位及时。</w:t>
            </w:r>
          </w:p>
          <w:p>
            <w:pPr>
              <w:keepNext w:val="0"/>
              <w:keepLines w:val="0"/>
              <w:pageBreakBefore w:val="0"/>
              <w:widowControl w:val="0"/>
              <w:kinsoku/>
              <w:wordWrap/>
              <w:overflowPunct/>
              <w:topLinePunct w:val="0"/>
              <w:autoSpaceDE/>
              <w:autoSpaceDN/>
              <w:bidi w:val="0"/>
              <w:adjustRightInd/>
              <w:snapToGrid w:val="0"/>
              <w:spacing w:line="240" w:lineRule="atLeast"/>
              <w:ind w:firstLineChars="60" w:firstLine="168"/>
              <w:textAlignment w:val="auto"/>
              <w:rPr>
                <w:rFonts w:ascii="仿宋_GB2312" w:eastAsia="仿宋_GB2312" w:cs="仿宋_GB2312" w:hAnsi="仿宋_GB2312" w:hint="eastAsia"/>
                <w:sz w:val="28"/>
                <w:szCs w:val="28"/>
              </w:rPr>
            </w:pPr>
            <w:r>
              <w:rPr>
                <w:rFonts w:ascii="仿宋_GB2312" w:eastAsia="仿宋_GB2312" w:cs="仿宋_GB2312" w:hAnsi="仿宋_GB2312" w:hint="eastAsia"/>
                <w:sz w:val="28"/>
                <w:szCs w:val="28"/>
              </w:rPr>
              <w:t>2、一级指标2考评情况分析总分15分，自评得分15分。该项目资金使用合理，机构健全，管理制度健全。</w:t>
            </w:r>
          </w:p>
          <w:p>
            <w:pPr>
              <w:keepNext w:val="0"/>
              <w:keepLines w:val="0"/>
              <w:pageBreakBefore w:val="0"/>
              <w:widowControl w:val="0"/>
              <w:kinsoku/>
              <w:wordWrap/>
              <w:overflowPunct/>
              <w:topLinePunct w:val="0"/>
              <w:autoSpaceDE/>
              <w:autoSpaceDN/>
              <w:bidi w:val="0"/>
              <w:adjustRightInd/>
              <w:snapToGrid w:val="0"/>
              <w:spacing w:line="240" w:lineRule="atLeast"/>
              <w:ind w:firstLineChars="60" w:firstLine="168"/>
              <w:textAlignment w:val="auto"/>
              <w:rPr>
                <w:rFonts w:ascii="仿宋_GB2312" w:eastAsia="仿宋_GB2312" w:cs="仿宋_GB2312" w:hAnsi="仿宋_GB2312" w:hint="eastAsia"/>
                <w:sz w:val="28"/>
                <w:szCs w:val="28"/>
              </w:rPr>
            </w:pPr>
            <w:r>
              <w:rPr>
                <w:rFonts w:ascii="仿宋_GB2312" w:eastAsia="仿宋_GB2312" w:cs="仿宋_GB2312" w:hAnsi="仿宋_GB2312" w:hint="eastAsia"/>
                <w:sz w:val="28"/>
                <w:szCs w:val="28"/>
              </w:rPr>
              <w:t>3、一级指标3考评情况分析：总分30分，自评得分30分。该项目对确保改制五年等退人员的按时享受医疗保险待遇，维护改制五年等退人员的合法权益，巩固供销社改制成果发挥了应有目的。</w:t>
            </w:r>
          </w:p>
          <w:p>
            <w:pPr>
              <w:keepNext w:val="0"/>
              <w:keepLines w:val="0"/>
              <w:pageBreakBefore w:val="0"/>
              <w:widowControl w:val="0"/>
              <w:kinsoku/>
              <w:wordWrap/>
              <w:overflowPunct/>
              <w:topLinePunct w:val="0"/>
              <w:autoSpaceDE/>
              <w:autoSpaceDN/>
              <w:bidi w:val="0"/>
              <w:adjustRightInd/>
              <w:snapToGrid w:val="0"/>
              <w:spacing w:line="240" w:lineRule="atLeast"/>
              <w:ind w:firstLineChars="60" w:firstLine="168"/>
              <w:textAlignment w:val="auto"/>
              <w:rPr>
                <w:rFonts w:ascii="仿宋_GB2312" w:eastAsia="仿宋_GB2312" w:cs="仿宋_GB2312" w:hAnsi="仿宋_GB2312" w:hint="eastAsia"/>
                <w:sz w:val="28"/>
                <w:szCs w:val="28"/>
              </w:rPr>
            </w:pPr>
            <w:r>
              <w:rPr>
                <w:rFonts w:ascii="仿宋_GB2312" w:eastAsia="仿宋_GB2312" w:cs="仿宋_GB2312" w:hAnsi="仿宋_GB2312" w:hint="eastAsia"/>
                <w:sz w:val="28"/>
                <w:szCs w:val="28"/>
              </w:rPr>
              <w:t>4、一级指标4考评情况分析：总分40份，自评得分37分。对已发现问题及时整改。受益对象比较满意。</w:t>
            </w:r>
          </w:p>
          <w:p>
            <w:pPr>
              <w:keepNext w:val="0"/>
              <w:keepLines w:val="0"/>
              <w:pageBreakBefore w:val="0"/>
              <w:widowControl w:val="0"/>
              <w:kinsoku/>
              <w:wordWrap/>
              <w:overflowPunct/>
              <w:topLinePunct w:val="0"/>
              <w:autoSpaceDE/>
              <w:autoSpaceDN/>
              <w:bidi w:val="0"/>
              <w:adjustRightInd/>
              <w:snapToGrid w:val="0"/>
              <w:spacing w:line="240" w:lineRule="atLeast"/>
              <w:ind w:firstLineChars="60" w:firstLine="168"/>
              <w:textAlignment w:val="auto"/>
              <w:rPr>
                <w:rFonts w:ascii="仿宋_GB2312" w:eastAsia="仿宋_GB2312" w:cs="仿宋_GB2312" w:hAnsi="仿宋_GB2312" w:hint="eastAsia"/>
                <w:sz w:val="28"/>
                <w:szCs w:val="28"/>
              </w:rPr>
            </w:pPr>
            <w:r>
              <w:rPr>
                <w:rFonts w:ascii="仿宋_GB2312" w:eastAsia="仿宋_GB2312" w:cs="仿宋_GB2312" w:hAnsi="仿宋_GB2312" w:hint="eastAsia"/>
                <w:sz w:val="28"/>
                <w:szCs w:val="28"/>
              </w:rPr>
              <w:t>（三）考评发现的问题：通过此次绩效评价工作，从总体情况看我社按时按质完成了改制五年等退人员医疗保险费的及时缴纳工作，但还存在以下问题：该项目预算指标额度与实际执行额度存在一定的误差，应减少这种误差的幅度。</w:t>
            </w:r>
          </w:p>
          <w:p>
            <w:pPr>
              <w:keepNext w:val="0"/>
              <w:keepLines w:val="0"/>
              <w:pageBreakBefore w:val="0"/>
              <w:widowControl w:val="0"/>
              <w:kinsoku/>
              <w:wordWrap/>
              <w:overflowPunct/>
              <w:topLinePunct w:val="0"/>
              <w:autoSpaceDE/>
              <w:autoSpaceDN/>
              <w:bidi w:val="0"/>
              <w:adjustRightInd/>
              <w:snapToGrid w:val="0"/>
              <w:spacing w:line="240" w:lineRule="atLeast"/>
              <w:ind w:firstLineChars="60" w:firstLine="168"/>
              <w:textAlignment w:val="auto"/>
              <w:rPr>
                <w:rFonts w:ascii="仿宋_GB2312" w:eastAsia="仿宋_GB2312" w:cs="仿宋_GB2312" w:hAnsi="仿宋_GB2312" w:hint="eastAsia"/>
                <w:sz w:val="28"/>
                <w:szCs w:val="28"/>
              </w:rPr>
            </w:pPr>
            <w:r>
              <w:rPr>
                <w:rFonts w:ascii="仿宋_GB2312" w:eastAsia="仿宋_GB2312" w:cs="仿宋_GB2312" w:hAnsi="仿宋_GB2312" w:hint="eastAsia"/>
                <w:sz w:val="28"/>
                <w:szCs w:val="28"/>
              </w:rPr>
              <w:t>（四）相关意见与建议：建议提高该项目预算指标制定的精度，既能满足实际缴纳需求额度，又使该项目实际执行额度与预算指标尽可能接近，充分发挥项目预算资金的整体效益。</w:t>
            </w:r>
          </w:p>
          <w:p>
            <w:pPr>
              <w:keepNext w:val="0"/>
              <w:keepLines w:val="0"/>
              <w:pageBreakBefore w:val="0"/>
              <w:widowControl w:val="0"/>
              <w:kinsoku/>
              <w:wordWrap/>
              <w:overflowPunct/>
              <w:topLinePunct w:val="0"/>
              <w:autoSpaceDE/>
              <w:autoSpaceDN/>
              <w:bidi w:val="0"/>
              <w:adjustRightInd/>
              <w:snapToGrid w:val="0"/>
              <w:spacing w:line="240" w:lineRule="atLeast"/>
              <w:ind w:firstLineChars="60" w:firstLine="168"/>
              <w:textAlignment w:val="auto"/>
              <w:rPr>
                <w:rFonts w:ascii="仿宋_GB2312" w:eastAsia="仿宋_GB2312" w:cs="仿宋_GB2312" w:hAnsi="仿宋_GB2312" w:hint="eastAsia"/>
                <w:sz w:val="28"/>
                <w:szCs w:val="28"/>
              </w:rPr>
            </w:pPr>
            <w:r>
              <w:rPr>
                <w:rFonts w:ascii="仿宋_GB2312" w:eastAsia="仿宋_GB2312" w:cs="仿宋_GB2312" w:hAnsi="仿宋_GB2312" w:hint="eastAsia"/>
                <w:sz w:val="28"/>
                <w:szCs w:val="28"/>
              </w:rPr>
              <w:t>（五）其他需要说明的问题：</w:t>
            </w:r>
          </w:p>
          <w:p>
            <w:pPr>
              <w:keepNext w:val="0"/>
              <w:keepLines w:val="0"/>
              <w:pageBreakBefore w:val="0"/>
              <w:widowControl w:val="0"/>
              <w:kinsoku/>
              <w:wordWrap/>
              <w:overflowPunct/>
              <w:topLinePunct w:val="0"/>
              <w:autoSpaceDE/>
              <w:autoSpaceDN/>
              <w:bidi w:val="0"/>
              <w:adjustRightInd/>
              <w:snapToGrid w:val="0"/>
              <w:spacing w:line="240" w:lineRule="atLeast"/>
              <w:ind w:firstLineChars="60" w:firstLine="168"/>
              <w:textAlignment w:val="auto"/>
              <w:rPr>
                <w:rFonts w:ascii="仿宋_GB2312" w:eastAsia="仿宋_GB2312" w:cs="仿宋_GB2312" w:hAnsi="仿宋_GB2312" w:hint="eastAsia"/>
                <w:sz w:val="28"/>
                <w:szCs w:val="28"/>
              </w:rPr>
            </w:pPr>
            <w:r>
              <w:rPr>
                <w:rFonts w:ascii="仿宋_GB2312" w:eastAsia="仿宋_GB2312" w:cs="仿宋_GB2312" w:hAnsi="仿宋_GB2312" w:hint="eastAsia"/>
                <w:sz w:val="28"/>
                <w:szCs w:val="28"/>
              </w:rPr>
              <w:t>（六）相关附件：（一）绩效考评办法、依据</w:t>
            </w:r>
            <w:r>
              <w:rPr>
                <w:rFonts w:ascii="仿宋_GB2312" w:eastAsia="仿宋_GB2312" w:cs="仿宋_GB2312" w:hAnsi="仿宋_GB2312" w:hint="eastAsia"/>
                <w:sz w:val="28"/>
                <w:szCs w:val="28"/>
                <w:lang w:eastAsia="zh-CN"/>
              </w:rPr>
              <w:t>；</w:t>
            </w:r>
            <w:r>
              <w:rPr>
                <w:rFonts w:ascii="仿宋_GB2312" w:eastAsia="仿宋_GB2312" w:cs="仿宋_GB2312" w:hAnsi="仿宋_GB2312" w:hint="eastAsia"/>
                <w:sz w:val="28"/>
                <w:szCs w:val="28"/>
              </w:rPr>
              <w:t>（二）绩效考评指标、评分标准、分值和结果</w:t>
            </w:r>
            <w:r>
              <w:rPr>
                <w:rFonts w:ascii="仿宋_GB2312" w:eastAsia="仿宋_GB2312" w:cs="仿宋_GB2312" w:hAnsi="仿宋_GB2312" w:hint="eastAsia"/>
                <w:sz w:val="28"/>
                <w:szCs w:val="28"/>
                <w:lang w:eastAsia="zh-CN"/>
              </w:rPr>
              <w:t>；</w:t>
            </w:r>
            <w:r>
              <w:rPr>
                <w:rFonts w:ascii="仿宋_GB2312" w:eastAsia="仿宋_GB2312" w:cs="仿宋_GB2312" w:hAnsi="仿宋_GB2312" w:hint="eastAsia"/>
                <w:sz w:val="28"/>
                <w:szCs w:val="28"/>
              </w:rPr>
              <w:t>（三）考评机构认为需要作为考评报告附件有关文件、资料等，以进一步解释和证明报告所反映的相关内容。</w:t>
            </w:r>
          </w:p>
        </w:tc>
      </w:tr>
    </w:tbl>
    <w:p>
      <w:pPr>
        <w:jc w:val="center"/>
        <w:rPr>
          <w:rFonts w:ascii="仿宋_GB2312" w:eastAsia="仿宋_GB2312" w:hint="eastAsia"/>
          <w:sz w:val="32"/>
        </w:rPr>
      </w:pPr>
      <w:r>
        <w:rPr>
          <w:rFonts w:ascii="仿宋_GB2312" w:eastAsia="仿宋_GB2312" w:hint="eastAsia"/>
          <w:sz w:val="32"/>
        </w:rPr>
        <w:drawing>
          <wp:inline distT="0" distB="0" distL="114300" distR="114300">
            <wp:extent cx="5194935" cy="9235440"/>
            <wp:effectExtent l="0" t="0" r="5715" b="3810"/>
            <wp:docPr id="1139" name="图片 2" descr="2018年项目绩效考评人员签字"/>
            <wp:cNvGraphicFramePr>
              <a:graphicFrameLocks noChangeAspect="1"/>
            </wp:cNvGraphicFramePr>
            <a:graphic>
              <a:graphicData uri="http://schemas.openxmlformats.org/drawingml/2006/picture">
                <pic:pic>
                  <pic:nvPicPr>
                    <pic:cNvPr id="139" name="图片 2 139"/>
                    <pic:cNvPicPr/>
                  </pic:nvPicPr>
                  <pic:blipFill>
                    <a:blip r:embed="rId10"/>
                    <a:stretch>
                      <a:fillRect/>
                    </a:stretch>
                  </pic:blipFill>
                  <pic:spPr>
                    <a:xfrm rot="0">
                      <a:off x="0" y="0"/>
                      <a:ext cx="5194935" cy="9235440"/>
                    </a:xfrm>
                    <a:prstGeom prst="rect"/>
                    <a:noFill/>
                    <a:ln cmpd="sng" cap="flat">
                      <a:noFill/>
                      <a:prstDash val="solid"/>
                      <a:round/>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70" w:lineRule="exact"/>
        <w:jc w:val="center"/>
        <w:textAlignment w:val="auto"/>
        <w:rPr>
          <w:rFonts w:ascii="宋体" w:hAnsi="宋体" w:hint="eastAsia"/>
          <w:b/>
          <w:sz w:val="44"/>
          <w:szCs w:val="44"/>
        </w:rPr>
      </w:pPr>
      <w:r>
        <w:rPr>
          <w:rFonts w:ascii="宋体" w:hAnsi="宋体" w:hint="eastAsia"/>
          <w:b/>
          <w:sz w:val="44"/>
          <w:szCs w:val="44"/>
        </w:rPr>
        <w:t>2018年遵化市供销合作社</w:t>
      </w:r>
    </w:p>
    <w:p>
      <w:pPr>
        <w:keepNext w:val="0"/>
        <w:keepLines w:val="0"/>
        <w:pageBreakBefore w:val="0"/>
        <w:widowControl w:val="0"/>
        <w:kinsoku/>
        <w:wordWrap/>
        <w:overflowPunct/>
        <w:topLinePunct w:val="0"/>
        <w:autoSpaceDE/>
        <w:autoSpaceDN/>
        <w:bidi w:val="0"/>
        <w:adjustRightInd w:val="0"/>
        <w:snapToGrid w:val="0"/>
        <w:spacing w:line="570" w:lineRule="exact"/>
        <w:jc w:val="center"/>
        <w:textAlignment w:val="auto"/>
        <w:rPr>
          <w:rFonts w:ascii="宋体" w:hAnsi="宋体" w:hint="eastAsia"/>
          <w:b/>
          <w:sz w:val="44"/>
          <w:szCs w:val="44"/>
        </w:rPr>
      </w:pPr>
      <w:r>
        <w:rPr>
          <w:rFonts w:ascii="宋体" w:hAnsi="宋体" w:hint="eastAsia"/>
          <w:b/>
          <w:sz w:val="44"/>
          <w:szCs w:val="44"/>
        </w:rPr>
        <w:t>财政支出项目绩效评价报告</w:t>
      </w:r>
    </w:p>
    <w:p>
      <w:pPr>
        <w:keepNext w:val="0"/>
        <w:keepLines w:val="0"/>
        <w:pageBreakBefore w:val="0"/>
        <w:widowControl w:val="0"/>
        <w:kinsoku/>
        <w:wordWrap/>
        <w:overflowPunct/>
        <w:topLinePunct w:val="0"/>
        <w:autoSpaceDE/>
        <w:autoSpaceDN/>
        <w:bidi w:val="0"/>
        <w:spacing w:line="570" w:lineRule="exact"/>
        <w:ind w:firstLineChars="200" w:firstLine="640"/>
        <w:textAlignment w:val="auto"/>
        <w:rPr>
          <w:rFonts w:ascii="宋体" w:hAnsi="宋体" w:hint="eastAsia"/>
          <w:b/>
          <w:sz w:val="32"/>
          <w:szCs w:val="32"/>
        </w:rPr>
      </w:pP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b/>
          <w:sz w:val="28"/>
          <w:szCs w:val="28"/>
        </w:rPr>
      </w:pPr>
      <w:r>
        <w:rPr>
          <w:rFonts w:ascii="宋体" w:hAnsi="宋体" w:hint="eastAsia"/>
          <w:b/>
          <w:sz w:val="28"/>
          <w:szCs w:val="28"/>
        </w:rPr>
        <w:t>一、项目基本情况</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方正楷体简体" w:eastAsia="方正楷体简体" w:cs="方正楷体简体" w:hAnsi="方正楷体简体" w:hint="eastAsia"/>
          <w:b/>
          <w:sz w:val="28"/>
          <w:szCs w:val="28"/>
        </w:rPr>
      </w:pPr>
      <w:r>
        <w:rPr>
          <w:rFonts w:ascii="方正楷体简体" w:eastAsia="方正楷体简体" w:cs="方正楷体简体" w:hAnsi="方正楷体简体" w:hint="eastAsia"/>
          <w:b/>
          <w:sz w:val="28"/>
          <w:szCs w:val="28"/>
        </w:rPr>
        <w:t>（一）项目基本情况</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b/>
          <w:sz w:val="28"/>
          <w:szCs w:val="28"/>
        </w:rPr>
        <w:t>项目名称：</w:t>
      </w:r>
      <w:r>
        <w:rPr>
          <w:rFonts w:ascii="宋体" w:hAnsi="宋体" w:hint="eastAsia"/>
          <w:bCs/>
          <w:sz w:val="28"/>
          <w:szCs w:val="28"/>
        </w:rPr>
        <w:t>改制五年等退人员医疗保险费。</w:t>
      </w:r>
    </w:p>
    <w:p>
      <w:pPr>
        <w:keepNext w:val="0"/>
        <w:keepLines w:val="0"/>
        <w:pageBreakBefore w:val="0"/>
        <w:widowControl w:val="0"/>
        <w:kinsoku/>
        <w:wordWrap/>
        <w:overflowPunct/>
        <w:topLinePunct w:val="0"/>
        <w:autoSpaceDE/>
        <w:autoSpaceDN/>
        <w:bidi w:val="0"/>
        <w:adjustRightInd w:val="0"/>
        <w:snapToGrid w:val="0"/>
        <w:spacing w:line="570" w:lineRule="exact"/>
        <w:ind w:firstLineChars="200" w:firstLine="560"/>
        <w:jc w:val="left"/>
        <w:textAlignment w:val="auto"/>
        <w:rPr>
          <w:rFonts w:ascii="宋体" w:hAnsi="宋体" w:hint="eastAsia"/>
          <w:sz w:val="28"/>
          <w:szCs w:val="28"/>
        </w:rPr>
      </w:pPr>
      <w:r>
        <w:rPr>
          <w:rFonts w:ascii="宋体" w:hAnsi="宋体" w:hint="eastAsia"/>
          <w:b/>
          <w:bCs/>
          <w:sz w:val="28"/>
          <w:szCs w:val="28"/>
        </w:rPr>
        <w:t>主要工作内容：</w:t>
      </w:r>
      <w:r>
        <w:rPr>
          <w:rFonts w:ascii="宋体" w:hAnsi="宋体" w:hint="eastAsia"/>
          <w:sz w:val="28"/>
          <w:szCs w:val="28"/>
        </w:rPr>
        <w:t>根据市医疗保险部门按月核定的应缴纳改制五年等退人员的医疗保险费额度，按月及时缴纳。</w:t>
      </w:r>
    </w:p>
    <w:p>
      <w:pPr>
        <w:keepNext w:val="0"/>
        <w:keepLines w:val="0"/>
        <w:pageBreakBefore w:val="0"/>
        <w:widowControl w:val="0"/>
        <w:kinsoku/>
        <w:wordWrap/>
        <w:overflowPunct/>
        <w:topLinePunct w:val="0"/>
        <w:autoSpaceDE/>
        <w:autoSpaceDN/>
        <w:bidi w:val="0"/>
        <w:adjustRightInd w:val="0"/>
        <w:snapToGrid w:val="0"/>
        <w:spacing w:line="570" w:lineRule="exact"/>
        <w:ind w:firstLineChars="200" w:firstLine="560"/>
        <w:jc w:val="left"/>
        <w:textAlignment w:val="auto"/>
        <w:rPr>
          <w:rFonts w:ascii="宋体" w:hAnsi="宋体" w:hint="eastAsia"/>
          <w:sz w:val="32"/>
          <w:szCs w:val="32"/>
        </w:rPr>
      </w:pPr>
      <w:r>
        <w:rPr>
          <w:rFonts w:ascii="宋体" w:hAnsi="宋体" w:hint="eastAsia"/>
          <w:b/>
          <w:sz w:val="28"/>
          <w:szCs w:val="28"/>
        </w:rPr>
        <w:t>主要目标：</w:t>
      </w:r>
      <w:r>
        <w:rPr>
          <w:rFonts w:ascii="宋体" w:hAnsi="宋体" w:hint="eastAsia"/>
          <w:sz w:val="28"/>
          <w:szCs w:val="28"/>
        </w:rPr>
        <w:t>确保改制五年等退人员的按时享受医疗保险待遇，维护改制五年等退人员的合法权益，巩固供销社改制成果。</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b/>
          <w:sz w:val="28"/>
          <w:szCs w:val="28"/>
        </w:rPr>
        <w:t>项目起止时间：</w:t>
      </w:r>
      <w:r>
        <w:rPr>
          <w:rFonts w:ascii="宋体" w:hAnsi="宋体" w:hint="eastAsia"/>
          <w:sz w:val="28"/>
          <w:szCs w:val="28"/>
        </w:rPr>
        <w:t>为2018年1月至2018年12月。</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方正楷体简体" w:eastAsia="方正楷体简体" w:cs="方正楷体简体" w:hAnsi="方正楷体简体" w:hint="eastAsia"/>
          <w:b/>
          <w:sz w:val="28"/>
          <w:szCs w:val="28"/>
        </w:rPr>
      </w:pPr>
      <w:r>
        <w:rPr>
          <w:rFonts w:ascii="方正楷体简体" w:eastAsia="方正楷体简体" w:cs="方正楷体简体" w:hAnsi="方正楷体简体" w:hint="eastAsia"/>
          <w:b/>
          <w:sz w:val="28"/>
          <w:szCs w:val="28"/>
        </w:rPr>
        <w:t>（二）项目资金来源及资金管理</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2018年度，我社改制五年等退人员医疗保险费申请总预算额为59.80万元。按照每月市医疗保险部门核定的应缴纳额度，全部用于缴纳改制五年等退人员医疗保险费项目。</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方正楷体简体" w:eastAsia="方正楷体简体" w:cs="方正楷体简体" w:hAnsi="方正楷体简体" w:hint="eastAsia"/>
          <w:b/>
          <w:sz w:val="28"/>
          <w:szCs w:val="28"/>
        </w:rPr>
      </w:pPr>
      <w:r>
        <w:rPr>
          <w:rFonts w:ascii="方正楷体简体" w:eastAsia="方正楷体简体" w:cs="方正楷体简体" w:hAnsi="方正楷体简体" w:hint="eastAsia"/>
          <w:b/>
          <w:sz w:val="28"/>
          <w:szCs w:val="28"/>
        </w:rPr>
        <w:t>（三）业务开展情况</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2018年度，共为改制五年等退人员缴纳医疗保险费12次，每月按照医保部门规定缴费时限，核对的应缴纳数额，一般在每月度的15日前完成缴纳工作，为93名改制五年等退人员及时缴纳了医疗保险费，使他们能够按时享受到医疗保险待遇，维护了这些人的合法权益，缴纳覆盖率达到100%，受益群众满意度100%。</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b/>
          <w:sz w:val="28"/>
          <w:szCs w:val="28"/>
        </w:rPr>
      </w:pPr>
      <w:r>
        <w:rPr>
          <w:rFonts w:ascii="宋体" w:hAnsi="宋体" w:hint="eastAsia"/>
          <w:b/>
          <w:sz w:val="28"/>
          <w:szCs w:val="28"/>
        </w:rPr>
        <w:t>二、项目绩效考评结论</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方正楷体简体" w:eastAsia="方正楷体简体" w:cs="方正楷体简体" w:hAnsi="方正楷体简体" w:hint="eastAsia"/>
          <w:b/>
          <w:sz w:val="28"/>
          <w:szCs w:val="28"/>
        </w:rPr>
      </w:pPr>
      <w:r>
        <w:rPr>
          <w:rFonts w:ascii="方正楷体简体" w:eastAsia="方正楷体简体" w:cs="方正楷体简体" w:hAnsi="方正楷体简体" w:hint="eastAsia"/>
          <w:b/>
          <w:sz w:val="28"/>
          <w:szCs w:val="28"/>
        </w:rPr>
        <w:t>（一）管理绩效自评情况</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该项目目标明确，全部用于改制五年等退人员医疗保险费，符合</w:t>
      </w:r>
    </w:p>
    <w:p>
      <w:pPr>
        <w:keepNext w:val="0"/>
        <w:keepLines w:val="0"/>
        <w:pageBreakBefore w:val="0"/>
        <w:widowControl w:val="0"/>
        <w:kinsoku/>
        <w:wordWrap/>
        <w:overflowPunct/>
        <w:topLinePunct w:val="0"/>
        <w:autoSpaceDE/>
        <w:autoSpaceDN/>
        <w:bidi w:val="0"/>
        <w:spacing w:line="570" w:lineRule="exact"/>
        <w:textAlignment w:val="auto"/>
        <w:rPr>
          <w:rFonts w:ascii="宋体" w:hAnsi="宋体"/>
          <w:sz w:val="28"/>
          <w:szCs w:val="28"/>
        </w:rPr>
      </w:pPr>
      <w:r>
        <w:rPr>
          <w:rFonts w:ascii="宋体" w:hAnsi="宋体" w:hint="eastAsia"/>
          <w:sz w:val="28"/>
          <w:szCs w:val="28"/>
        </w:rPr>
        <w:t>2015年3月31日遵化市政府批准的《遵化市财政局 遵化市人力资源和社会保障局 遵化市供销合作社关于市供销合作社系统改制涉及人员欠缴社会保险费有关情况的报告》精神以及遵化市财政局给我社下发的《关于全系统改制涉及人员欠缴社会保险费有关情况请示的答复》（遵财答复[2015]398号）精神，也符合2016年9月23日遵化市政府批准的《遵化市供销合作社关于为原市工业品公司退休职工陈贺缴纳医疗保险的请示》精神和遵化市财政局给我社下发的《关于为“原市工业品公司退休职工陈贺缴纳医疗保险”请示的答复》（遵财答复[2016]1740号）精神，符合我社部门职责，按照《遵化市供销合作社2018年度改制五年等退人员医疗保险费项目实施方案》实施。</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2018年度我社改制五年等退人员医疗保险费项目财政预算资金59.80万元，实际发生48.74万元，剩余部分由财政部门及时收回，项目认定，资金申报、批复程序符合相关管理办法，项目实施手续健全，资金到位占实际资金需求的100%。项目不存在虚列（套取）总控情况，项目资金支出合理合规，无截留、挤占、招标准发放现象，项目实施单位财务制度健全，会计核算规范；该项目组织机构健全，成立专门的领导小组，且分工明确；为确保项目的顺利实施明确专人负责，及时督导，确保项目顺利实施。</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方正仿宋简体" w:eastAsia="方正仿宋简体" w:cs="方正仿宋简体" w:hAnsi="方正仿宋简体" w:hint="eastAsia"/>
          <w:b/>
          <w:sz w:val="28"/>
          <w:szCs w:val="28"/>
        </w:rPr>
      </w:pPr>
      <w:r>
        <w:rPr>
          <w:rFonts w:ascii="方正楷体简体" w:eastAsia="方正楷体简体" w:cs="方正楷体简体" w:hAnsi="方正楷体简体" w:hint="eastAsia"/>
          <w:b/>
          <w:sz w:val="28"/>
          <w:szCs w:val="28"/>
        </w:rPr>
        <w:t>（二）结果绩效自评情况</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2018年度，我社严格按照市医疗保险部门每月核定的改制五年等退人员医疗保险费应缴金额，按时完成缴纳工作，确保了这些人能够及时享受到医疗保险待遇，维护了改制五年等退人员的合法权益，巩固了供销社改制成果，及时消除了职工上访等不稳定因素，维护了我市社会稳定，为我市发展做出了积极贡献。</w:t>
      </w:r>
    </w:p>
    <w:p>
      <w:pPr>
        <w:keepNext w:val="0"/>
        <w:keepLines w:val="0"/>
        <w:pageBreakBefore w:val="0"/>
        <w:widowControl w:val="0"/>
        <w:kinsoku/>
        <w:wordWrap/>
        <w:overflowPunct/>
        <w:topLinePunct w:val="0"/>
        <w:autoSpaceDE/>
        <w:autoSpaceDN/>
        <w:bidi w:val="0"/>
        <w:spacing w:line="570" w:lineRule="exact"/>
        <w:ind w:leftChars="200" w:left="420" w:firstLineChars="100" w:firstLine="320"/>
        <w:textAlignment w:val="auto"/>
        <w:rPr>
          <w:rFonts w:ascii="方正楷体简体" w:eastAsia="方正楷体简体" w:cs="方正楷体简体" w:hAnsi="方正楷体简体" w:hint="eastAsia"/>
          <w:b/>
          <w:kern w:val="0"/>
          <w:sz w:val="32"/>
          <w:szCs w:val="32"/>
        </w:rPr>
      </w:pPr>
      <w:r>
        <w:rPr>
          <w:rFonts w:ascii="方正楷体简体" w:eastAsia="方正楷体简体" w:cs="方正楷体简体" w:hAnsi="方正楷体简体" w:hint="eastAsia"/>
          <w:b/>
          <w:kern w:val="0"/>
          <w:sz w:val="32"/>
          <w:szCs w:val="32"/>
        </w:rPr>
        <w:t>（三）考评发现的问题</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通过此次绩效评价工作，从总体情况看我社按时按质完成了改制五年等退人员医疗保险费的及时缴纳工作，但还存在以下问题：该项目预算指标额度与实际执行额度存在一定的误差，应减少这种误差的幅度。</w:t>
      </w:r>
    </w:p>
    <w:p>
      <w:pPr>
        <w:keepNext w:val="0"/>
        <w:keepLines w:val="0"/>
        <w:pageBreakBefore w:val="0"/>
        <w:widowControl w:val="0"/>
        <w:kinsoku/>
        <w:wordWrap/>
        <w:overflowPunct/>
        <w:topLinePunct w:val="0"/>
        <w:autoSpaceDE/>
        <w:autoSpaceDN/>
        <w:bidi w:val="0"/>
        <w:spacing w:line="570" w:lineRule="exact"/>
        <w:ind w:firstLineChars="200" w:firstLine="640"/>
        <w:textAlignment w:val="auto"/>
        <w:rPr>
          <w:rFonts w:ascii="方正楷体简体" w:eastAsia="方正楷体简体" w:cs="方正楷体简体" w:hAnsi="方正楷体简体" w:hint="eastAsia"/>
          <w:b/>
          <w:kern w:val="0"/>
          <w:sz w:val="32"/>
          <w:szCs w:val="32"/>
        </w:rPr>
      </w:pPr>
      <w:r>
        <w:rPr>
          <w:rFonts w:ascii="方正楷体简体" w:eastAsia="方正楷体简体" w:cs="方正楷体简体" w:hAnsi="方正楷体简体" w:hint="eastAsia"/>
          <w:b/>
          <w:kern w:val="0"/>
          <w:sz w:val="32"/>
          <w:szCs w:val="32"/>
        </w:rPr>
        <w:t>（四）相关意见与建议</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建议提高该项目预算指标制定的精度，既能满足实际缴纳需求额度，又使该项目实际执行额度与预算指标尽可能接近，充分发挥项目预算资金的整体效益。</w:t>
      </w:r>
    </w:p>
    <w:p>
      <w:pPr>
        <w:keepNext w:val="0"/>
        <w:keepLines w:val="0"/>
        <w:pageBreakBefore w:val="0"/>
        <w:widowControl w:val="0"/>
        <w:kinsoku/>
        <w:wordWrap/>
        <w:overflowPunct/>
        <w:topLinePunct w:val="0"/>
        <w:autoSpaceDE/>
        <w:autoSpaceDN/>
        <w:bidi w:val="0"/>
        <w:spacing w:line="570" w:lineRule="exact"/>
        <w:ind w:firstLineChars="300" w:firstLine="840"/>
        <w:textAlignment w:val="auto"/>
        <w:rPr>
          <w:rFonts w:ascii="方正楷体简体" w:eastAsia="方正楷体简体" w:cs="方正楷体简体" w:hAnsi="方正楷体简体" w:hint="eastAsia"/>
          <w:sz w:val="28"/>
          <w:szCs w:val="28"/>
        </w:rPr>
      </w:pPr>
      <w:r>
        <w:rPr>
          <w:rFonts w:ascii="方正楷体简体" w:eastAsia="方正楷体简体" w:cs="方正楷体简体" w:hAnsi="方正楷体简体" w:hint="eastAsia"/>
          <w:b/>
          <w:sz w:val="28"/>
          <w:szCs w:val="28"/>
        </w:rPr>
        <w:t>（五）附件</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附件1：年初预算项目申请表</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附件2： 三定方案（部门职责）</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附件3：项目实施方案</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附件4：项目照片、巡查日志</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附件5：统一社会信用代码证书（组织机构代码证书）</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附件6：财政局批复</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附件7：财政局拨款凭证</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r>
        <w:rPr>
          <w:rFonts w:ascii="宋体" w:hAnsi="宋体" w:hint="eastAsia"/>
          <w:sz w:val="28"/>
          <w:szCs w:val="28"/>
        </w:rPr>
        <w:t>附件8：单位付款凭证</w:t>
      </w:r>
    </w:p>
    <w:p>
      <w:pPr>
        <w:keepNext w:val="0"/>
        <w:keepLines w:val="0"/>
        <w:pageBreakBefore w:val="0"/>
        <w:widowControl w:val="0"/>
        <w:kinsoku/>
        <w:wordWrap/>
        <w:overflowPunct/>
        <w:topLinePunct w:val="0"/>
        <w:autoSpaceDE/>
        <w:autoSpaceDN/>
        <w:bidi w:val="0"/>
        <w:spacing w:line="570" w:lineRule="exact"/>
        <w:ind w:firstLineChars="200" w:firstLine="560"/>
        <w:textAlignment w:val="auto"/>
        <w:rPr>
          <w:rFonts w:ascii="宋体" w:hAnsi="宋体" w:hint="eastAsia"/>
          <w:sz w:val="28"/>
          <w:szCs w:val="28"/>
        </w:rPr>
      </w:pPr>
    </w:p>
    <w:p>
      <w:pPr>
        <w:ind w:firstLineChars="200" w:firstLine="560"/>
        <w:rPr>
          <w:rFonts w:ascii="宋体" w:hAnsi="宋体" w:hint="eastAsia"/>
          <w:sz w:val="28"/>
          <w:szCs w:val="28"/>
        </w:rPr>
      </w:pPr>
      <w:r>
        <w:rPr>
          <w:rFonts w:ascii="宋体" w:hAnsi="宋体" w:hint="eastAsia"/>
          <w:sz w:val="28"/>
          <w:szCs w:val="28"/>
        </w:rPr>
        <w:t xml:space="preserve"> 附件1：</w:t>
      </w:r>
    </w:p>
    <w:tbl>
      <w:tblPr>
        <w:jc w:val="left"/>
        <w:tblInd w:w="0" w:type="dxa"/>
        <w:tblW w:w="9061" w:type="dxa"/>
        <w:tblBorders>
          <w:top w:val="none" w:sz="0" w:space="0" w:color="auto"/>
          <w:left w:val="none" w:sz="0" w:space="0" w:color="auto"/>
          <w:bottom w:val="none" w:sz="0" w:space="0" w:color="auto"/>
          <w:right w:val="none" w:sz="0" w:space="0" w:color="auto"/>
        </w:tblBorders>
        <w:tblLayout w:type="fixed"/>
        <w:tblCellMar>
          <w:top w:w="0" w:type="dxa"/>
          <w:left w:w="108" w:type="dxa"/>
          <w:bottom w:w="0" w:type="dxa"/>
          <w:right w:w="108" w:type="dxa"/>
        </w:tblCellMar>
        <w:tblLook w:val="0600" w:firstRow="0" w:lastRow="0" w:firstColumn="0" w:lastColumn="0" w:noHBand="1" w:noVBand="1"/>
      </w:tblPr>
      <w:tblGrid>
        <w:gridCol w:w="396"/>
        <w:gridCol w:w="2736"/>
        <w:gridCol w:w="791"/>
        <w:gridCol w:w="930"/>
        <w:gridCol w:w="581"/>
        <w:gridCol w:w="506"/>
        <w:gridCol w:w="506"/>
        <w:gridCol w:w="506"/>
        <w:gridCol w:w="2109"/>
      </w:tblGrid>
      <w:tr>
        <w:trPr>
          <w:trHeight w:val="380"/>
        </w:trPr>
        <w:tc>
          <w:tcPr>
            <w:tcW w:w="9061" w:type="dxa"/>
            <w:gridSpan w:val="9"/>
            <w:tcBorders>
              <w:top w:val="nil"/>
              <w:left w:val="nil"/>
              <w:bottom w:val="nil"/>
              <w:right w:val="nil"/>
            </w:tcBorders>
            <w:vAlign w:val="center"/>
          </w:tcPr>
          <w:p>
            <w:pPr>
              <w:widowControl/>
              <w:jc w:val="center"/>
              <w:rPr>
                <w:rFonts w:ascii="宋体" w:cs="宋体" w:hAnsi="宋体"/>
                <w:b/>
                <w:bCs/>
                <w:color w:val="000000"/>
                <w:kern w:val="0"/>
                <w:sz w:val="32"/>
                <w:szCs w:val="32"/>
              </w:rPr>
            </w:pPr>
            <w:r>
              <w:rPr>
                <w:rFonts w:ascii="宋体" w:cs="宋体" w:hAnsi="宋体" w:hint="eastAsia"/>
                <w:b/>
                <w:bCs/>
                <w:color w:val="000000"/>
                <w:kern w:val="0"/>
                <w:sz w:val="32"/>
                <w:szCs w:val="32"/>
              </w:rPr>
              <w:t>2018年年初预算项目申请表</w:t>
            </w:r>
          </w:p>
        </w:tc>
      </w:tr>
      <w:tr>
        <w:trPr>
          <w:trHeight w:val="815"/>
        </w:trPr>
        <w:tc>
          <w:tcPr>
            <w:tcW w:w="396" w:type="dxa"/>
            <w:tcBorders>
              <w:top w:val="single" w:sz="8"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1</w:t>
            </w:r>
          </w:p>
        </w:tc>
        <w:tc>
          <w:tcPr>
            <w:tcW w:w="2736" w:type="dxa"/>
            <w:tcBorders>
              <w:top w:val="single" w:sz="8" w:space="0" w:color="000000"/>
              <w:left w:val="single" w:sz="4" w:space="0" w:color="000000"/>
              <w:bottom w:val="single" w:sz="4" w:space="0" w:color="000000"/>
              <w:right w:val="single" w:sz="4" w:space="0" w:color="000000"/>
            </w:tcBorders>
            <w:noWrap/>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项目单位</w:t>
            </w:r>
          </w:p>
        </w:tc>
        <w:tc>
          <w:tcPr>
            <w:tcW w:w="791" w:type="dxa"/>
            <w:tcBorders>
              <w:top w:val="single" w:sz="8" w:space="0" w:color="000000"/>
              <w:left w:val="single" w:sz="4" w:space="0" w:color="000000"/>
              <w:bottom w:val="single" w:sz="4" w:space="0" w:color="000000"/>
              <w:right w:val="single" w:sz="4" w:space="0" w:color="000000"/>
            </w:tcBorders>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遵化市供销合作社</w:t>
            </w:r>
          </w:p>
        </w:tc>
        <w:tc>
          <w:tcPr>
            <w:tcW w:w="930" w:type="dxa"/>
            <w:tcBorders>
              <w:top w:val="single" w:sz="8" w:space="0" w:color="000000"/>
              <w:left w:val="single" w:sz="4" w:space="0" w:color="000000"/>
              <w:bottom w:val="single" w:sz="4" w:space="0" w:color="000000"/>
              <w:right w:val="single" w:sz="4"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项目名称</w:t>
            </w:r>
          </w:p>
        </w:tc>
        <w:tc>
          <w:tcPr>
            <w:tcW w:w="4208" w:type="dxa"/>
            <w:gridSpan w:val="5"/>
            <w:tcBorders>
              <w:top w:val="single" w:sz="8" w:space="0" w:color="000000"/>
              <w:left w:val="single" w:sz="4" w:space="0" w:color="000000"/>
              <w:bottom w:val="single" w:sz="4" w:space="0" w:color="000000"/>
              <w:right w:val="single" w:sz="4" w:space="0" w:color="000000"/>
            </w:tcBorders>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改制五年等退人员医疗保险费</w:t>
            </w:r>
          </w:p>
        </w:tc>
      </w:tr>
      <w:tr>
        <w:trPr>
          <w:trHeight w:val="499"/>
        </w:trPr>
        <w:tc>
          <w:tcPr>
            <w:tcW w:w="396" w:type="dxa"/>
            <w:tcBorders>
              <w:top w:val="single" w:sz="4"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2</w:t>
            </w:r>
          </w:p>
        </w:tc>
        <w:tc>
          <w:tcPr>
            <w:tcW w:w="2736" w:type="dxa"/>
            <w:tcBorders>
              <w:top w:val="single" w:sz="4" w:space="0" w:color="000000"/>
              <w:left w:val="single" w:sz="4" w:space="0" w:color="000000"/>
              <w:bottom w:val="single" w:sz="4" w:space="0" w:color="000000"/>
              <w:right w:val="single" w:sz="4" w:space="0" w:color="000000"/>
            </w:tcBorders>
            <w:noWrap/>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项目预算金额（万元）</w:t>
            </w:r>
          </w:p>
        </w:tc>
        <w:tc>
          <w:tcPr>
            <w:tcW w:w="791" w:type="dxa"/>
            <w:tcBorders>
              <w:top w:val="single" w:sz="4" w:space="0" w:color="000000"/>
              <w:left w:val="single" w:sz="4" w:space="0" w:color="000000"/>
              <w:bottom w:val="single" w:sz="4" w:space="0" w:color="000000"/>
              <w:right w:val="single" w:sz="4" w:space="0" w:color="000000"/>
            </w:tcBorders>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59.80</w:t>
            </w:r>
          </w:p>
        </w:tc>
        <w:tc>
          <w:tcPr>
            <w:tcW w:w="930" w:type="dxa"/>
            <w:tcBorders>
              <w:top w:val="single" w:sz="4" w:space="0" w:color="000000"/>
              <w:left w:val="single" w:sz="4" w:space="0" w:color="000000"/>
              <w:bottom w:val="single" w:sz="4" w:space="0" w:color="000000"/>
              <w:right w:val="single" w:sz="4"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项目列支经济科目</w:t>
            </w:r>
          </w:p>
        </w:tc>
        <w:tc>
          <w:tcPr>
            <w:tcW w:w="4208" w:type="dxa"/>
            <w:gridSpan w:val="5"/>
            <w:tcBorders>
              <w:top w:val="single" w:sz="4" w:space="0" w:color="000000"/>
              <w:left w:val="single" w:sz="4" w:space="0" w:color="000000"/>
              <w:bottom w:val="single" w:sz="4" w:space="0" w:color="000000"/>
              <w:right w:val="single" w:sz="8" w:space="0" w:color="000000"/>
            </w:tcBorders>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医疗补助费用</w:t>
            </w:r>
          </w:p>
        </w:tc>
      </w:tr>
      <w:tr>
        <w:trPr>
          <w:trHeight w:val="1280"/>
        </w:trPr>
        <w:tc>
          <w:tcPr>
            <w:tcW w:w="396" w:type="dxa"/>
            <w:tcBorders>
              <w:top w:val="single" w:sz="4"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3</w:t>
            </w:r>
          </w:p>
        </w:tc>
        <w:tc>
          <w:tcPr>
            <w:tcW w:w="2736" w:type="dxa"/>
            <w:tcBorders>
              <w:top w:val="single" w:sz="4" w:space="0" w:color="000000"/>
              <w:left w:val="single" w:sz="4" w:space="0" w:color="000000"/>
              <w:bottom w:val="single" w:sz="4" w:space="0" w:color="000000"/>
              <w:right w:val="single" w:sz="4" w:space="0" w:color="000000"/>
            </w:tcBorders>
            <w:noWrap/>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项目概况</w:t>
            </w:r>
          </w:p>
        </w:tc>
        <w:tc>
          <w:tcPr>
            <w:tcW w:w="5929" w:type="dxa"/>
            <w:gridSpan w:val="7"/>
            <w:tcBorders>
              <w:top w:val="single" w:sz="4" w:space="0" w:color="000000"/>
              <w:left w:val="single" w:sz="4" w:space="0" w:color="000000"/>
              <w:bottom w:val="single" w:sz="4" w:space="0" w:color="000000"/>
              <w:right w:val="single" w:sz="8"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根据2015年3月31日遵化市政府批准的《遵化市财政局 遵化市人力资源和社会保障局 遵化市供销合作社关于市供销合作社系统改制涉及人员欠缴社会保险费有关情况的报告》精神，遵化市财政局给我社下发了的《关于全系统改制涉及人员欠缴社会保险费有关情况请示的答复》（遵财答复[2015]398号），其中涉及“3、对于221名等退人员等退期间2015年以后应缴医疗保险单位部分，为使职工享受医保待遇，按年核实后，据实缴纳。”（答复中第3条）“4、以上所需社会保险费纳入当年财政预算”，2015-2018年度我社此项开支已纳入了财政预算并按月进行了开支，另据2016年9月23日遵化市政府批准的《遵化市供销合作社关于为原市工业品公司退休职工陈贺缴纳医疗保险的请示》精神，遵化市财政局给我社下发了《关于为“原市工业品公司退休职工陈贺缴纳医疗保险”请示的答复》（遵财答复[2016]1740号），将应缴纳退休人员陈贺医疗保险自2017年1月起一并纳入此项。结合2017年度实际开支及每年计算基数增减变化情况，2018年度此项指标预算59.80万元</w:t>
            </w:r>
          </w:p>
        </w:tc>
      </w:tr>
      <w:tr>
        <w:trPr>
          <w:trHeight w:val="900"/>
        </w:trPr>
        <w:tc>
          <w:tcPr>
            <w:tcW w:w="396" w:type="dxa"/>
            <w:tcBorders>
              <w:top w:val="single" w:sz="4"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4</w:t>
            </w:r>
          </w:p>
        </w:tc>
        <w:tc>
          <w:tcPr>
            <w:tcW w:w="2736" w:type="dxa"/>
            <w:tcBorders>
              <w:top w:val="single" w:sz="4" w:space="0" w:color="000000"/>
              <w:left w:val="single" w:sz="4" w:space="0" w:color="000000"/>
              <w:bottom w:val="single" w:sz="4" w:space="0" w:color="000000"/>
              <w:right w:val="single" w:sz="4" w:space="0" w:color="000000"/>
            </w:tcBorders>
            <w:noWrap/>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项目申请依据</w:t>
            </w:r>
          </w:p>
        </w:tc>
        <w:tc>
          <w:tcPr>
            <w:tcW w:w="5929" w:type="dxa"/>
            <w:gridSpan w:val="7"/>
            <w:tcBorders>
              <w:top w:val="single" w:sz="4" w:space="0" w:color="000000"/>
              <w:left w:val="single" w:sz="4" w:space="0" w:color="000000"/>
              <w:bottom w:val="single" w:sz="4" w:space="0" w:color="000000"/>
              <w:right w:val="single" w:sz="8"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1）2015年3月31日遵化市政府批准的《遵化市财政局 遵化市人力资源和社会保障局 遵化市供销合作社关于市供销合作社系统改制涉及人员欠缴社会保险费有关情况的报告》；2）遵化市财政局给我社下发的《关于全系统改制涉及人员欠缴社会保险费有关情况请示的答复》（遵财答复[2015]398号）；3）2016年9月23日遵化市政府批准的《遵化市供销合作社关于为原市工业品公司退休职工陈贺缴纳医疗保险的请示》；4）遵化市财政局给我社下发的《关于为“原市工业品公司退休职工陈贺缴纳医疗保险”请示的答复》（遵财答复[2016]1740号）。</w:t>
            </w:r>
          </w:p>
        </w:tc>
      </w:tr>
      <w:tr>
        <w:trPr>
          <w:trHeight w:val="540"/>
        </w:trPr>
        <w:tc>
          <w:tcPr>
            <w:tcW w:w="396" w:type="dxa"/>
            <w:tcBorders>
              <w:top w:val="single" w:sz="4"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5</w:t>
            </w:r>
          </w:p>
        </w:tc>
        <w:tc>
          <w:tcPr>
            <w:tcW w:w="2736" w:type="dxa"/>
            <w:tcBorders>
              <w:top w:val="single" w:sz="4" w:space="0" w:color="000000"/>
              <w:left w:val="single" w:sz="4" w:space="0" w:color="000000"/>
              <w:bottom w:val="single" w:sz="4" w:space="0" w:color="000000"/>
              <w:right w:val="single" w:sz="4" w:space="0" w:color="000000"/>
            </w:tcBorders>
            <w:noWrap/>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项目实施计划</w:t>
            </w:r>
          </w:p>
        </w:tc>
        <w:tc>
          <w:tcPr>
            <w:tcW w:w="5929" w:type="dxa"/>
            <w:gridSpan w:val="7"/>
            <w:tcBorders>
              <w:top w:val="single" w:sz="4" w:space="0" w:color="000000"/>
              <w:left w:val="single" w:sz="4" w:space="0" w:color="000000"/>
              <w:bottom w:val="single" w:sz="4" w:space="0" w:color="000000"/>
              <w:right w:val="single" w:sz="4" w:space="0" w:color="000000"/>
            </w:tcBorders>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由本单位负责保险申报的专门人员，按月向遵化市医疗保险部门进行申报，并根据遵化市医疗保险部门每月核实确认的改制五年等退人员医疗保险费金额，按月由市财政集中收付中心拨付，据实缴纳改制五年等退人员医疗保险费。</w:t>
            </w:r>
          </w:p>
        </w:tc>
      </w:tr>
      <w:tr>
        <w:trPr>
          <w:trHeight w:val="360"/>
        </w:trPr>
        <w:tc>
          <w:tcPr>
            <w:tcW w:w="396" w:type="dxa"/>
            <w:tcBorders>
              <w:top w:val="single" w:sz="4"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6</w:t>
            </w:r>
          </w:p>
        </w:tc>
        <w:tc>
          <w:tcPr>
            <w:tcW w:w="2736"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资金支出计划（%）</w:t>
            </w:r>
          </w:p>
        </w:tc>
        <w:tc>
          <w:tcPr>
            <w:tcW w:w="791" w:type="dxa"/>
            <w:tcBorders>
              <w:top w:val="single" w:sz="4" w:space="0" w:color="000000"/>
              <w:left w:val="single" w:sz="4" w:space="0" w:color="000000"/>
              <w:bottom w:val="single" w:sz="4" w:space="0" w:color="000000"/>
              <w:right w:val="single" w:sz="4"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第一季度</w:t>
            </w:r>
          </w:p>
        </w:tc>
        <w:tc>
          <w:tcPr>
            <w:tcW w:w="930" w:type="dxa"/>
            <w:tcBorders>
              <w:top w:val="single" w:sz="4" w:space="0" w:color="000000"/>
              <w:left w:val="single" w:sz="4" w:space="0" w:color="000000"/>
              <w:bottom w:val="single" w:sz="4" w:space="0" w:color="000000"/>
              <w:right w:val="single" w:sz="4"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第二季度</w:t>
            </w:r>
          </w:p>
        </w:tc>
        <w:tc>
          <w:tcPr>
            <w:tcW w:w="2099" w:type="dxa"/>
            <w:gridSpan w:val="4"/>
            <w:tcBorders>
              <w:top w:val="single" w:sz="4" w:space="0" w:color="000000"/>
              <w:left w:val="single" w:sz="4" w:space="0" w:color="000000"/>
              <w:bottom w:val="single" w:sz="4" w:space="0" w:color="000000"/>
              <w:right w:val="single" w:sz="4"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第三季度</w:t>
            </w:r>
          </w:p>
        </w:tc>
        <w:tc>
          <w:tcPr>
            <w:tcW w:w="2109" w:type="dxa"/>
            <w:tcBorders>
              <w:top w:val="single" w:sz="4" w:space="0" w:color="000000"/>
              <w:left w:val="single" w:sz="4" w:space="0" w:color="000000"/>
              <w:bottom w:val="single" w:sz="4" w:space="0" w:color="000000"/>
              <w:right w:val="single" w:sz="8"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第四季度</w:t>
            </w:r>
          </w:p>
        </w:tc>
      </w:tr>
      <w:tr>
        <w:trPr>
          <w:trHeight w:val="420"/>
        </w:trPr>
        <w:tc>
          <w:tcPr>
            <w:tcW w:w="396" w:type="dxa"/>
            <w:tcBorders>
              <w:top w:val="single" w:sz="4"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7</w:t>
            </w:r>
          </w:p>
        </w:tc>
        <w:tc>
          <w:tcPr>
            <w:tcW w:w="2736" w:type="dxa"/>
            <w:vMerge/>
            <w:tcBorders>
              <w:top w:val="single" w:sz="4" w:space="0" w:color="000000"/>
              <w:left w:val="single" w:sz="4" w:space="0" w:color="000000"/>
              <w:bottom w:val="single" w:sz="4" w:space="0" w:color="000000"/>
              <w:right w:val="single" w:sz="4" w:space="0" w:color="000000"/>
            </w:tcBorders>
            <w:vAlign w:val="center"/>
          </w:tcPr>
          <w:p/>
        </w:tc>
        <w:tc>
          <w:tcPr>
            <w:tcW w:w="791" w:type="dxa"/>
            <w:tcBorders>
              <w:top w:val="single" w:sz="4" w:space="0" w:color="000000"/>
              <w:left w:val="single" w:sz="4" w:space="0" w:color="000000"/>
              <w:bottom w:val="single" w:sz="4" w:space="0" w:color="000000"/>
              <w:right w:val="single" w:sz="4" w:space="0" w:color="000000"/>
            </w:tcBorders>
            <w:noWrap/>
            <w:vAlign w:val="center"/>
          </w:tcPr>
          <w:p>
            <w:pPr>
              <w:widowControl/>
              <w:jc w:val="right"/>
              <w:rPr>
                <w:rFonts w:ascii="宋体" w:cs="宋体" w:hAnsi="宋体"/>
                <w:color w:val="000000"/>
                <w:kern w:val="0"/>
                <w:sz w:val="18"/>
                <w:szCs w:val="18"/>
              </w:rPr>
            </w:pPr>
            <w:r>
              <w:rPr>
                <w:rFonts w:ascii="宋体" w:cs="宋体" w:hAnsi="宋体" w:hint="eastAsia"/>
                <w:color w:val="000000"/>
                <w:kern w:val="0"/>
                <w:sz w:val="18"/>
                <w:szCs w:val="18"/>
              </w:rPr>
              <w:t>30.00</w:t>
            </w:r>
          </w:p>
        </w:tc>
        <w:tc>
          <w:tcPr>
            <w:tcW w:w="930" w:type="dxa"/>
            <w:tcBorders>
              <w:top w:val="single" w:sz="4" w:space="0" w:color="000000"/>
              <w:left w:val="single" w:sz="4" w:space="0" w:color="000000"/>
              <w:bottom w:val="single" w:sz="4" w:space="0" w:color="000000"/>
              <w:right w:val="single" w:sz="4" w:space="0" w:color="000000"/>
            </w:tcBorders>
            <w:noWrap/>
            <w:vAlign w:val="center"/>
          </w:tcPr>
          <w:p>
            <w:pPr>
              <w:widowControl/>
              <w:jc w:val="right"/>
              <w:rPr>
                <w:rFonts w:ascii="宋体" w:cs="宋体" w:hAnsi="宋体"/>
                <w:color w:val="000000"/>
                <w:kern w:val="0"/>
                <w:sz w:val="18"/>
                <w:szCs w:val="18"/>
              </w:rPr>
            </w:pPr>
            <w:r>
              <w:rPr>
                <w:rFonts w:ascii="宋体" w:cs="宋体" w:hAnsi="宋体" w:hint="eastAsia"/>
                <w:color w:val="000000"/>
                <w:kern w:val="0"/>
                <w:sz w:val="18"/>
                <w:szCs w:val="18"/>
              </w:rPr>
              <w:t>30.00</w:t>
            </w:r>
          </w:p>
        </w:tc>
        <w:tc>
          <w:tcPr>
            <w:tcW w:w="2099" w:type="dxa"/>
            <w:gridSpan w:val="4"/>
            <w:tcBorders>
              <w:top w:val="single" w:sz="4" w:space="0" w:color="000000"/>
              <w:left w:val="single" w:sz="4" w:space="0" w:color="000000"/>
              <w:bottom w:val="single" w:sz="4" w:space="0" w:color="000000"/>
              <w:right w:val="single" w:sz="4" w:space="0" w:color="000000"/>
            </w:tcBorders>
            <w:noWrap/>
            <w:vAlign w:val="center"/>
          </w:tcPr>
          <w:p>
            <w:pPr>
              <w:widowControl/>
              <w:jc w:val="right"/>
              <w:rPr>
                <w:rFonts w:ascii="宋体" w:cs="宋体" w:hAnsi="宋体"/>
                <w:color w:val="000000"/>
                <w:kern w:val="0"/>
                <w:sz w:val="18"/>
                <w:szCs w:val="18"/>
              </w:rPr>
            </w:pPr>
            <w:r>
              <w:rPr>
                <w:rFonts w:ascii="宋体" w:cs="宋体" w:hAnsi="宋体" w:hint="eastAsia"/>
                <w:color w:val="000000"/>
                <w:kern w:val="0"/>
                <w:sz w:val="18"/>
                <w:szCs w:val="18"/>
              </w:rPr>
              <w:t>30.00</w:t>
            </w:r>
          </w:p>
        </w:tc>
        <w:tc>
          <w:tcPr>
            <w:tcW w:w="2109" w:type="dxa"/>
            <w:tcBorders>
              <w:top w:val="single" w:sz="4" w:space="0" w:color="000000"/>
              <w:left w:val="single" w:sz="4" w:space="0" w:color="000000"/>
              <w:bottom w:val="single" w:sz="4" w:space="0" w:color="000000"/>
              <w:right w:val="single" w:sz="8" w:space="0" w:color="000000"/>
            </w:tcBorders>
            <w:noWrap/>
            <w:vAlign w:val="center"/>
          </w:tcPr>
          <w:p>
            <w:pPr>
              <w:widowControl/>
              <w:jc w:val="right"/>
              <w:rPr>
                <w:rFonts w:ascii="宋体" w:cs="宋体" w:hAnsi="宋体"/>
                <w:color w:val="000000"/>
                <w:kern w:val="0"/>
                <w:sz w:val="18"/>
                <w:szCs w:val="18"/>
              </w:rPr>
            </w:pPr>
            <w:r>
              <w:rPr>
                <w:rFonts w:ascii="宋体" w:cs="宋体" w:hAnsi="宋体" w:hint="eastAsia"/>
                <w:color w:val="000000"/>
                <w:kern w:val="0"/>
                <w:sz w:val="18"/>
                <w:szCs w:val="18"/>
              </w:rPr>
              <w:t>10.00</w:t>
            </w:r>
          </w:p>
        </w:tc>
      </w:tr>
      <w:tr>
        <w:trPr>
          <w:trHeight w:val="660"/>
        </w:trPr>
        <w:tc>
          <w:tcPr>
            <w:tcW w:w="396" w:type="dxa"/>
            <w:tcBorders>
              <w:top w:val="single" w:sz="4"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8</w:t>
            </w:r>
          </w:p>
        </w:tc>
        <w:tc>
          <w:tcPr>
            <w:tcW w:w="2736" w:type="dxa"/>
            <w:tcBorders>
              <w:top w:val="single" w:sz="4" w:space="0" w:color="000000"/>
              <w:left w:val="single" w:sz="4" w:space="0" w:color="000000"/>
              <w:bottom w:val="single" w:sz="4" w:space="0" w:color="000000"/>
              <w:right w:val="single" w:sz="4" w:space="0" w:color="000000"/>
            </w:tcBorders>
            <w:noWrap/>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绩效目标</w:t>
            </w:r>
          </w:p>
        </w:tc>
        <w:tc>
          <w:tcPr>
            <w:tcW w:w="5929" w:type="dxa"/>
            <w:gridSpan w:val="7"/>
            <w:tcBorders>
              <w:top w:val="single" w:sz="4" w:space="0" w:color="000000"/>
              <w:left w:val="single" w:sz="4" w:space="0" w:color="000000"/>
              <w:bottom w:val="single" w:sz="4" w:space="0" w:color="000000"/>
              <w:right w:val="single" w:sz="4" w:space="0" w:color="000000"/>
            </w:tcBorders>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根据每月遵化市医疗保险部门核实确认的改制五年等退人员医疗保险费金额，按月拨付据实缴纳，做到缴费及时、不拖欠、确保全部改制五年等退人员按时享受到医疗保险待遇，达到改制等退人员满意。</w:t>
            </w:r>
          </w:p>
        </w:tc>
      </w:tr>
      <w:tr>
        <w:trPr>
          <w:trHeight w:val="420"/>
        </w:trPr>
        <w:tc>
          <w:tcPr>
            <w:tcW w:w="396" w:type="dxa"/>
            <w:tcBorders>
              <w:top w:val="single" w:sz="4"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9</w:t>
            </w:r>
          </w:p>
        </w:tc>
        <w:tc>
          <w:tcPr>
            <w:tcW w:w="2736" w:type="dxa"/>
            <w:vMerge w:val="restart"/>
            <w:tcBorders>
              <w:top w:val="single" w:sz="4" w:space="0" w:color="000000"/>
              <w:left w:val="single" w:sz="4" w:space="0" w:color="000000"/>
              <w:bottom w:val="single" w:sz="4" w:space="0" w:color="000000"/>
              <w:right w:val="single" w:sz="4" w:space="0" w:color="000000"/>
            </w:tcBorders>
            <w:noWrap/>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绩效指标</w:t>
              <w:br/>
              <w:t>分类</w:t>
            </w:r>
          </w:p>
        </w:tc>
        <w:tc>
          <w:tcPr>
            <w:tcW w:w="791" w:type="dxa"/>
            <w:vMerge w:val="restart"/>
            <w:tcBorders>
              <w:top w:val="single" w:sz="4" w:space="0" w:color="000000"/>
              <w:left w:val="single" w:sz="4" w:space="0" w:color="000000"/>
              <w:bottom w:val="single" w:sz="4" w:space="0" w:color="000000"/>
              <w:right w:val="single" w:sz="4"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绩效指标</w:t>
            </w:r>
          </w:p>
        </w:tc>
        <w:tc>
          <w:tcPr>
            <w:tcW w:w="930" w:type="dxa"/>
            <w:vMerge w:val="restart"/>
            <w:tcBorders>
              <w:top w:val="single" w:sz="4" w:space="0" w:color="000000"/>
              <w:left w:val="single" w:sz="4" w:space="0" w:color="000000"/>
              <w:bottom w:val="single" w:sz="4" w:space="0" w:color="000000"/>
              <w:right w:val="single" w:sz="4"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绩效指标描述</w:t>
            </w:r>
          </w:p>
        </w:tc>
        <w:tc>
          <w:tcPr>
            <w:tcW w:w="2099" w:type="dxa"/>
            <w:gridSpan w:val="4"/>
            <w:tcBorders>
              <w:top w:val="single" w:sz="4" w:space="0" w:color="000000"/>
              <w:left w:val="single" w:sz="4" w:space="0" w:color="000000"/>
              <w:bottom w:val="single" w:sz="4" w:space="0" w:color="000000"/>
              <w:right w:val="single" w:sz="4"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绩效指标评价标准</w:t>
            </w:r>
          </w:p>
        </w:tc>
        <w:tc>
          <w:tcPr>
            <w:tcW w:w="2109" w:type="dxa"/>
            <w:vMerge w:val="restart"/>
            <w:tcBorders>
              <w:top w:val="single" w:sz="4" w:space="0" w:color="000000"/>
              <w:left w:val="single" w:sz="4" w:space="0" w:color="000000"/>
              <w:bottom w:val="single" w:sz="4" w:space="0" w:color="000000"/>
              <w:right w:val="single" w:sz="8"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评价标准确定依据</w:t>
            </w:r>
          </w:p>
        </w:tc>
      </w:tr>
      <w:tr>
        <w:trPr>
          <w:trHeight w:val="340"/>
        </w:trPr>
        <w:tc>
          <w:tcPr>
            <w:tcW w:w="396" w:type="dxa"/>
            <w:tcBorders>
              <w:top w:val="single" w:sz="4"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10</w:t>
            </w:r>
          </w:p>
        </w:tc>
        <w:tc>
          <w:tcPr>
            <w:tcW w:w="2736" w:type="dxa"/>
            <w:vMerge/>
            <w:tcBorders>
              <w:top w:val="single" w:sz="4" w:space="0" w:color="000000"/>
              <w:left w:val="single" w:sz="4" w:space="0" w:color="000000"/>
              <w:bottom w:val="single" w:sz="4" w:space="0" w:color="000000"/>
              <w:right w:val="single" w:sz="4" w:space="0" w:color="000000"/>
            </w:tcBorders>
            <w:vAlign w:val="center"/>
          </w:tcPr>
          <w:p/>
        </w:tc>
        <w:tc>
          <w:tcPr>
            <w:tcW w:w="791" w:type="dxa"/>
            <w:vMerge/>
            <w:tcBorders>
              <w:top w:val="single" w:sz="4" w:space="0" w:color="000000"/>
              <w:left w:val="single" w:sz="4" w:space="0" w:color="000000"/>
              <w:bottom w:val="single" w:sz="4" w:space="0" w:color="000000"/>
              <w:right w:val="single" w:sz="4" w:space="0" w:color="000000"/>
            </w:tcBorders>
            <w:vAlign w:val="center"/>
          </w:tcPr>
          <w:p/>
        </w:tc>
        <w:tc>
          <w:tcPr>
            <w:tcW w:w="930" w:type="dxa"/>
            <w:vMerge/>
            <w:tcBorders>
              <w:top w:val="single" w:sz="4" w:space="0" w:color="000000"/>
              <w:left w:val="single" w:sz="4" w:space="0" w:color="000000"/>
              <w:bottom w:val="single" w:sz="4" w:space="0" w:color="000000"/>
              <w:right w:val="single" w:sz="4" w:space="0" w:color="000000"/>
            </w:tcBorders>
            <w:vAlign w:val="center"/>
          </w:tcPr>
          <w:p/>
        </w:tc>
        <w:tc>
          <w:tcPr>
            <w:tcW w:w="581" w:type="dxa"/>
            <w:tcBorders>
              <w:top w:val="single" w:sz="4" w:space="0" w:color="000000"/>
              <w:left w:val="single" w:sz="4" w:space="0" w:color="000000"/>
              <w:bottom w:val="single" w:sz="4" w:space="0" w:color="000000"/>
              <w:right w:val="single" w:sz="4"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优</w:t>
            </w:r>
          </w:p>
        </w:tc>
        <w:tc>
          <w:tcPr>
            <w:tcW w:w="506" w:type="dxa"/>
            <w:tcBorders>
              <w:top w:val="single" w:sz="4" w:space="0" w:color="000000"/>
              <w:left w:val="single" w:sz="4" w:space="0" w:color="000000"/>
              <w:bottom w:val="single" w:sz="4" w:space="0" w:color="000000"/>
              <w:right w:val="single" w:sz="4"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良</w:t>
            </w:r>
          </w:p>
        </w:tc>
        <w:tc>
          <w:tcPr>
            <w:tcW w:w="506" w:type="dxa"/>
            <w:tcBorders>
              <w:top w:val="single" w:sz="4" w:space="0" w:color="000000"/>
              <w:left w:val="single" w:sz="4" w:space="0" w:color="000000"/>
              <w:bottom w:val="single" w:sz="4" w:space="0" w:color="000000"/>
              <w:right w:val="single" w:sz="4"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中</w:t>
            </w:r>
          </w:p>
        </w:tc>
        <w:tc>
          <w:tcPr>
            <w:tcW w:w="506" w:type="dxa"/>
            <w:tcBorders>
              <w:top w:val="single" w:sz="4" w:space="0" w:color="000000"/>
              <w:left w:val="single" w:sz="4" w:space="0" w:color="000000"/>
              <w:bottom w:val="single" w:sz="4" w:space="0" w:color="000000"/>
              <w:right w:val="single" w:sz="4" w:space="0" w:color="000000"/>
            </w:tcBorders>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差</w:t>
            </w:r>
          </w:p>
        </w:tc>
        <w:tc>
          <w:tcPr>
            <w:tcW w:w="2109" w:type="dxa"/>
            <w:vMerge/>
            <w:tcBorders>
              <w:top w:val="single" w:sz="4" w:space="0" w:color="000000"/>
              <w:left w:val="single" w:sz="4" w:space="0" w:color="000000"/>
              <w:bottom w:val="single" w:sz="4" w:space="0" w:color="000000"/>
              <w:right w:val="single" w:sz="8" w:space="0" w:color="000000"/>
            </w:tcBorders>
            <w:vAlign w:val="center"/>
          </w:tcPr>
          <w:p/>
        </w:tc>
      </w:tr>
      <w:tr>
        <w:trPr>
          <w:trHeight w:val="1280"/>
        </w:trPr>
        <w:tc>
          <w:tcPr>
            <w:tcW w:w="396" w:type="dxa"/>
            <w:tcBorders>
              <w:top w:val="single" w:sz="4"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11</w:t>
            </w:r>
          </w:p>
        </w:tc>
        <w:tc>
          <w:tcPr>
            <w:tcW w:w="2736" w:type="dxa"/>
            <w:vMerge w:val="restart"/>
            <w:tcBorders>
              <w:top w:val="single" w:sz="4" w:space="0" w:color="000000"/>
              <w:left w:val="single" w:sz="4" w:space="0" w:color="000000"/>
              <w:bottom w:val="nil"/>
              <w:right w:val="single" w:sz="4" w:space="0" w:color="000000"/>
            </w:tcBorders>
            <w:noWrap/>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产出指标</w:t>
            </w:r>
          </w:p>
        </w:tc>
        <w:tc>
          <w:tcPr>
            <w:tcW w:w="791"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补助覆盖率（%）</w:t>
            </w:r>
          </w:p>
        </w:tc>
        <w:tc>
          <w:tcPr>
            <w:tcW w:w="93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已补助人数占应补助人群的比例</w:t>
            </w:r>
          </w:p>
        </w:tc>
        <w:tc>
          <w:tcPr>
            <w:tcW w:w="581"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100%</w:t>
            </w:r>
          </w:p>
        </w:tc>
        <w:tc>
          <w:tcPr>
            <w:tcW w:w="506"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≥80%</w:t>
            </w:r>
          </w:p>
        </w:tc>
        <w:tc>
          <w:tcPr>
            <w:tcW w:w="506"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≥60%</w:t>
            </w:r>
          </w:p>
        </w:tc>
        <w:tc>
          <w:tcPr>
            <w:tcW w:w="506"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＜60%</w:t>
            </w:r>
          </w:p>
        </w:tc>
        <w:tc>
          <w:tcPr>
            <w:tcW w:w="2109" w:type="dxa"/>
            <w:tcBorders>
              <w:top w:val="single" w:sz="4" w:space="0" w:color="000000"/>
              <w:left w:val="single" w:sz="4" w:space="0" w:color="000000"/>
              <w:bottom w:val="single" w:sz="4" w:space="0" w:color="000000"/>
              <w:right w:val="single" w:sz="8"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据2015年市政府批准的请示及市财政局《关于全系统改制涉及人员欠缴社会保险费有关情况请示的答复》（遵财答复[2015]398号）《关于为“原市工业品公司退休职工陈贺缴纳医疗保险”请示的答复》（遵财答复[2016]1740号）</w:t>
            </w:r>
          </w:p>
        </w:tc>
      </w:tr>
      <w:tr>
        <w:trPr>
          <w:trHeight w:val="1200"/>
        </w:trPr>
        <w:tc>
          <w:tcPr>
            <w:tcW w:w="396" w:type="dxa"/>
            <w:tcBorders>
              <w:top w:val="single" w:sz="4"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12</w:t>
            </w:r>
          </w:p>
        </w:tc>
        <w:tc>
          <w:tcPr>
            <w:tcW w:w="2736" w:type="dxa"/>
            <w:vMerge/>
            <w:tcBorders>
              <w:top w:val="single" w:sz="4" w:space="0" w:color="000000"/>
              <w:left w:val="single" w:sz="4" w:space="0" w:color="000000"/>
              <w:bottom w:val="nil"/>
              <w:right w:val="single" w:sz="4" w:space="0" w:color="000000"/>
            </w:tcBorders>
            <w:vAlign w:val="center"/>
          </w:tcPr>
          <w:p/>
        </w:tc>
        <w:tc>
          <w:tcPr>
            <w:tcW w:w="791"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补助个人（家庭）数量（人/户）</w:t>
            </w:r>
          </w:p>
        </w:tc>
        <w:tc>
          <w:tcPr>
            <w:tcW w:w="93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补助的人数或户数</w:t>
            </w:r>
          </w:p>
        </w:tc>
        <w:tc>
          <w:tcPr>
            <w:tcW w:w="581"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93人</w:t>
            </w:r>
          </w:p>
        </w:tc>
        <w:tc>
          <w:tcPr>
            <w:tcW w:w="506"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≥75人</w:t>
            </w:r>
          </w:p>
        </w:tc>
        <w:tc>
          <w:tcPr>
            <w:tcW w:w="506"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≥55人</w:t>
            </w:r>
          </w:p>
        </w:tc>
        <w:tc>
          <w:tcPr>
            <w:tcW w:w="506"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＜55人</w:t>
            </w:r>
          </w:p>
        </w:tc>
        <w:tc>
          <w:tcPr>
            <w:tcW w:w="2109" w:type="dxa"/>
            <w:tcBorders>
              <w:top w:val="single" w:sz="4" w:space="0" w:color="000000"/>
              <w:left w:val="single" w:sz="4" w:space="0" w:color="000000"/>
              <w:bottom w:val="single" w:sz="4" w:space="0" w:color="000000"/>
              <w:right w:val="single" w:sz="8"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据2015年市政府批准的请示及市财政局《关于全系统改制涉及人员欠缴社会保险费有关情况请示的答复》（遵财答复[2015]398号）《关于为“原市工业品公司退休职工陈贺缴纳医疗保险”请示的答复》（遵财答复[2016]1740号）</w:t>
            </w:r>
          </w:p>
        </w:tc>
      </w:tr>
      <w:tr>
        <w:trPr>
          <w:trHeight w:val="1200"/>
        </w:trPr>
        <w:tc>
          <w:tcPr>
            <w:tcW w:w="396" w:type="dxa"/>
            <w:tcBorders>
              <w:top w:val="single" w:sz="4"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13</w:t>
            </w:r>
          </w:p>
        </w:tc>
        <w:tc>
          <w:tcPr>
            <w:tcW w:w="2736" w:type="dxa"/>
            <w:vMerge w:val="restart"/>
            <w:tcBorders>
              <w:top w:val="single" w:sz="4" w:space="0" w:color="000000"/>
              <w:left w:val="single" w:sz="4" w:space="0" w:color="000000"/>
              <w:bottom w:val="single" w:sz="8" w:space="0" w:color="000000"/>
              <w:right w:val="single" w:sz="4" w:space="0" w:color="000000"/>
            </w:tcBorders>
            <w:noWrap/>
            <w:vAlign w:val="center"/>
          </w:tcPr>
          <w:p>
            <w:pPr>
              <w:widowControl/>
              <w:jc w:val="center"/>
              <w:rPr>
                <w:rFonts w:ascii="宋体" w:cs="宋体" w:hAnsi="宋体"/>
                <w:b/>
                <w:bCs/>
                <w:color w:val="000000"/>
                <w:kern w:val="0"/>
                <w:sz w:val="18"/>
                <w:szCs w:val="18"/>
              </w:rPr>
            </w:pPr>
            <w:r>
              <w:rPr>
                <w:rFonts w:ascii="宋体" w:cs="宋体" w:hAnsi="宋体" w:hint="eastAsia"/>
                <w:b/>
                <w:bCs/>
                <w:color w:val="000000"/>
                <w:kern w:val="0"/>
                <w:sz w:val="18"/>
                <w:szCs w:val="18"/>
              </w:rPr>
              <w:t>效果指标</w:t>
            </w:r>
          </w:p>
        </w:tc>
        <w:tc>
          <w:tcPr>
            <w:tcW w:w="791"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受益对象满意度（%）</w:t>
            </w:r>
          </w:p>
        </w:tc>
        <w:tc>
          <w:tcPr>
            <w:tcW w:w="930"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通过问卷调查，满意和较满意的受益对象占全部调研对象的比例</w:t>
            </w:r>
          </w:p>
        </w:tc>
        <w:tc>
          <w:tcPr>
            <w:tcW w:w="581"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100%</w:t>
            </w:r>
          </w:p>
        </w:tc>
        <w:tc>
          <w:tcPr>
            <w:tcW w:w="506"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≥80%</w:t>
            </w:r>
          </w:p>
        </w:tc>
        <w:tc>
          <w:tcPr>
            <w:tcW w:w="506"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≥60%</w:t>
            </w:r>
          </w:p>
        </w:tc>
        <w:tc>
          <w:tcPr>
            <w:tcW w:w="506" w:type="dxa"/>
            <w:tcBorders>
              <w:top w:val="single" w:sz="4" w:space="0" w:color="000000"/>
              <w:left w:val="single" w:sz="4" w:space="0" w:color="000000"/>
              <w:bottom w:val="single" w:sz="4"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＜60%</w:t>
            </w:r>
          </w:p>
        </w:tc>
        <w:tc>
          <w:tcPr>
            <w:tcW w:w="2109" w:type="dxa"/>
            <w:tcBorders>
              <w:top w:val="single" w:sz="4" w:space="0" w:color="000000"/>
              <w:left w:val="single" w:sz="4" w:space="0" w:color="000000"/>
              <w:bottom w:val="single" w:sz="4" w:space="0" w:color="000000"/>
              <w:right w:val="single" w:sz="8"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据2015年市政府批准的请示及市财政局《关于全系统改制涉及人员欠缴社会保险费有关情况请示的答复》（遵财答复[2015]398号）《关于为“原市工业品公司退休职工陈贺缴纳医疗保险”请示的答复》（遵财答复[2016]1740号）</w:t>
            </w:r>
          </w:p>
        </w:tc>
      </w:tr>
      <w:tr>
        <w:trPr>
          <w:trHeight w:val="1300"/>
        </w:trPr>
        <w:tc>
          <w:tcPr>
            <w:tcW w:w="396" w:type="dxa"/>
            <w:tcBorders>
              <w:top w:val="single" w:sz="4" w:space="0" w:color="000000"/>
              <w:left w:val="single" w:sz="8" w:space="0" w:color="000000"/>
              <w:bottom w:val="single" w:sz="4" w:space="0" w:color="000000"/>
              <w:right w:val="single" w:sz="4" w:space="0" w:color="000000"/>
            </w:tcBorders>
            <w:noWrap/>
            <w:vAlign w:val="center"/>
          </w:tcPr>
          <w:p>
            <w:pPr>
              <w:widowControl/>
              <w:jc w:val="center"/>
              <w:rPr>
                <w:rFonts w:ascii="宋体" w:cs="宋体" w:hAnsi="宋体"/>
                <w:color w:val="000000"/>
                <w:kern w:val="0"/>
                <w:sz w:val="18"/>
                <w:szCs w:val="18"/>
              </w:rPr>
            </w:pPr>
            <w:r>
              <w:rPr>
                <w:rFonts w:ascii="宋体" w:cs="宋体" w:hAnsi="宋体" w:hint="eastAsia"/>
                <w:color w:val="000000"/>
                <w:kern w:val="0"/>
                <w:sz w:val="18"/>
                <w:szCs w:val="18"/>
              </w:rPr>
              <w:t>14</w:t>
            </w:r>
          </w:p>
        </w:tc>
        <w:tc>
          <w:tcPr>
            <w:tcW w:w="2736" w:type="dxa"/>
            <w:vMerge/>
            <w:tcBorders>
              <w:top w:val="single" w:sz="4" w:space="0" w:color="000000"/>
              <w:left w:val="single" w:sz="4" w:space="0" w:color="000000"/>
              <w:bottom w:val="single" w:sz="8" w:space="0" w:color="000000"/>
              <w:right w:val="single" w:sz="4" w:space="0" w:color="000000"/>
            </w:tcBorders>
            <w:vAlign w:val="center"/>
          </w:tcPr>
          <w:p/>
        </w:tc>
        <w:tc>
          <w:tcPr>
            <w:tcW w:w="791" w:type="dxa"/>
            <w:tcBorders>
              <w:top w:val="single" w:sz="4" w:space="0" w:color="000000"/>
              <w:left w:val="single" w:sz="4" w:space="0" w:color="000000"/>
              <w:bottom w:val="single" w:sz="8"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补助人群生活改善习惯情况</w:t>
            </w:r>
          </w:p>
        </w:tc>
        <w:tc>
          <w:tcPr>
            <w:tcW w:w="930" w:type="dxa"/>
            <w:tcBorders>
              <w:top w:val="single" w:sz="4" w:space="0" w:color="000000"/>
              <w:left w:val="single" w:sz="4" w:space="0" w:color="000000"/>
              <w:bottom w:val="single" w:sz="8"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补助人群在生活、医疗、护理、教育等方面的改善情况</w:t>
            </w:r>
          </w:p>
        </w:tc>
        <w:tc>
          <w:tcPr>
            <w:tcW w:w="581" w:type="dxa"/>
            <w:tcBorders>
              <w:top w:val="single" w:sz="4" w:space="0" w:color="000000"/>
              <w:left w:val="single" w:sz="4" w:space="0" w:color="000000"/>
              <w:bottom w:val="single" w:sz="8"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100%</w:t>
            </w:r>
          </w:p>
        </w:tc>
        <w:tc>
          <w:tcPr>
            <w:tcW w:w="506" w:type="dxa"/>
            <w:tcBorders>
              <w:top w:val="single" w:sz="4" w:space="0" w:color="000000"/>
              <w:left w:val="single" w:sz="4" w:space="0" w:color="000000"/>
              <w:bottom w:val="single" w:sz="8"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≥80%</w:t>
            </w:r>
          </w:p>
        </w:tc>
        <w:tc>
          <w:tcPr>
            <w:tcW w:w="506" w:type="dxa"/>
            <w:tcBorders>
              <w:top w:val="single" w:sz="4" w:space="0" w:color="000000"/>
              <w:left w:val="single" w:sz="4" w:space="0" w:color="000000"/>
              <w:bottom w:val="single" w:sz="8"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≥60%</w:t>
            </w:r>
          </w:p>
        </w:tc>
        <w:tc>
          <w:tcPr>
            <w:tcW w:w="506" w:type="dxa"/>
            <w:tcBorders>
              <w:top w:val="single" w:sz="4" w:space="0" w:color="000000"/>
              <w:left w:val="single" w:sz="4" w:space="0" w:color="000000"/>
              <w:bottom w:val="single" w:sz="8" w:space="0" w:color="000000"/>
              <w:right w:val="single" w:sz="4"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＜60%</w:t>
            </w:r>
          </w:p>
        </w:tc>
        <w:tc>
          <w:tcPr>
            <w:tcW w:w="2109" w:type="dxa"/>
            <w:tcBorders>
              <w:top w:val="single" w:sz="4" w:space="0" w:color="000000"/>
              <w:left w:val="single" w:sz="4" w:space="0" w:color="000000"/>
              <w:bottom w:val="single" w:sz="8" w:space="0" w:color="000000"/>
              <w:right w:val="single" w:sz="8" w:space="0" w:color="000000"/>
            </w:tcBorders>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据2015年市政府批准的请示及市财政局《关于全系统改制涉及人员欠缴社会保险费有关情况请示的答复》（遵财答复[2015]398号）《关于为“原市工业品公司退休职工陈贺缴纳医疗保险”请示的答复》（遵财答复[2016]1740号）</w:t>
            </w:r>
          </w:p>
        </w:tc>
      </w:tr>
      <w:tr>
        <w:trPr>
          <w:trHeight w:val="510"/>
        </w:trPr>
        <w:tc>
          <w:tcPr>
            <w:tcW w:w="396" w:type="dxa"/>
            <w:tcBorders>
              <w:top w:val="nil"/>
              <w:left w:val="nil"/>
              <w:bottom w:val="nil"/>
              <w:right w:val="nil"/>
            </w:tcBorders>
            <w:noWrap/>
            <w:vAlign w:val="center"/>
          </w:tcPr>
          <w:p>
            <w:pPr>
              <w:widowControl/>
              <w:jc w:val="left"/>
              <w:rPr>
                <w:rFonts w:ascii="宋体" w:cs="宋体" w:hAnsi="宋体"/>
                <w:color w:val="000000"/>
                <w:kern w:val="0"/>
                <w:sz w:val="18"/>
                <w:szCs w:val="18"/>
              </w:rPr>
            </w:pPr>
          </w:p>
        </w:tc>
        <w:tc>
          <w:tcPr>
            <w:tcW w:w="2736" w:type="dxa"/>
            <w:tcBorders>
              <w:top w:val="nil"/>
              <w:left w:val="nil"/>
              <w:bottom w:val="nil"/>
              <w:right w:val="nil"/>
            </w:tcBorders>
            <w:noWrap/>
            <w:vAlign w:val="center"/>
          </w:tcPr>
          <w:p>
            <w:pPr>
              <w:widowControl/>
              <w:jc w:val="left"/>
              <w:rPr>
                <w:rFonts w:ascii="宋体" w:cs="宋体" w:hAnsi="宋体"/>
                <w:color w:val="000000"/>
                <w:kern w:val="0"/>
                <w:sz w:val="18"/>
                <w:szCs w:val="18"/>
              </w:rPr>
            </w:pPr>
            <w:r>
              <w:rPr>
                <w:rFonts w:ascii="宋体" w:cs="宋体" w:hAnsi="宋体" w:hint="eastAsia"/>
                <w:color w:val="000000"/>
                <w:kern w:val="0"/>
                <w:sz w:val="18"/>
                <w:szCs w:val="18"/>
              </w:rPr>
              <w:t>注：随项目一同上报主管科室。</w:t>
            </w:r>
          </w:p>
        </w:tc>
        <w:tc>
          <w:tcPr>
            <w:tcW w:w="791" w:type="dxa"/>
            <w:tcBorders>
              <w:top w:val="nil"/>
              <w:left w:val="nil"/>
              <w:bottom w:val="nil"/>
              <w:right w:val="nil"/>
            </w:tcBorders>
            <w:noWrap/>
            <w:vAlign w:val="center"/>
          </w:tcPr>
          <w:p>
            <w:pPr>
              <w:widowControl/>
              <w:jc w:val="left"/>
              <w:rPr>
                <w:rFonts w:ascii="宋体" w:cs="宋体" w:hAnsi="宋体"/>
                <w:color w:val="000000"/>
                <w:kern w:val="0"/>
                <w:sz w:val="18"/>
                <w:szCs w:val="18"/>
              </w:rPr>
            </w:pPr>
          </w:p>
        </w:tc>
        <w:tc>
          <w:tcPr>
            <w:tcW w:w="930" w:type="dxa"/>
            <w:tcBorders>
              <w:top w:val="nil"/>
              <w:left w:val="nil"/>
              <w:bottom w:val="nil"/>
              <w:right w:val="nil"/>
            </w:tcBorders>
            <w:noWrap/>
            <w:vAlign w:val="center"/>
          </w:tcPr>
          <w:p>
            <w:pPr>
              <w:widowControl/>
              <w:jc w:val="left"/>
              <w:rPr>
                <w:rFonts w:ascii="宋体" w:cs="宋体" w:hAnsi="宋体"/>
                <w:color w:val="000000"/>
                <w:kern w:val="0"/>
                <w:sz w:val="18"/>
                <w:szCs w:val="18"/>
              </w:rPr>
            </w:pPr>
          </w:p>
        </w:tc>
        <w:tc>
          <w:tcPr>
            <w:tcW w:w="581" w:type="dxa"/>
            <w:tcBorders>
              <w:top w:val="nil"/>
              <w:left w:val="nil"/>
              <w:bottom w:val="nil"/>
              <w:right w:val="nil"/>
            </w:tcBorders>
            <w:noWrap/>
            <w:vAlign w:val="center"/>
          </w:tcPr>
          <w:p>
            <w:pPr>
              <w:widowControl/>
              <w:jc w:val="left"/>
              <w:rPr>
                <w:rFonts w:ascii="宋体" w:cs="宋体" w:hAnsi="宋体"/>
                <w:color w:val="000000"/>
                <w:kern w:val="0"/>
                <w:sz w:val="18"/>
                <w:szCs w:val="18"/>
              </w:rPr>
            </w:pPr>
          </w:p>
        </w:tc>
        <w:tc>
          <w:tcPr>
            <w:tcW w:w="506" w:type="dxa"/>
            <w:tcBorders>
              <w:top w:val="nil"/>
              <w:left w:val="nil"/>
              <w:bottom w:val="nil"/>
              <w:right w:val="nil"/>
            </w:tcBorders>
            <w:noWrap/>
            <w:vAlign w:val="center"/>
          </w:tcPr>
          <w:p>
            <w:pPr>
              <w:widowControl/>
              <w:jc w:val="left"/>
              <w:rPr>
                <w:rFonts w:ascii="宋体" w:cs="宋体" w:hAnsi="宋体"/>
                <w:color w:val="000000"/>
                <w:kern w:val="0"/>
                <w:sz w:val="18"/>
                <w:szCs w:val="18"/>
              </w:rPr>
            </w:pPr>
          </w:p>
        </w:tc>
        <w:tc>
          <w:tcPr>
            <w:tcW w:w="506" w:type="dxa"/>
            <w:tcBorders>
              <w:top w:val="nil"/>
              <w:left w:val="nil"/>
              <w:bottom w:val="nil"/>
              <w:right w:val="nil"/>
            </w:tcBorders>
            <w:noWrap/>
            <w:vAlign w:val="center"/>
          </w:tcPr>
          <w:p>
            <w:pPr>
              <w:widowControl/>
              <w:jc w:val="left"/>
              <w:rPr>
                <w:rFonts w:ascii="宋体" w:cs="宋体" w:hAnsi="宋体"/>
                <w:color w:val="000000"/>
                <w:kern w:val="0"/>
                <w:sz w:val="18"/>
                <w:szCs w:val="18"/>
              </w:rPr>
            </w:pPr>
          </w:p>
        </w:tc>
        <w:tc>
          <w:tcPr>
            <w:tcW w:w="506" w:type="dxa"/>
            <w:tcBorders>
              <w:top w:val="nil"/>
              <w:left w:val="nil"/>
              <w:bottom w:val="nil"/>
              <w:right w:val="nil"/>
            </w:tcBorders>
            <w:noWrap/>
            <w:vAlign w:val="center"/>
          </w:tcPr>
          <w:p>
            <w:pPr>
              <w:widowControl/>
              <w:jc w:val="left"/>
              <w:rPr>
                <w:rFonts w:ascii="宋体" w:cs="宋体" w:hAnsi="宋体"/>
                <w:color w:val="000000"/>
                <w:kern w:val="0"/>
                <w:sz w:val="18"/>
                <w:szCs w:val="18"/>
              </w:rPr>
            </w:pPr>
          </w:p>
        </w:tc>
        <w:tc>
          <w:tcPr>
            <w:tcW w:w="2109" w:type="dxa"/>
            <w:tcBorders>
              <w:top w:val="nil"/>
              <w:left w:val="nil"/>
              <w:bottom w:val="nil"/>
              <w:right w:val="nil"/>
            </w:tcBorders>
            <w:noWrap/>
            <w:vAlign w:val="center"/>
          </w:tcPr>
          <w:p>
            <w:pPr>
              <w:widowControl/>
              <w:jc w:val="left"/>
              <w:rPr>
                <w:rFonts w:ascii="宋体" w:cs="宋体" w:hAnsi="宋体"/>
                <w:color w:val="000000"/>
                <w:kern w:val="0"/>
                <w:sz w:val="18"/>
                <w:szCs w:val="18"/>
              </w:rPr>
            </w:pPr>
          </w:p>
        </w:tc>
      </w:tr>
    </w:tbl>
    <w:p>
      <w:pPr>
        <w:rPr>
          <w:rFonts w:ascii="宋体" w:hAnsi="宋体" w:hint="eastAsia"/>
          <w:sz w:val="28"/>
          <w:szCs w:val="28"/>
        </w:rPr>
      </w:pPr>
    </w:p>
    <w:p>
      <w:pPr>
        <w:ind w:firstLineChars="200" w:firstLine="560"/>
        <w:rPr>
          <w:rFonts w:ascii="宋体" w:hAnsi="宋体" w:hint="eastAsia"/>
          <w:sz w:val="28"/>
          <w:szCs w:val="28"/>
        </w:rPr>
      </w:pPr>
      <w:r>
        <w:rPr>
          <w:rFonts w:ascii="宋体" w:hAnsi="宋体" w:hint="eastAsia"/>
          <w:sz w:val="28"/>
          <w:szCs w:val="28"/>
        </w:rPr>
        <w:t>附件2：</w:t>
      </w:r>
    </w:p>
    <w:p>
      <w:pPr>
        <w:jc w:val="center"/>
        <w:rPr>
          <w:rFonts w:ascii="宋体" w:hAnsi="宋体"/>
          <w:sz w:val="44"/>
          <w:szCs w:val="44"/>
        </w:rPr>
      </w:pPr>
      <w:r>
        <w:rPr>
          <w:rFonts w:ascii="宋体" w:hAnsi="宋体" w:hint="eastAsia"/>
          <w:sz w:val="44"/>
          <w:szCs w:val="44"/>
        </w:rPr>
        <w:t>遵化市供销合作社部门职责</w:t>
      </w:r>
    </w:p>
    <w:p>
      <w:pPr>
        <w:rPr>
          <w:rFonts w:hint="eastAsia"/>
          <w:szCs w:val="21"/>
        </w:rPr>
      </w:pPr>
      <w:r>
        <w:rPr>
          <w:rFonts w:hint="eastAsia"/>
        </w:rPr>
        <w:t xml:space="preserve"> </w:t>
      </w:r>
    </w:p>
    <w:p>
      <w:pPr>
        <w:ind w:firstLine="640"/>
        <w:rPr>
          <w:rFonts w:ascii="仿宋" w:hAnsi="仿宋" w:hint="eastAsia"/>
          <w:b/>
          <w:bCs/>
          <w:sz w:val="28"/>
          <w:szCs w:val="28"/>
        </w:rPr>
      </w:pPr>
      <w:r>
        <w:rPr>
          <w:rFonts w:ascii="黑体" w:eastAsia="黑体" w:hint="eastAsia"/>
          <w:sz w:val="32"/>
          <w:szCs w:val="32"/>
        </w:rPr>
        <w:t>一、</w:t>
      </w:r>
      <w:r>
        <w:rPr>
          <w:rFonts w:ascii="仿宋" w:hAnsi="仿宋"/>
          <w:b/>
          <w:bCs/>
          <w:sz w:val="28"/>
          <w:szCs w:val="28"/>
        </w:rPr>
        <w:t>部门职责</w:t>
      </w:r>
    </w:p>
    <w:p>
      <w:pPr>
        <w:ind w:firstLineChars="200" w:firstLine="560"/>
        <w:rPr>
          <w:rFonts w:ascii="仿宋" w:hAnsi="仿宋"/>
          <w:sz w:val="28"/>
          <w:szCs w:val="28"/>
        </w:rPr>
      </w:pPr>
      <w:r>
        <w:rPr>
          <w:rFonts w:ascii="仿宋" w:hAnsi="仿宋"/>
          <w:sz w:val="28"/>
          <w:szCs w:val="28"/>
        </w:rPr>
        <w:t xml:space="preserve">（一）根据《中共遵化市委遵化市人民政府关于大力推进供销合作社改革与发展的实施意见》（遵字[2007]7号）等有关文件，本单位主要职责是：   </w:t>
      </w:r>
    </w:p>
    <w:p>
      <w:pPr>
        <w:ind w:firstLineChars="200" w:firstLine="560"/>
        <w:rPr>
          <w:rFonts w:ascii="仿宋" w:hAnsi="仿宋"/>
          <w:sz w:val="28"/>
          <w:szCs w:val="28"/>
        </w:rPr>
      </w:pPr>
      <w:r>
        <w:rPr>
          <w:rFonts w:ascii="仿宋" w:hAnsi="仿宋"/>
          <w:sz w:val="28"/>
          <w:szCs w:val="28"/>
        </w:rPr>
        <w:t>1.承担全市农村流通服务网络体系建设，组建企业经营集团，以多元投资模式发展配送中心，开展农业生产资料、农产品、再生资源回收利用、日用工业品的新型连锁经营。</w:t>
      </w:r>
    </w:p>
    <w:p>
      <w:pPr>
        <w:ind w:firstLineChars="200" w:firstLine="560"/>
        <w:rPr>
          <w:rFonts w:ascii="仿宋" w:hAnsi="仿宋"/>
          <w:sz w:val="28"/>
          <w:szCs w:val="28"/>
        </w:rPr>
      </w:pPr>
      <w:r>
        <w:rPr>
          <w:rFonts w:ascii="仿宋" w:hAnsi="仿宋"/>
          <w:sz w:val="28"/>
          <w:szCs w:val="28"/>
        </w:rPr>
        <w:t>2.统领全市农村合作经济组织建设，进行统一组织、协调、指导、考核和管理，负责制定、落实农村合作经济组织发展规划。积极发展和吸纳各类农村合作经济组织，提高农民组织化程度，参与和推动有关农村经济和农村合作经济组织政策的制定，促进全市合作经济的发展。</w:t>
      </w:r>
    </w:p>
    <w:p>
      <w:pPr>
        <w:ind w:firstLineChars="200" w:firstLine="560"/>
        <w:rPr>
          <w:rFonts w:ascii="仿宋" w:hAnsi="仿宋"/>
          <w:sz w:val="28"/>
          <w:szCs w:val="28"/>
        </w:rPr>
      </w:pPr>
      <w:r>
        <w:rPr>
          <w:rFonts w:ascii="仿宋" w:hAnsi="仿宋"/>
          <w:sz w:val="28"/>
          <w:szCs w:val="28"/>
        </w:rPr>
        <w:t>3.承担村镇社区综合服务中心的建设，延伸服务网络，大力发展村级综合服务站，完善农村综合服务体系。</w:t>
      </w:r>
    </w:p>
    <w:p>
      <w:pPr>
        <w:ind w:firstLineChars="200" w:firstLine="560"/>
        <w:rPr>
          <w:rFonts w:ascii="仿宋" w:hAnsi="仿宋"/>
          <w:sz w:val="28"/>
          <w:szCs w:val="28"/>
        </w:rPr>
      </w:pPr>
      <w:r>
        <w:rPr>
          <w:rFonts w:ascii="仿宋" w:hAnsi="仿宋"/>
          <w:sz w:val="28"/>
          <w:szCs w:val="28"/>
        </w:rPr>
        <w:t>4.承担农资、食盐等物资的储备供应工作。</w:t>
      </w:r>
    </w:p>
    <w:p>
      <w:pPr>
        <w:ind w:firstLineChars="200" w:firstLine="560"/>
        <w:rPr>
          <w:rFonts w:ascii="仿宋" w:hAnsi="仿宋"/>
          <w:sz w:val="28"/>
          <w:szCs w:val="28"/>
        </w:rPr>
      </w:pPr>
      <w:r>
        <w:rPr>
          <w:rFonts w:ascii="仿宋" w:hAnsi="仿宋"/>
          <w:sz w:val="28"/>
          <w:szCs w:val="28"/>
        </w:rPr>
        <w:t>5.负责全市食盐专营及食盐批发、零售各个环节的计划和许可证管理。负责市场工业用盐供应的组织管理和全市盐业流通领域行政执法管理工作。</w:t>
      </w:r>
    </w:p>
    <w:p>
      <w:pPr>
        <w:ind w:firstLineChars="200" w:firstLine="560"/>
        <w:rPr>
          <w:rFonts w:ascii="仿宋" w:hAnsi="仿宋"/>
          <w:sz w:val="28"/>
          <w:szCs w:val="28"/>
        </w:rPr>
      </w:pPr>
      <w:r>
        <w:rPr>
          <w:rFonts w:ascii="仿宋" w:hAnsi="仿宋"/>
          <w:sz w:val="28"/>
          <w:szCs w:val="28"/>
        </w:rPr>
        <w:t>6..组织和指导全系统企业改革，承担对改制企业的监督、管理和服务的职能。负责和指导全系统供销社企业的财务、会计、审计、统计工作，负责管理运营本级社资产。</w:t>
      </w:r>
    </w:p>
    <w:p>
      <w:pPr>
        <w:ind w:firstLineChars="200" w:firstLine="560"/>
        <w:rPr>
          <w:rFonts w:ascii="仿宋" w:hAnsi="仿宋"/>
          <w:sz w:val="28"/>
          <w:szCs w:val="28"/>
        </w:rPr>
      </w:pPr>
      <w:r>
        <w:rPr>
          <w:rFonts w:ascii="仿宋" w:hAnsi="仿宋"/>
          <w:sz w:val="28"/>
          <w:szCs w:val="28"/>
        </w:rPr>
        <w:t>7.对全系统所属企业行使出资人职能，负责企业党建、廉政建设，按干部管理权限考察任免干部。依法享有所有者的资产收益、重大问题决策和选择管理者的权力。</w:t>
      </w:r>
    </w:p>
    <w:p>
      <w:pPr>
        <w:ind w:firstLineChars="200" w:firstLine="560"/>
        <w:rPr>
          <w:rFonts w:ascii="仿宋" w:hAnsi="仿宋"/>
          <w:b/>
          <w:bCs/>
          <w:sz w:val="28"/>
          <w:szCs w:val="28"/>
        </w:rPr>
      </w:pPr>
      <w:r>
        <w:rPr>
          <w:rFonts w:ascii="仿宋" w:hAnsi="仿宋"/>
          <w:b/>
          <w:bCs/>
          <w:sz w:val="28"/>
          <w:szCs w:val="28"/>
        </w:rPr>
        <w:t>二、机构设置：</w:t>
      </w:r>
    </w:p>
    <w:tbl>
      <w:tblPr>
        <w:jc w:val="center"/>
        <w:tblW w:w="906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top w:w="0" w:type="dxa"/>
          <w:left w:w="108" w:type="dxa"/>
          <w:bottom w:w="0" w:type="dxa"/>
          <w:right w:w="108" w:type="dxa"/>
        </w:tblCellMar>
        <w:tblLook w:val="0600" w:firstRow="0" w:lastRow="0" w:firstColumn="0" w:lastColumn="0" w:noHBand="1" w:noVBand="1"/>
      </w:tblPr>
      <w:tblGrid>
        <w:gridCol w:w="3058"/>
        <w:gridCol w:w="2084"/>
        <w:gridCol w:w="1890"/>
        <w:gridCol w:w="2028"/>
      </w:tblGrid>
      <w:tr>
        <w:trPr>
          <w:trHeight w:val="655"/>
        </w:trPr>
        <w:tc>
          <w:tcPr>
            <w:tcW w:w="3058" w:type="dxa"/>
            <w:tcBorders>
              <w:top w:val="single" w:sz="4" w:space="0" w:color="auto"/>
              <w:left w:val="single" w:sz="4" w:space="0" w:color="auto"/>
              <w:bottom w:val="single" w:sz="4" w:space="0" w:color="auto"/>
              <w:right w:val="single" w:sz="4" w:space="0" w:color="auto"/>
            </w:tcBorders>
          </w:tcPr>
          <w:p>
            <w:pPr>
              <w:ind w:firstLine="400"/>
              <w:jc w:val="center"/>
              <w:rPr>
                <w:rFonts w:ascii="仿宋" w:hAnsi="仿宋"/>
                <w:b/>
                <w:bCs/>
                <w:sz w:val="28"/>
                <w:szCs w:val="28"/>
              </w:rPr>
            </w:pPr>
            <w:r>
              <w:rPr>
                <w:rFonts w:ascii="仿宋" w:hAnsi="仿宋"/>
                <w:b/>
                <w:bCs/>
                <w:sz w:val="28"/>
                <w:szCs w:val="28"/>
              </w:rPr>
              <w:t>单位名称</w:t>
            </w:r>
          </w:p>
        </w:tc>
        <w:tc>
          <w:tcPr>
            <w:tcW w:w="2084" w:type="dxa"/>
            <w:tcBorders>
              <w:top w:val="single" w:sz="4" w:space="0" w:color="auto"/>
              <w:left w:val="nil"/>
              <w:bottom w:val="single" w:sz="4" w:space="0" w:color="auto"/>
              <w:right w:val="single" w:sz="4" w:space="0" w:color="auto"/>
            </w:tcBorders>
          </w:tcPr>
          <w:p>
            <w:pPr>
              <w:jc w:val="center"/>
              <w:rPr>
                <w:rFonts w:ascii="仿宋" w:hAnsi="仿宋"/>
                <w:b/>
                <w:bCs/>
                <w:sz w:val="28"/>
                <w:szCs w:val="28"/>
              </w:rPr>
            </w:pPr>
            <w:r>
              <w:rPr>
                <w:rFonts w:ascii="仿宋" w:hAnsi="仿宋"/>
                <w:b/>
                <w:bCs/>
                <w:sz w:val="28"/>
                <w:szCs w:val="28"/>
              </w:rPr>
              <w:t>单位性质</w:t>
            </w:r>
          </w:p>
        </w:tc>
        <w:tc>
          <w:tcPr>
            <w:tcW w:w="1890" w:type="dxa"/>
            <w:tcBorders>
              <w:top w:val="single" w:sz="4" w:space="0" w:color="auto"/>
              <w:left w:val="nil"/>
              <w:bottom w:val="single" w:sz="4" w:space="0" w:color="auto"/>
              <w:right w:val="single" w:sz="4" w:space="0" w:color="auto"/>
            </w:tcBorders>
          </w:tcPr>
          <w:p>
            <w:pPr>
              <w:jc w:val="center"/>
              <w:rPr>
                <w:rFonts w:ascii="仿宋" w:hAnsi="仿宋"/>
                <w:b/>
                <w:bCs/>
                <w:sz w:val="28"/>
                <w:szCs w:val="28"/>
              </w:rPr>
            </w:pPr>
            <w:r>
              <w:rPr>
                <w:rFonts w:ascii="仿宋" w:hAnsi="仿宋"/>
                <w:b/>
                <w:bCs/>
                <w:sz w:val="28"/>
                <w:szCs w:val="28"/>
              </w:rPr>
              <w:t>单位规格</w:t>
            </w:r>
          </w:p>
        </w:tc>
        <w:tc>
          <w:tcPr>
            <w:tcW w:w="2028" w:type="dxa"/>
            <w:tcBorders>
              <w:top w:val="single" w:sz="4" w:space="0" w:color="auto"/>
              <w:left w:val="nil"/>
              <w:bottom w:val="single" w:sz="4" w:space="0" w:color="auto"/>
              <w:right w:val="single" w:sz="4" w:space="0" w:color="auto"/>
            </w:tcBorders>
          </w:tcPr>
          <w:p>
            <w:pPr>
              <w:jc w:val="center"/>
              <w:rPr>
                <w:rFonts w:ascii="仿宋" w:hAnsi="仿宋"/>
                <w:b/>
                <w:bCs/>
                <w:sz w:val="28"/>
                <w:szCs w:val="28"/>
              </w:rPr>
            </w:pPr>
            <w:r>
              <w:rPr>
                <w:rFonts w:ascii="仿宋" w:hAnsi="仿宋"/>
                <w:b/>
                <w:bCs/>
                <w:sz w:val="28"/>
                <w:szCs w:val="28"/>
              </w:rPr>
              <w:t>经费保障形式</w:t>
            </w:r>
          </w:p>
        </w:tc>
      </w:tr>
      <w:tr>
        <w:trPr>
          <w:trHeight w:val="528"/>
        </w:trPr>
        <w:tc>
          <w:tcPr>
            <w:tcW w:w="3058" w:type="dxa"/>
            <w:tcBorders>
              <w:top w:val="single" w:sz="4" w:space="0" w:color="auto"/>
              <w:left w:val="single" w:sz="4" w:space="0" w:color="auto"/>
              <w:bottom w:val="single" w:sz="4" w:space="0" w:color="auto"/>
              <w:right w:val="single" w:sz="4" w:space="0" w:color="auto"/>
            </w:tcBorders>
          </w:tcPr>
          <w:p>
            <w:pPr>
              <w:jc w:val="center"/>
              <w:rPr>
                <w:rFonts w:ascii="仿宋" w:hAnsi="仿宋"/>
                <w:sz w:val="28"/>
                <w:szCs w:val="28"/>
              </w:rPr>
            </w:pPr>
            <w:r>
              <w:rPr>
                <w:rFonts w:ascii="仿宋" w:hAnsi="仿宋"/>
                <w:sz w:val="28"/>
                <w:szCs w:val="28"/>
              </w:rPr>
              <w:t>遵化市供销合作社机关</w:t>
            </w:r>
          </w:p>
        </w:tc>
        <w:tc>
          <w:tcPr>
            <w:tcW w:w="2084" w:type="dxa"/>
            <w:tcBorders>
              <w:top w:val="single" w:sz="4" w:space="0" w:color="auto"/>
              <w:left w:val="nil"/>
              <w:bottom w:val="single" w:sz="4" w:space="0" w:color="auto"/>
              <w:right w:val="single" w:sz="4" w:space="0" w:color="auto"/>
            </w:tcBorders>
          </w:tcPr>
          <w:p>
            <w:pPr>
              <w:jc w:val="center"/>
              <w:rPr>
                <w:rFonts w:ascii="仿宋" w:hAnsi="仿宋"/>
                <w:sz w:val="28"/>
                <w:szCs w:val="28"/>
              </w:rPr>
            </w:pPr>
            <w:r>
              <w:rPr>
                <w:rFonts w:ascii="仿宋" w:hAnsi="仿宋"/>
                <w:sz w:val="28"/>
                <w:szCs w:val="28"/>
              </w:rPr>
              <w:t>事业</w:t>
            </w:r>
          </w:p>
        </w:tc>
        <w:tc>
          <w:tcPr>
            <w:tcW w:w="1890" w:type="dxa"/>
            <w:tcBorders>
              <w:top w:val="single" w:sz="4" w:space="0" w:color="auto"/>
              <w:left w:val="nil"/>
              <w:bottom w:val="single" w:sz="4" w:space="0" w:color="auto"/>
              <w:right w:val="single" w:sz="4" w:space="0" w:color="auto"/>
            </w:tcBorders>
          </w:tcPr>
          <w:p>
            <w:pPr>
              <w:jc w:val="center"/>
              <w:rPr>
                <w:rFonts w:ascii="仿宋" w:hAnsi="仿宋"/>
                <w:sz w:val="28"/>
                <w:szCs w:val="28"/>
              </w:rPr>
            </w:pPr>
            <w:r>
              <w:rPr>
                <w:rFonts w:ascii="仿宋" w:hAnsi="仿宋"/>
                <w:sz w:val="28"/>
                <w:szCs w:val="28"/>
              </w:rPr>
              <w:t>正科级</w:t>
            </w:r>
          </w:p>
        </w:tc>
        <w:tc>
          <w:tcPr>
            <w:tcW w:w="2028" w:type="dxa"/>
            <w:tcBorders>
              <w:top w:val="single" w:sz="4" w:space="0" w:color="auto"/>
              <w:left w:val="nil"/>
              <w:bottom w:val="single" w:sz="4" w:space="0" w:color="auto"/>
              <w:right w:val="single" w:sz="4" w:space="0" w:color="auto"/>
            </w:tcBorders>
          </w:tcPr>
          <w:p>
            <w:pPr>
              <w:jc w:val="center"/>
              <w:rPr>
                <w:rFonts w:ascii="仿宋" w:hAnsi="仿宋"/>
                <w:sz w:val="28"/>
                <w:szCs w:val="28"/>
              </w:rPr>
            </w:pPr>
            <w:r>
              <w:rPr>
                <w:rFonts w:ascii="仿宋" w:hAnsi="仿宋"/>
                <w:sz w:val="28"/>
                <w:szCs w:val="28"/>
              </w:rPr>
              <w:t>财政拨款</w:t>
            </w:r>
          </w:p>
        </w:tc>
      </w:tr>
    </w:tbl>
    <w:p>
      <w:pPr>
        <w:ind w:firstLineChars="200" w:firstLine="640"/>
        <w:rPr>
          <w:rFonts w:ascii="仿宋" w:hAnsi="仿宋"/>
          <w:sz w:val="32"/>
          <w:szCs w:val="32"/>
        </w:rPr>
      </w:pPr>
      <w:r>
        <w:rPr>
          <w:rFonts w:ascii="仿宋" w:hAnsi="仿宋"/>
          <w:b/>
          <w:bCs/>
          <w:sz w:val="32"/>
          <w:szCs w:val="32"/>
        </w:rPr>
        <w:t>三、部门机构设置及人员情况</w:t>
      </w:r>
    </w:p>
    <w:p>
      <w:pPr>
        <w:ind w:firstLineChars="200" w:firstLine="560"/>
        <w:rPr>
          <w:rFonts w:ascii="仿宋" w:hAnsi="仿宋" w:hint="eastAsia"/>
          <w:sz w:val="28"/>
          <w:szCs w:val="28"/>
        </w:rPr>
      </w:pPr>
      <w:r>
        <w:rPr>
          <w:rFonts w:ascii="仿宋" w:hAnsi="仿宋"/>
          <w:sz w:val="28"/>
          <w:szCs w:val="28"/>
        </w:rPr>
        <w:t>遵化市供销合作社机关设7个职能科室，分别为：综合办公室、财务审计科、信访保卫监察科、人事教育科、合作指导科、农村产权交易中心、资产运营管理中心。纳入遵化市供销合作社部门预、决算编报范围的预算单位共1家，即遵化市供销合作社机关本级，2018年预算编制时事业人员18人。</w:t>
      </w:r>
    </w:p>
    <w:p/>
    <w:p>
      <w:pPr>
        <w:rPr>
          <w:rFonts w:ascii="宋体" w:hAnsi="宋体"/>
          <w:sz w:val="28"/>
          <w:szCs w:val="28"/>
        </w:rPr>
      </w:pPr>
      <w:r>
        <w:t xml:space="preserve"> </w:t>
      </w:r>
      <w:r>
        <w:rPr>
          <w:rFonts w:ascii="宋体" w:hAnsi="宋体" w:hint="eastAsia"/>
          <w:sz w:val="28"/>
          <w:szCs w:val="28"/>
        </w:rPr>
        <w:t>附件3：</w:t>
      </w:r>
    </w:p>
    <w:p>
      <w:pPr>
        <w:autoSpaceDE w:val="0"/>
        <w:jc w:val="center"/>
        <w:rPr>
          <w:rFonts w:ascii="宋体" w:hAnsi="宋体" w:hint="eastAsia"/>
          <w:sz w:val="44"/>
          <w:szCs w:val="44"/>
        </w:rPr>
      </w:pPr>
      <w:r>
        <w:rPr>
          <w:rFonts w:ascii="宋体" w:hAnsi="宋体" w:hint="eastAsia"/>
          <w:sz w:val="44"/>
          <w:szCs w:val="44"/>
        </w:rPr>
        <w:t>遵化市供销合作社</w:t>
      </w:r>
    </w:p>
    <w:p>
      <w:pPr>
        <w:autoSpaceDE w:val="0"/>
        <w:jc w:val="center"/>
        <w:rPr>
          <w:rFonts w:ascii="宋体" w:hAnsi="宋体" w:hint="eastAsia"/>
          <w:sz w:val="44"/>
          <w:szCs w:val="44"/>
        </w:rPr>
      </w:pPr>
      <w:r>
        <w:rPr>
          <w:rFonts w:ascii="宋体" w:hAnsi="宋体" w:hint="eastAsia"/>
          <w:sz w:val="44"/>
          <w:szCs w:val="44"/>
        </w:rPr>
        <w:t>2018年改制五年等退人员医疗保险费</w:t>
      </w:r>
    </w:p>
    <w:p>
      <w:pPr>
        <w:autoSpaceDE w:val="0"/>
        <w:jc w:val="center"/>
        <w:rPr>
          <w:rFonts w:ascii="宋体" w:hAnsi="宋体" w:hint="eastAsia"/>
          <w:sz w:val="44"/>
          <w:szCs w:val="44"/>
        </w:rPr>
      </w:pPr>
      <w:r>
        <w:rPr>
          <w:rFonts w:ascii="宋体" w:hAnsi="宋体" w:hint="eastAsia"/>
          <w:sz w:val="44"/>
          <w:szCs w:val="44"/>
        </w:rPr>
        <w:t>项目实施方案</w:t>
      </w:r>
    </w:p>
    <w:p>
      <w:pPr>
        <w:autoSpaceDE w:val="0"/>
        <w:ind w:firstLineChars="200" w:firstLine="420"/>
        <w:rPr>
          <w:rFonts w:hint="eastAsia"/>
          <w:szCs w:val="21"/>
        </w:rPr>
      </w:pPr>
      <w:r>
        <w:rPr>
          <w:rFonts w:hint="eastAsia"/>
        </w:rPr>
        <w:t xml:space="preserve"> </w:t>
      </w:r>
    </w:p>
    <w:p>
      <w:pPr>
        <w:autoSpaceDE w:val="0"/>
        <w:ind w:firstLineChars="200" w:firstLine="640"/>
        <w:rPr>
          <w:rFonts w:ascii="方正仿宋简体" w:eastAsia="方正仿宋简体" w:hint="eastAsia"/>
          <w:sz w:val="32"/>
          <w:szCs w:val="32"/>
        </w:rPr>
      </w:pPr>
      <w:r>
        <w:rPr>
          <w:rFonts w:ascii="黑体" w:eastAsia="黑体" w:hint="eastAsia"/>
          <w:sz w:val="32"/>
          <w:szCs w:val="32"/>
        </w:rPr>
        <w:t>一、项目名称：</w:t>
      </w:r>
      <w:r>
        <w:rPr>
          <w:rFonts w:ascii="方正仿宋简体" w:eastAsia="方正仿宋简体" w:hint="eastAsia"/>
          <w:sz w:val="32"/>
          <w:szCs w:val="32"/>
        </w:rPr>
        <w:t>改制五年等退人员医疗保险费</w:t>
      </w:r>
    </w:p>
    <w:p>
      <w:pPr>
        <w:autoSpaceDE w:val="0"/>
        <w:ind w:firstLineChars="200" w:firstLine="640"/>
        <w:rPr>
          <w:rFonts w:ascii="方正仿宋简体" w:eastAsia="方正仿宋简体" w:hint="eastAsia"/>
          <w:sz w:val="32"/>
          <w:szCs w:val="32"/>
        </w:rPr>
      </w:pPr>
      <w:r>
        <w:rPr>
          <w:rFonts w:ascii="黑体" w:eastAsia="黑体" w:hint="eastAsia"/>
          <w:sz w:val="32"/>
          <w:szCs w:val="32"/>
        </w:rPr>
        <w:t>二、项目预算金额：</w:t>
      </w:r>
      <w:r>
        <w:rPr>
          <w:rFonts w:ascii="方正仿宋简体" w:eastAsia="方正仿宋简体" w:hint="eastAsia"/>
          <w:sz w:val="32"/>
          <w:szCs w:val="32"/>
        </w:rPr>
        <w:t>59.80万元</w:t>
      </w:r>
    </w:p>
    <w:p>
      <w:pPr>
        <w:autoSpaceDE w:val="0"/>
        <w:ind w:firstLineChars="200" w:firstLine="640"/>
        <w:rPr>
          <w:rFonts w:ascii="方正仿宋简体" w:eastAsia="方正仿宋简体" w:hint="eastAsia"/>
          <w:sz w:val="32"/>
          <w:szCs w:val="32"/>
        </w:rPr>
      </w:pPr>
      <w:r>
        <w:rPr>
          <w:rFonts w:ascii="黑体" w:eastAsia="黑体" w:hint="eastAsia"/>
          <w:sz w:val="32"/>
          <w:szCs w:val="32"/>
        </w:rPr>
        <w:t>三、项目概况：</w:t>
      </w:r>
      <w:r>
        <w:rPr>
          <w:rFonts w:ascii="方正仿宋简体" w:eastAsia="方正仿宋简体" w:hint="eastAsia"/>
          <w:sz w:val="32"/>
          <w:szCs w:val="32"/>
        </w:rPr>
        <w:t>根据2015年3月31日遵化市政府批准的《遵化市财政局 遵化市人力资源和社会保障局 遵化市供销合作社关于市供销合作社系统改制涉及人员欠缴社会保险费有关情况的报告》精神，遵化市财政局给我社下发了的《关于全系统改制涉及人员欠缴社会保险费有关情况请示的答复》（遵财答复[2015]398号），其中涉及“3、对于221名等退人员等退期间2015年以后应缴医疗保险单位部分，为使职工享受医保待遇，按年核实后，据实缴纳。”（答复中第3条）“4、以上所需社会保险费纳入当年财政预算”，2015-2018年度我社此项开支已纳入了财政预算并按月进行了开支，另据2016年9月23日遵化市政府批准的《遵化市供销合作社关于为原市工业品公司退休职工陈贺缴纳医疗保险的请示》精神，遵化市财政局给我社下发了《关于为“原市工业品公司退休职工陈贺缴纳医疗保险”请示的答复》（遵财答复[2016]1740号），将应缴纳退休人员陈贺医疗保险自2017年1月起一并纳入此项。结合2017年度实际开支及每年计算基数增减变化情况，2018年度此项指标预算59.80万元</w:t>
      </w:r>
    </w:p>
    <w:p>
      <w:pPr>
        <w:autoSpaceDE w:val="0"/>
        <w:ind w:leftChars="200" w:left="420" w:firstLineChars="200" w:firstLine="640"/>
        <w:rPr>
          <w:rFonts w:ascii="方正仿宋简体" w:eastAsia="方正仿宋简体" w:hint="eastAsia"/>
          <w:sz w:val="32"/>
          <w:szCs w:val="32"/>
        </w:rPr>
      </w:pPr>
      <w:r>
        <w:rPr>
          <w:rFonts w:ascii="黑体" w:eastAsia="黑体" w:hint="eastAsia"/>
          <w:sz w:val="32"/>
          <w:szCs w:val="32"/>
        </w:rPr>
        <w:t>四、项目实施计划：</w:t>
      </w:r>
      <w:r>
        <w:rPr>
          <w:rFonts w:ascii="方正仿宋简体" w:eastAsia="方正仿宋简体" w:hint="eastAsia"/>
          <w:sz w:val="32"/>
          <w:szCs w:val="32"/>
        </w:rPr>
        <w:t>由本单位负责保险申报的专门人员，按月向遵化市医疗保险部门进行申报，并根据遵化市医疗保险部门每月核实确认的改制五年等退人员医疗保险费金额，按月由市财政集中收付中心拨付，据实缴纳改制五年等退人员医疗保险费，缴纳时间在每月15日前。</w:t>
      </w:r>
    </w:p>
    <w:p>
      <w:pPr>
        <w:autoSpaceDE w:val="0"/>
        <w:ind w:leftChars="200" w:left="420" w:firstLineChars="200" w:firstLine="640"/>
        <w:rPr>
          <w:rFonts w:ascii="方正仿宋简体" w:eastAsia="方正仿宋简体" w:hint="eastAsia"/>
          <w:sz w:val="32"/>
          <w:szCs w:val="32"/>
        </w:rPr>
      </w:pPr>
      <w:r>
        <w:rPr>
          <w:rFonts w:ascii="黑体" w:eastAsia="黑体" w:hint="eastAsia"/>
          <w:sz w:val="32"/>
          <w:szCs w:val="32"/>
        </w:rPr>
        <w:t>五、资金支出计划：</w:t>
      </w:r>
      <w:r>
        <w:rPr>
          <w:rFonts w:ascii="方正仿宋简体" w:eastAsia="方正仿宋简体" w:hint="eastAsia"/>
          <w:sz w:val="32"/>
          <w:szCs w:val="32"/>
        </w:rPr>
        <w:t>第一季度30%，第二季度30%，第三季度30%，第四季度10%。</w:t>
      </w:r>
    </w:p>
    <w:p>
      <w:pPr>
        <w:autoSpaceDE w:val="0"/>
        <w:ind w:leftChars="200" w:left="420" w:firstLineChars="200" w:firstLine="640"/>
        <w:rPr>
          <w:rFonts w:ascii="方正仿宋简体" w:eastAsia="方正仿宋简体" w:hint="eastAsia"/>
          <w:sz w:val="32"/>
          <w:szCs w:val="32"/>
        </w:rPr>
      </w:pPr>
      <w:r>
        <w:rPr>
          <w:rFonts w:ascii="黑体" w:eastAsia="黑体" w:hint="eastAsia"/>
          <w:sz w:val="32"/>
          <w:szCs w:val="32"/>
        </w:rPr>
        <w:t>六、项目绩效目标：</w:t>
      </w:r>
      <w:r>
        <w:rPr>
          <w:rFonts w:ascii="方正仿宋简体" w:eastAsia="方正仿宋简体" w:hint="eastAsia"/>
          <w:sz w:val="32"/>
          <w:szCs w:val="32"/>
        </w:rPr>
        <w:t>根据每月遵化市医疗保险部门核实确认的改制五年等退人员医疗保险费金额，按月拨付据实缴纳，做到缴费及时、不拖欠、确保全部改制五年等退人员按时享受到医疗保险待遇，达到改制等退人员满意。</w:t>
      </w:r>
    </w:p>
    <w:p>
      <w:pPr>
        <w:autoSpaceDE w:val="0"/>
        <w:ind w:leftChars="200" w:left="420" w:firstLineChars="200" w:firstLine="640"/>
        <w:rPr>
          <w:rFonts w:ascii="方正仿宋简体" w:eastAsia="方正仿宋简体" w:hint="eastAsia"/>
          <w:sz w:val="32"/>
          <w:szCs w:val="32"/>
        </w:rPr>
      </w:pPr>
      <w:r>
        <w:rPr>
          <w:rFonts w:ascii="黑体" w:eastAsia="黑体" w:hint="eastAsia"/>
          <w:sz w:val="32"/>
          <w:szCs w:val="32"/>
        </w:rPr>
        <w:t>七、项目直接负责人：</w:t>
      </w:r>
      <w:r>
        <w:rPr>
          <w:rFonts w:ascii="方正仿宋简体" w:eastAsia="方正仿宋简体" w:hint="eastAsia"/>
          <w:sz w:val="32"/>
          <w:szCs w:val="32"/>
        </w:rPr>
        <w:t>卢国胜、夏子才</w:t>
      </w:r>
    </w:p>
    <w:p>
      <w:pPr>
        <w:autoSpaceDE w:val="0"/>
        <w:ind w:leftChars="200" w:left="420" w:firstLineChars="200" w:firstLine="640"/>
        <w:rPr>
          <w:rFonts w:ascii="方正仿宋简体" w:eastAsia="方正仿宋简体" w:hint="eastAsia"/>
          <w:sz w:val="32"/>
          <w:szCs w:val="32"/>
        </w:rPr>
      </w:pPr>
      <w:r>
        <w:rPr>
          <w:rFonts w:ascii="黑体" w:eastAsia="黑体" w:hint="eastAsia"/>
          <w:sz w:val="32"/>
          <w:szCs w:val="32"/>
        </w:rPr>
        <w:t>八、项目经办人员：</w:t>
      </w:r>
      <w:r>
        <w:rPr>
          <w:rFonts w:ascii="方正仿宋简体" w:eastAsia="方正仿宋简体" w:hint="eastAsia"/>
          <w:sz w:val="32"/>
          <w:szCs w:val="32"/>
        </w:rPr>
        <w:t>张艳丽、常彩霞</w:t>
      </w:r>
    </w:p>
    <w:p>
      <w:pPr>
        <w:ind w:firstLineChars="200" w:firstLine="560"/>
        <w:rPr>
          <w:rFonts w:ascii="宋体" w:hAnsi="宋体" w:hint="eastAsia"/>
          <w:sz w:val="28"/>
          <w:szCs w:val="28"/>
        </w:rPr>
      </w:pPr>
      <w:r>
        <w:rPr>
          <w:rFonts w:ascii="宋体" w:hAnsi="宋体" w:hint="eastAsia"/>
          <w:sz w:val="28"/>
          <w:szCs w:val="28"/>
        </w:rPr>
        <w:t>附件4：项目照片、巡查日志：</w:t>
      </w:r>
    </w:p>
    <w:p>
      <w:pPr>
        <w:ind w:firstLineChars="200" w:firstLine="560"/>
        <w:rPr>
          <w:rFonts w:ascii="宋体" w:hAnsi="宋体" w:hint="eastAsia"/>
          <w:sz w:val="28"/>
          <w:szCs w:val="28"/>
        </w:rPr>
      </w:pPr>
      <w:r>
        <w:rPr>
          <w:rFonts w:ascii="宋体" w:hAnsi="宋体" w:hint="eastAsia"/>
          <w:sz w:val="28"/>
          <w:szCs w:val="28"/>
        </w:rPr>
        <w:drawing>
          <wp:inline distT="0" distB="0" distL="114300" distR="114300">
            <wp:extent cx="5614670" cy="3157854"/>
            <wp:effectExtent l="0" t="0" r="5080" b="4444"/>
            <wp:docPr id="1140" name="图片 6" descr="项目照片、巡查日志1"/>
            <wp:cNvGraphicFramePr>
              <a:graphicFrameLocks noChangeAspect="1"/>
            </wp:cNvGraphicFramePr>
            <a:graphic>
              <a:graphicData uri="http://schemas.openxmlformats.org/drawingml/2006/picture">
                <pic:pic>
                  <pic:nvPicPr>
                    <pic:cNvPr id="141" name="图片 6 141"/>
                    <pic:cNvPicPr/>
                  </pic:nvPicPr>
                  <pic:blipFill>
                    <a:blip r:embed="rId11"/>
                    <a:stretch>
                      <a:fillRect/>
                    </a:stretch>
                  </pic:blipFill>
                  <pic:spPr>
                    <a:xfrm rot="0">
                      <a:off x="0" y="0"/>
                      <a:ext cx="5614670" cy="3157854"/>
                    </a:xfrm>
                    <a:prstGeom prst="rect"/>
                    <a:noFill/>
                    <a:ln cmpd="sng" cap="flat">
                      <a:noFill/>
                      <a:prstDash val="solid"/>
                      <a:round/>
                    </a:ln>
                  </pic:spPr>
                </pic:pic>
              </a:graphicData>
            </a:graphic>
          </wp:inline>
        </w:drawing>
      </w:r>
    </w:p>
    <w:p>
      <w:pPr>
        <w:ind w:firstLineChars="200" w:firstLine="560"/>
        <w:rPr>
          <w:rFonts w:ascii="宋体" w:hAnsi="宋体" w:hint="eastAsia"/>
          <w:sz w:val="28"/>
          <w:szCs w:val="28"/>
        </w:rPr>
      </w:pPr>
      <w:r>
        <w:rPr>
          <w:rFonts w:ascii="宋体" w:hAnsi="宋体" w:hint="eastAsia"/>
          <w:sz w:val="28"/>
          <w:szCs w:val="28"/>
        </w:rPr>
        <w:drawing>
          <wp:inline distT="0" distB="0" distL="114300" distR="114300">
            <wp:extent cx="5614670" cy="3157854"/>
            <wp:effectExtent l="0" t="0" r="5080" b="4444"/>
            <wp:docPr id="1141" name="图片 7" descr="项目照片、巡查日志2"/>
            <wp:cNvGraphicFramePr>
              <a:graphicFrameLocks noChangeAspect="1"/>
            </wp:cNvGraphicFramePr>
            <a:graphic>
              <a:graphicData uri="http://schemas.openxmlformats.org/drawingml/2006/picture">
                <pic:pic>
                  <pic:nvPicPr>
                    <pic:cNvPr id="143" name="图片 7 143"/>
                    <pic:cNvPicPr/>
                  </pic:nvPicPr>
                  <pic:blipFill>
                    <a:blip r:embed="rId12"/>
                    <a:stretch>
                      <a:fillRect/>
                    </a:stretch>
                  </pic:blipFill>
                  <pic:spPr>
                    <a:xfrm rot="0">
                      <a:off x="0" y="0"/>
                      <a:ext cx="5614670" cy="3157854"/>
                    </a:xfrm>
                    <a:prstGeom prst="rect"/>
                    <a:noFill/>
                    <a:ln cmpd="sng" cap="flat">
                      <a:noFill/>
                      <a:prstDash val="solid"/>
                      <a:round/>
                    </a:ln>
                  </pic:spPr>
                </pic:pic>
              </a:graphicData>
            </a:graphic>
          </wp:inline>
        </w:drawing>
      </w:r>
    </w:p>
    <w:p>
      <w:pPr>
        <w:ind w:firstLineChars="200" w:firstLine="560"/>
        <w:rPr>
          <w:rFonts w:ascii="宋体" w:hAnsi="宋体" w:hint="eastAsia"/>
          <w:sz w:val="28"/>
          <w:szCs w:val="28"/>
        </w:rPr>
      </w:pPr>
      <w:r>
        <w:rPr>
          <w:rFonts w:ascii="宋体" w:hAnsi="宋体" w:hint="eastAsia"/>
          <w:sz w:val="28"/>
          <w:szCs w:val="28"/>
        </w:rPr>
        <w:t>附件5：</w:t>
      </w:r>
    </w:p>
    <w:p>
      <w:pPr>
        <w:ind w:firstLineChars="200" w:firstLine="560"/>
        <w:rPr>
          <w:rFonts w:ascii="宋体" w:hAnsi="宋体" w:hint="eastAsia"/>
          <w:sz w:val="28"/>
          <w:szCs w:val="28"/>
        </w:rPr>
      </w:pPr>
    </w:p>
    <w:p>
      <w:pPr>
        <w:ind w:firstLineChars="200" w:firstLine="560"/>
        <w:rPr>
          <w:rFonts w:ascii="宋体" w:hAnsi="宋体" w:hint="eastAsia"/>
          <w:sz w:val="28"/>
          <w:szCs w:val="28"/>
        </w:rPr>
      </w:pPr>
      <w:r>
        <w:rPr>
          <w:rFonts w:ascii="宋体" w:hAnsi="宋体" w:hint="eastAsia"/>
          <w:sz w:val="28"/>
          <w:szCs w:val="28"/>
        </w:rPr>
        <w:drawing>
          <wp:inline distT="0" distB="0" distL="114300" distR="114300">
            <wp:extent cx="5194935" cy="8485505"/>
            <wp:effectExtent l="0" t="0" r="5715" b="10795"/>
            <wp:docPr id="1142" name="图片 8" descr="附件5：组织机构代码证书"/>
            <wp:cNvGraphicFramePr>
              <a:graphicFrameLocks noChangeAspect="1"/>
            </wp:cNvGraphicFramePr>
            <a:graphic>
              <a:graphicData uri="http://schemas.openxmlformats.org/drawingml/2006/picture">
                <pic:pic>
                  <pic:nvPicPr>
                    <pic:cNvPr id="145" name="图片 8 145"/>
                    <pic:cNvPicPr/>
                  </pic:nvPicPr>
                  <pic:blipFill>
                    <a:blip r:embed="rId13"/>
                    <a:stretch>
                      <a:fillRect/>
                    </a:stretch>
                  </pic:blipFill>
                  <pic:spPr>
                    <a:xfrm rot="0">
                      <a:off x="0" y="0"/>
                      <a:ext cx="5194935" cy="8485505"/>
                    </a:xfrm>
                    <a:prstGeom prst="rect"/>
                    <a:noFill/>
                    <a:ln cmpd="sng" cap="flat">
                      <a:noFill/>
                      <a:prstDash val="solid"/>
                      <a:round/>
                    </a:ln>
                  </pic:spPr>
                </pic:pic>
              </a:graphicData>
            </a:graphic>
          </wp:inline>
        </w:drawing>
      </w:r>
    </w:p>
    <w:p>
      <w:pPr>
        <w:ind w:firstLineChars="200" w:firstLine="560"/>
        <w:rPr>
          <w:rFonts w:ascii="宋体" w:hAnsi="宋体" w:hint="eastAsia"/>
          <w:sz w:val="28"/>
          <w:szCs w:val="28"/>
        </w:rPr>
      </w:pPr>
      <w:r>
        <w:rPr>
          <w:rFonts w:ascii="宋体" w:hAnsi="宋体" w:hint="eastAsia"/>
          <w:sz w:val="28"/>
          <w:szCs w:val="28"/>
        </w:rPr>
        <w:t>附件6：</w:t>
      </w:r>
    </w:p>
    <w:p>
      <w:pPr>
        <w:ind w:firstLineChars="200" w:firstLine="560"/>
        <w:rPr>
          <w:rFonts w:ascii="宋体" w:hAnsi="宋体" w:hint="eastAsia"/>
          <w:sz w:val="28"/>
          <w:szCs w:val="28"/>
        </w:rPr>
      </w:pPr>
      <w:r>
        <w:rPr>
          <w:rFonts w:ascii="宋体" w:hAnsi="宋体" w:hint="eastAsia"/>
          <w:sz w:val="28"/>
          <w:szCs w:val="28"/>
        </w:rPr>
        <w:drawing>
          <wp:inline distT="0" distB="0" distL="114300" distR="114300">
            <wp:extent cx="5194935" cy="7466330"/>
            <wp:effectExtent l="0" t="0" r="5715" b="1270"/>
            <wp:docPr id="1143" name="图片 10" descr="遵化市财政局《关于全系统改制涉及人员欠缴社会保险费有关情况请示的答复》(遵财答复[2015]398号）第一页"/>
            <wp:cNvGraphicFramePr>
              <a:graphicFrameLocks noChangeAspect="1"/>
            </wp:cNvGraphicFramePr>
            <a:graphic>
              <a:graphicData uri="http://schemas.openxmlformats.org/drawingml/2006/picture">
                <pic:pic>
                  <pic:nvPicPr>
                    <pic:cNvPr id="147" name="图片 10 147"/>
                    <pic:cNvPicPr/>
                  </pic:nvPicPr>
                  <pic:blipFill>
                    <a:blip r:embed="rId14"/>
                    <a:stretch>
                      <a:fillRect/>
                    </a:stretch>
                  </pic:blipFill>
                  <pic:spPr>
                    <a:xfrm rot="0">
                      <a:off x="0" y="0"/>
                      <a:ext cx="5194935" cy="7466330"/>
                    </a:xfrm>
                    <a:prstGeom prst="rect"/>
                    <a:noFill/>
                    <a:ln cmpd="sng" cap="flat">
                      <a:noFill/>
                      <a:prstDash val="solid"/>
                      <a:round/>
                    </a:ln>
                  </pic:spPr>
                </pic:pic>
              </a:graphicData>
            </a:graphic>
          </wp:inline>
        </w:drawing>
      </w:r>
    </w:p>
    <w:p>
      <w:pPr>
        <w:ind w:firstLineChars="200" w:firstLine="560"/>
        <w:rPr>
          <w:rFonts w:ascii="宋体" w:hAnsi="宋体" w:hint="eastAsia"/>
          <w:sz w:val="28"/>
          <w:szCs w:val="28"/>
        </w:rPr>
      </w:pPr>
      <w:r>
        <w:rPr>
          <w:rFonts w:ascii="宋体" w:hAnsi="宋体" w:hint="eastAsia"/>
          <w:sz w:val="28"/>
          <w:szCs w:val="28"/>
        </w:rPr>
        <w:drawing>
          <wp:inline distT="0" distB="0" distL="114300" distR="114300">
            <wp:extent cx="5194935" cy="9235440"/>
            <wp:effectExtent l="0" t="0" r="5715" b="3810"/>
            <wp:docPr id="1144" name="图片 11" descr="遵化市财政局《关于全系统改制涉及人员欠缴社会保险费有关情况请示的答复》(遵财答复[2015]398号）第二页"/>
            <wp:cNvGraphicFramePr>
              <a:graphicFrameLocks noChangeAspect="1"/>
            </wp:cNvGraphicFramePr>
            <a:graphic>
              <a:graphicData uri="http://schemas.openxmlformats.org/drawingml/2006/picture">
                <pic:pic>
                  <pic:nvPicPr>
                    <pic:cNvPr id="149" name="图片 11 149"/>
                    <pic:cNvPicPr/>
                  </pic:nvPicPr>
                  <pic:blipFill>
                    <a:blip r:embed="rId15"/>
                    <a:stretch>
                      <a:fillRect/>
                    </a:stretch>
                  </pic:blipFill>
                  <pic:spPr>
                    <a:xfrm rot="0">
                      <a:off x="0" y="0"/>
                      <a:ext cx="5194935" cy="9235440"/>
                    </a:xfrm>
                    <a:prstGeom prst="rect"/>
                    <a:noFill/>
                    <a:ln cmpd="sng" cap="flat">
                      <a:noFill/>
                      <a:prstDash val="solid"/>
                      <a:round/>
                    </a:ln>
                  </pic:spPr>
                </pic:pic>
              </a:graphicData>
            </a:graphic>
          </wp:inline>
        </w:drawing>
      </w:r>
    </w:p>
    <w:p>
      <w:pPr>
        <w:ind w:firstLineChars="200" w:firstLine="560"/>
        <w:rPr>
          <w:rFonts w:ascii="宋体" w:hAnsi="宋体" w:hint="eastAsia"/>
          <w:sz w:val="28"/>
          <w:szCs w:val="28"/>
        </w:rPr>
      </w:pPr>
      <w:r>
        <w:rPr>
          <w:rFonts w:ascii="宋体" w:hAnsi="宋体" w:hint="eastAsia"/>
          <w:sz w:val="28"/>
          <w:szCs w:val="28"/>
        </w:rPr>
        <w:drawing>
          <wp:inline distT="0" distB="0" distL="114300" distR="114300">
            <wp:extent cx="5194935" cy="9235440"/>
            <wp:effectExtent l="0" t="0" r="5715" b="3810"/>
            <wp:docPr id="1145" name="图片 12" descr="遵化市财政局《关于全系统改制涉及人员欠缴社会保险费有关情况请示的答复》(遵财答复[2015]398号）第三页"/>
            <wp:cNvGraphicFramePr>
              <a:graphicFrameLocks noChangeAspect="1"/>
            </wp:cNvGraphicFramePr>
            <a:graphic>
              <a:graphicData uri="http://schemas.openxmlformats.org/drawingml/2006/picture">
                <pic:pic>
                  <pic:nvPicPr>
                    <pic:cNvPr id="151" name="图片 12 151"/>
                    <pic:cNvPicPr/>
                  </pic:nvPicPr>
                  <pic:blipFill>
                    <a:blip r:embed="rId16"/>
                    <a:stretch>
                      <a:fillRect/>
                    </a:stretch>
                  </pic:blipFill>
                  <pic:spPr>
                    <a:xfrm rot="0">
                      <a:off x="0" y="0"/>
                      <a:ext cx="5194935" cy="9235440"/>
                    </a:xfrm>
                    <a:prstGeom prst="rect"/>
                    <a:noFill/>
                    <a:ln cmpd="sng" cap="flat">
                      <a:noFill/>
                      <a:prstDash val="solid"/>
                      <a:round/>
                    </a:ln>
                  </pic:spPr>
                </pic:pic>
              </a:graphicData>
            </a:graphic>
          </wp:inline>
        </w:drawing>
      </w:r>
    </w:p>
    <w:p>
      <w:pPr>
        <w:ind w:firstLineChars="200" w:firstLine="560"/>
        <w:rPr>
          <w:rFonts w:ascii="宋体" w:hAnsi="宋体" w:hint="eastAsia"/>
          <w:sz w:val="28"/>
          <w:szCs w:val="28"/>
        </w:rPr>
      </w:pPr>
      <w:r>
        <w:rPr>
          <w:rFonts w:ascii="宋体" w:hAnsi="宋体" w:hint="eastAsia"/>
          <w:sz w:val="28"/>
          <w:szCs w:val="28"/>
        </w:rPr>
        <w:drawing>
          <wp:inline distT="0" distB="0" distL="114300" distR="114300">
            <wp:extent cx="5194935" cy="9235440"/>
            <wp:effectExtent l="0" t="0" r="5715" b="3810"/>
            <wp:docPr id="1146" name="图片 13" descr="遵化市财政局《关于全系统改制涉及人员欠缴社会保险费有关情况请示的答复》(遵财答复[2015]398号）第四页"/>
            <wp:cNvGraphicFramePr>
              <a:graphicFrameLocks noChangeAspect="1"/>
            </wp:cNvGraphicFramePr>
            <a:graphic>
              <a:graphicData uri="http://schemas.openxmlformats.org/drawingml/2006/picture">
                <pic:pic>
                  <pic:nvPicPr>
                    <pic:cNvPr id="153" name="图片 13 153"/>
                    <pic:cNvPicPr/>
                  </pic:nvPicPr>
                  <pic:blipFill>
                    <a:blip r:embed="rId17"/>
                    <a:stretch>
                      <a:fillRect/>
                    </a:stretch>
                  </pic:blipFill>
                  <pic:spPr>
                    <a:xfrm rot="0">
                      <a:off x="0" y="0"/>
                      <a:ext cx="5194935" cy="9235440"/>
                    </a:xfrm>
                    <a:prstGeom prst="rect"/>
                    <a:noFill/>
                    <a:ln cmpd="sng" cap="flat">
                      <a:noFill/>
                      <a:prstDash val="solid"/>
                      <a:round/>
                    </a:ln>
                  </pic:spPr>
                </pic:pic>
              </a:graphicData>
            </a:graphic>
          </wp:inline>
        </w:drawing>
      </w:r>
    </w:p>
    <w:p>
      <w:pPr>
        <w:ind w:firstLineChars="200" w:firstLine="560"/>
        <w:rPr>
          <w:rFonts w:ascii="宋体" w:hAnsi="宋体" w:hint="eastAsia"/>
          <w:sz w:val="28"/>
          <w:szCs w:val="28"/>
        </w:rPr>
      </w:pPr>
      <w:r>
        <w:rPr>
          <w:rFonts w:ascii="宋体" w:hAnsi="宋体" w:hint="eastAsia"/>
          <w:sz w:val="28"/>
          <w:szCs w:val="28"/>
        </w:rPr>
        <w:drawing>
          <wp:inline distT="0" distB="0" distL="114300" distR="114300">
            <wp:extent cx="5194935" cy="9235440"/>
            <wp:effectExtent l="0" t="0" r="5715" b="3810"/>
            <wp:docPr id="1147" name="图片 9" descr="遵化市财政局《关于为“原市工业品公司退休职工陈贺缴纳医疗保险”请示的答复》（遵财答复{2016}1740号）第一页"/>
            <wp:cNvGraphicFramePr>
              <a:graphicFrameLocks noChangeAspect="1"/>
            </wp:cNvGraphicFramePr>
            <a:graphic>
              <a:graphicData uri="http://schemas.openxmlformats.org/drawingml/2006/picture">
                <pic:pic>
                  <pic:nvPicPr>
                    <pic:cNvPr id="155" name="图片 9 155"/>
                    <pic:cNvPicPr/>
                  </pic:nvPicPr>
                  <pic:blipFill>
                    <a:blip r:embed="rId18"/>
                    <a:stretch>
                      <a:fillRect/>
                    </a:stretch>
                  </pic:blipFill>
                  <pic:spPr>
                    <a:xfrm rot="0">
                      <a:off x="0" y="0"/>
                      <a:ext cx="5194935" cy="9235440"/>
                    </a:xfrm>
                    <a:prstGeom prst="rect"/>
                    <a:noFill/>
                    <a:ln cmpd="sng" cap="flat">
                      <a:noFill/>
                      <a:prstDash val="solid"/>
                      <a:round/>
                    </a:ln>
                  </pic:spPr>
                </pic:pic>
              </a:graphicData>
            </a:graphic>
          </wp:inline>
        </w:drawing>
      </w:r>
    </w:p>
    <w:p>
      <w:pPr>
        <w:adjustRightInd w:val="0"/>
        <w:snapToGrid w:val="0"/>
        <w:spacing w:after="0" w:line="580" w:lineRule="exact"/>
        <w:ind w:firstLineChars="200" w:firstLine="720"/>
        <w:rPr>
          <w:rFonts w:ascii="黑体" w:eastAsia="黑体"/>
          <w:b/>
          <w:bCs/>
          <w:sz w:val="36"/>
          <w:szCs w:val="36"/>
        </w:rPr>
      </w:pPr>
      <w:r>
        <w:rPr>
          <w:rFonts w:ascii="黑体" w:eastAsia="黑体" w:hint="eastAsia"/>
          <w:sz w:val="36"/>
          <w:szCs w:val="36"/>
        </w:rPr>
        <w:t>七、其他重要事项的说明</w:t>
      </w:r>
    </w:p>
    <w:p>
      <w:pPr>
        <w:pStyle w:val="3"/>
        <w:spacing w:before="0" w:after="0" w:line="580" w:lineRule="exact"/>
        <w:ind w:firstLineChars="200" w:firstLine="640"/>
        <w:rPr>
          <w:rFonts w:ascii="楷体_GB2312" w:eastAsia="楷体_GB2312" w:cs="DengXian-Bold"/>
        </w:rPr>
      </w:pPr>
      <w:r>
        <w:rPr>
          <w:rFonts w:ascii="楷体_GB2312" w:eastAsia="楷体_GB2312" w:cs="DengXian-Bold" w:hint="eastAsia"/>
        </w:rPr>
        <w:t>（一）机关运行经费情况</w:t>
      </w:r>
    </w:p>
    <w:p>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本部门2018年度无机关运行经费支出。</w:t>
      </w:r>
    </w:p>
    <w:p>
      <w:pPr>
        <w:pStyle w:val="3"/>
        <w:spacing w:before="0" w:after="0" w:line="580" w:lineRule="exact"/>
        <w:ind w:firstLineChars="200" w:firstLine="640"/>
        <w:rPr>
          <w:rFonts w:ascii="楷体_GB2312" w:eastAsia="楷体_GB2312" w:cs="DengXian-Bold"/>
        </w:rPr>
      </w:pPr>
      <w:r>
        <w:rPr>
          <w:rFonts w:ascii="楷体_GB2312" w:eastAsia="楷体_GB2312" w:cs="DengXian-Bold" w:hint="eastAsia"/>
        </w:rPr>
        <w:t>（二）政府采购情况</w:t>
      </w:r>
    </w:p>
    <w:p>
      <w:pPr>
        <w:widowControl/>
        <w:spacing w:after="0" w:line="580" w:lineRule="exact"/>
        <w:ind w:firstLineChars="200" w:firstLine="640"/>
        <w:jc w:val="left"/>
        <w:rPr>
          <w:rFonts w:ascii="仿宋_GB2312" w:eastAsia="仿宋_GB2312" w:cs="DengXian-Regular" w:hint="eastAsia"/>
          <w:sz w:val="32"/>
          <w:szCs w:val="32"/>
        </w:rPr>
      </w:pPr>
      <w:r>
        <w:rPr>
          <w:rFonts w:ascii="仿宋_GB2312" w:eastAsia="仿宋_GB2312" w:cs="DengXian-Regular" w:hint="eastAsia"/>
          <w:sz w:val="32"/>
          <w:szCs w:val="32"/>
        </w:rPr>
        <w:t>本部门2018年度</w:t>
      </w:r>
      <w:r>
        <w:rPr>
          <w:rFonts w:ascii="仿宋_GB2312" w:eastAsia="仿宋_GB2312" w:cs="DengXian-Regular" w:hint="eastAsia"/>
          <w:sz w:val="32"/>
          <w:szCs w:val="32"/>
          <w:lang w:eastAsia="zh-CN"/>
        </w:rPr>
        <w:t>政府采购情况表中年初采购预算</w:t>
      </w:r>
      <w:r>
        <w:rPr>
          <w:rFonts w:ascii="仿宋_GB2312" w:eastAsia="仿宋_GB2312" w:cs="DengXian-Regular" w:hint="eastAsia"/>
          <w:sz w:val="32"/>
          <w:szCs w:val="32"/>
          <w:lang w:val="en-US" w:eastAsia="zh-CN"/>
        </w:rPr>
        <w:t>1.35万元，为一般公共预算的服务采购（公务用车运行维护费中的维修、保险服务），但在2018年度政府采购决算中未发生服务项目政府采购支出，故2018年度决算中</w:t>
      </w:r>
      <w:r>
        <w:rPr>
          <w:rFonts w:ascii="仿宋_GB2312" w:eastAsia="仿宋_GB2312" w:cs="DengXian-Regular" w:hint="eastAsia"/>
          <w:sz w:val="32"/>
          <w:szCs w:val="32"/>
        </w:rPr>
        <w:t>无政府采购支出。</w:t>
      </w:r>
    </w:p>
    <w:p>
      <w:pPr>
        <w:pStyle w:val="3"/>
        <w:spacing w:before="0" w:after="0" w:line="580" w:lineRule="exact"/>
        <w:ind w:firstLineChars="200" w:firstLine="640"/>
        <w:rPr>
          <w:rFonts w:ascii="楷体_GB2312" w:eastAsia="楷体_GB2312" w:cs="DengXian-Bold"/>
        </w:rPr>
      </w:pPr>
      <w:r>
        <w:rPr>
          <w:rFonts w:ascii="楷体_GB2312" w:eastAsia="楷体_GB2312" w:cs="DengXian-Bold" w:hint="eastAsia"/>
        </w:rPr>
        <w:t>（三）国有资产占用情况</w:t>
      </w:r>
    </w:p>
    <w:p>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截至2018年12月31日，本部门共有车辆</w:t>
      </w:r>
      <w:r>
        <w:rPr>
          <w:rFonts w:ascii="仿宋_GB2312" w:eastAsia="仿宋_GB2312" w:cs="DengXian-Regular" w:hint="eastAsia"/>
          <w:sz w:val="32"/>
          <w:szCs w:val="32"/>
          <w:lang w:val="en-US" w:eastAsia="zh-CN"/>
        </w:rPr>
        <w:t>1</w:t>
      </w:r>
      <w:r>
        <w:rPr>
          <w:rFonts w:ascii="仿宋_GB2312" w:eastAsia="仿宋_GB2312" w:cs="DengXian-Regular" w:hint="eastAsia"/>
          <w:sz w:val="32"/>
          <w:szCs w:val="32"/>
        </w:rPr>
        <w:t>辆，</w:t>
      </w:r>
      <w:r>
        <w:rPr>
          <w:rFonts w:ascii="仿宋_GB2312" w:eastAsia="仿宋_GB2312" w:cs="DengXian-Regular" w:hint="eastAsia"/>
          <w:sz w:val="32"/>
          <w:szCs w:val="32"/>
          <w:lang w:eastAsia="zh-CN"/>
        </w:rPr>
        <w:t>与上年相同。</w:t>
      </w:r>
      <w:r>
        <w:rPr>
          <w:rFonts w:ascii="仿宋_GB2312" w:eastAsia="仿宋_GB2312" w:cs="DengXian-Regular" w:hint="eastAsia"/>
          <w:sz w:val="32"/>
          <w:szCs w:val="32"/>
        </w:rPr>
        <w:t>其中，副部（省）级及以上领导用车</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辆，主要领导干部用车</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辆，机要通信用车</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辆，应急保障用车</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辆，执法执勤用车</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辆，特种专业技术用车</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辆，离退休干部用车</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辆，其他用车</w:t>
      </w:r>
      <w:r>
        <w:rPr>
          <w:rFonts w:ascii="仿宋_GB2312" w:eastAsia="仿宋_GB2312" w:cs="DengXian-Regular" w:hint="eastAsia"/>
          <w:sz w:val="32"/>
          <w:szCs w:val="32"/>
          <w:lang w:val="en-US" w:eastAsia="zh-CN"/>
        </w:rPr>
        <w:t>1</w:t>
      </w:r>
      <w:r>
        <w:rPr>
          <w:rFonts w:ascii="仿宋_GB2312" w:eastAsia="仿宋_GB2312" w:cs="DengXian-Regular" w:hint="eastAsia"/>
          <w:sz w:val="32"/>
          <w:szCs w:val="32"/>
        </w:rPr>
        <w:t>辆，其他用车主要是</w:t>
      </w:r>
      <w:r>
        <w:rPr>
          <w:rFonts w:ascii="仿宋_GB2312" w:eastAsia="仿宋_GB2312" w:cs="DengXian-Regular" w:hint="eastAsia"/>
          <w:sz w:val="32"/>
          <w:szCs w:val="32"/>
          <w:lang w:eastAsia="zh-CN"/>
        </w:rPr>
        <w:t>一般公务用车</w:t>
      </w:r>
      <w:r>
        <w:rPr>
          <w:rFonts w:ascii="仿宋_GB2312" w:eastAsia="仿宋_GB2312" w:cs="DengXian-Regular" w:hint="eastAsia"/>
          <w:sz w:val="32"/>
          <w:szCs w:val="32"/>
        </w:rPr>
        <w:t>；</w:t>
      </w:r>
    </w:p>
    <w:p>
      <w:pPr>
        <w:adjustRightInd w:val="0"/>
        <w:snapToGrid w:val="0"/>
        <w:spacing w:after="0" w:line="580" w:lineRule="exact"/>
        <w:ind w:firstLineChars="200" w:firstLine="640"/>
        <w:rPr>
          <w:rFonts w:ascii="仿宋_GB2312" w:eastAsia="仿宋_GB2312" w:cs="DengXian-Regular" w:hint="eastAsia"/>
          <w:sz w:val="32"/>
          <w:szCs w:val="32"/>
          <w:lang w:eastAsia="zh-CN"/>
        </w:rPr>
      </w:pPr>
      <w:r>
        <w:rPr>
          <w:rFonts w:ascii="仿宋_GB2312" w:eastAsia="仿宋_GB2312" w:cs="DengXian-Regular" w:hint="eastAsia"/>
          <w:sz w:val="32"/>
          <w:szCs w:val="32"/>
        </w:rPr>
        <w:t>单位价值</w:t>
      </w:r>
      <w:r>
        <w:rPr>
          <w:rFonts w:ascii="仿宋_GB2312" w:eastAsia="仿宋_GB2312" w:cs="TimesNewRomanPSMT" w:hAnsi="TimesNewRomanPSMT" w:hint="eastAsia"/>
          <w:sz w:val="32"/>
          <w:szCs w:val="32"/>
        </w:rPr>
        <w:t>50</w:t>
      </w:r>
      <w:r>
        <w:rPr>
          <w:rFonts w:ascii="仿宋_GB2312" w:eastAsia="仿宋_GB2312" w:cs="DengXian-Regular" w:hint="eastAsia"/>
          <w:sz w:val="32"/>
          <w:szCs w:val="32"/>
        </w:rPr>
        <w:t>万元以上通用设备</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台（套），比上年</w:t>
      </w:r>
      <w:r>
        <w:rPr>
          <w:rFonts w:ascii="仿宋_GB2312" w:eastAsia="仿宋_GB2312" w:cs="DengXian-Regular" w:hint="eastAsia"/>
          <w:sz w:val="32"/>
          <w:szCs w:val="32"/>
          <w:lang w:eastAsia="zh-CN"/>
        </w:rPr>
        <w:t>无增减变化</w:t>
      </w:r>
      <w:r>
        <w:rPr>
          <w:rFonts w:ascii="仿宋_GB2312" w:eastAsia="仿宋_GB2312" w:cs="DengXian-Regular" w:hint="eastAsia"/>
          <w:sz w:val="32"/>
          <w:szCs w:val="32"/>
        </w:rPr>
        <w:t>，单位价值</w:t>
      </w:r>
      <w:r>
        <w:rPr>
          <w:rFonts w:ascii="仿宋_GB2312" w:eastAsia="仿宋_GB2312" w:cs="TimesNewRomanPSMT" w:hAnsi="TimesNewRomanPSMT" w:hint="eastAsia"/>
          <w:sz w:val="32"/>
          <w:szCs w:val="32"/>
        </w:rPr>
        <w:t>100</w:t>
      </w:r>
      <w:r>
        <w:rPr>
          <w:rFonts w:ascii="仿宋_GB2312" w:eastAsia="仿宋_GB2312" w:cs="DengXian-Regular" w:hint="eastAsia"/>
          <w:sz w:val="32"/>
          <w:szCs w:val="32"/>
        </w:rPr>
        <w:t>万元以上专用设备</w:t>
      </w:r>
      <w:r>
        <w:rPr>
          <w:rFonts w:ascii="仿宋_GB2312" w:eastAsia="仿宋_GB2312" w:cs="DengXian-Regular" w:hint="eastAsia"/>
          <w:sz w:val="32"/>
          <w:szCs w:val="32"/>
          <w:lang w:val="en-US" w:eastAsia="zh-CN"/>
        </w:rPr>
        <w:t>0</w:t>
      </w:r>
      <w:r>
        <w:rPr>
          <w:rFonts w:ascii="仿宋_GB2312" w:eastAsia="仿宋_GB2312" w:cs="DengXian-Regular" w:hint="eastAsia"/>
          <w:sz w:val="32"/>
          <w:szCs w:val="32"/>
        </w:rPr>
        <w:t>台比上年</w:t>
      </w:r>
      <w:r>
        <w:rPr>
          <w:rFonts w:ascii="仿宋_GB2312" w:eastAsia="仿宋_GB2312" w:cs="DengXian-Regular" w:hint="eastAsia"/>
          <w:sz w:val="32"/>
          <w:szCs w:val="32"/>
          <w:lang w:eastAsia="zh-CN"/>
        </w:rPr>
        <w:t>无增减变化。</w:t>
      </w:r>
    </w:p>
    <w:p>
      <w:pPr>
        <w:pStyle w:val="3"/>
        <w:spacing w:before="0" w:after="0" w:line="580" w:lineRule="exact"/>
        <w:ind w:firstLineChars="200" w:firstLine="640"/>
        <w:rPr>
          <w:rFonts w:ascii="楷体_GB2312" w:eastAsia="楷体_GB2312" w:cs="DengXian-Bold"/>
        </w:rPr>
      </w:pPr>
      <w:r>
        <w:rPr>
          <w:rFonts w:ascii="楷体_GB2312" w:eastAsia="楷体_GB2312" w:cs="DengXian-Bold" w:hint="eastAsia"/>
        </w:rPr>
        <w:t>（四）其他需要说明的情况</w:t>
      </w:r>
    </w:p>
    <w:p>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1、本部门2018年度</w:t>
      </w:r>
      <w:r>
        <w:rPr>
          <w:rFonts w:ascii="仿宋_GB2312" w:eastAsia="仿宋_GB2312" w:cs="DengXian-Regular" w:hint="eastAsia"/>
          <w:sz w:val="32"/>
          <w:szCs w:val="32"/>
          <w:lang w:eastAsia="zh-CN"/>
        </w:rPr>
        <w:t>国有资本经营预算财政拨款支出决算表</w:t>
      </w:r>
      <w:r>
        <w:rPr>
          <w:rFonts w:ascii="仿宋_GB2312" w:eastAsia="仿宋_GB2312" w:cs="DengXian-Regular" w:hint="eastAsia"/>
          <w:sz w:val="32"/>
          <w:szCs w:val="32"/>
        </w:rPr>
        <w:t>无收支及结转结余情况，故</w:t>
      </w:r>
      <w:r>
        <w:rPr>
          <w:rFonts w:ascii="仿宋_GB2312" w:eastAsia="仿宋_GB2312" w:cs="DengXian-Regular" w:hint="eastAsia"/>
          <w:sz w:val="32"/>
          <w:szCs w:val="32"/>
          <w:lang w:eastAsia="zh-CN"/>
        </w:rPr>
        <w:t>国有资本经营预算财政拨款支出决算表</w:t>
      </w:r>
      <w:r>
        <w:rPr>
          <w:rFonts w:ascii="仿宋_GB2312" w:eastAsia="仿宋_GB2312" w:cs="DengXian-Regular" w:hint="eastAsia"/>
          <w:sz w:val="32"/>
          <w:szCs w:val="32"/>
        </w:rPr>
        <w:t>以空表列示。</w:t>
      </w:r>
    </w:p>
    <w:p>
      <w:pPr>
        <w:adjustRightInd w:val="0"/>
        <w:snapToGrid w:val="0"/>
        <w:spacing w:after="0" w:line="580" w:lineRule="exact"/>
        <w:ind w:firstLineChars="200" w:firstLine="640"/>
        <w:rPr>
          <w:rFonts w:ascii="仿宋_GB2312" w:eastAsia="仿宋_GB2312" w:cs="DengXian-Regular"/>
          <w:sz w:val="32"/>
          <w:szCs w:val="32"/>
        </w:rPr>
      </w:pPr>
      <w:r>
        <w:rPr>
          <w:rFonts w:ascii="仿宋_GB2312" w:eastAsia="仿宋_GB2312" w:cs="DengXian-Regular" w:hint="eastAsia"/>
          <w:sz w:val="32"/>
          <w:szCs w:val="32"/>
        </w:rPr>
        <w:t>2、由于决算公开表格中金额数值应当保留两位小数，公开数据为四舍五入计算结</w:t>
      </w:r>
      <w:r>
        <w:rPr>
          <w:sz w:val="44"/>
        </w:rPr>
        <mc:AlternateContent>
          <mc:Choice Requires="wps">
            <w:drawing>
              <wp:anchor distT="0" distB="0" distL="0" distR="0" simplePos="0" relativeHeight="125" behindDoc="0" locked="1" layoutInCell="1" hidden="0" allowOverlap="1">
                <wp:simplePos x="0" y="0"/>
                <wp:positionH relativeFrom="column">
                  <wp:posOffset>-1015365</wp:posOffset>
                </wp:positionH>
                <wp:positionV relativeFrom="topMargin">
                  <wp:posOffset>372109</wp:posOffset>
                </wp:positionV>
                <wp:extent cx="3833495" cy="558166"/>
                <wp:effectExtent l="1270" t="0" r="13334" b="13334"/>
                <wp:wrapNone/>
                <wp:docPr id="1148" name="组合 91"/>
                <wp:cNvGraphicFramePr>
                  <a:graphicFrameLocks noChangeAspect="0"/>
                </wp:cNvGraphicFramePr>
                <a:graphic>
                  <a:graphicData uri="http://schemas.microsoft.com/office/word/2010/wordprocessingGroup">
                    <wpg:wgp>
                      <wpg:cNvPr id="156" name="组合 91 156"/>
                      <wpg:cNvGrpSpPr/>
                      <wpg:grpSpPr>
                        <a:xfrm rot="0">
                          <a:off x="0" y="0"/>
                          <a:ext cx="3833495" cy="558166"/>
                          <a:chOff x="0" y="0"/>
                          <a:chExt cx="3833495" cy="558166"/>
                        </a:xfrm>
                        <a:prstGeom prst="rect"/>
                        <a:solidFill>
                          <a:srgbClr val="FFFFFF"/>
                        </a:solidFill>
                        <a:ln w="9525" cmpd="sng" cap="flat">
                          <a:solidFill>
                            <a:srgbClr val="000000"/>
                          </a:solidFill>
                          <a:prstDash val="solid"/>
                          <a:miter/>
                        </a:ln>
                      </wpg:grpSpPr>
                      <wps:wsp>
                        <wps:cNvPr id="157" name="矩形 1061 157 157"/>
                        <wps:cNvSpPr/>
                        <wps:spPr>
                          <a:xfrm rot="0">
                            <a:off x="0" y="0"/>
                            <a:ext cx="3833495" cy="469131"/>
                          </a:xfrm>
                          <a:prstGeom prst="rect"/>
                          <a:solidFill>
                            <a:srgbClr val="D8D8D8"/>
                          </a:solidFill>
                          <a:ln cmpd="sng" cap="flat">
                            <a:noFill/>
                            <a:prstDash val="solid"/>
                            <a:round/>
                          </a:ln>
                        </wps:spPr>
                        <wps:bodyPr vert="horz" wrap="square" lIns="91440" tIns="45720" rIns="91440" bIns="45720" anchor="t" anchorCtr="0" upright="0">
                          <a:noAutofit/>
                        </wps:bodyPr>
                      </wps:wsp>
                      <wps:wsp>
                        <wps:cNvPr id="158" name="矩形 1063 158 158"/>
                        <wps:cNvSpPr/>
                        <wps:spPr>
                          <a:xfrm rot="0">
                            <a:off x="11662" y="109797"/>
                            <a:ext cx="3733912" cy="448369"/>
                          </a:xfrm>
                          <a:prstGeom prst="rect"/>
                          <a:solidFill>
                            <a:srgbClr val="AD002D"/>
                          </a:solidFill>
                          <a:ln w="25400" cmpd="sng" cap="flat">
                            <a:solidFill>
                              <a:srgbClr val="AF7621"/>
                            </a:solidFill>
                            <a:prstDash val="solid"/>
                            <a:round/>
                          </a:ln>
                        </wps:spPr>
                        <wps:txbx id="159">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2018年度部门决算☞部门决算情况说明</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91" o:spid="_x0000_s160" coordorigin="-10,585" coordsize="6037,879" style="position:absolute;margin-left:-79.95pt;margin-top:29.299921pt;width:301.85pt;height:43.95008pt;z-index:125;mso-position-horizontal:absolute;mso-position-vertical:absolute;mso-position-vertical-relative:top-margin-area;mso-wrap-distance-left:0.0pt;mso-wrap-distance-right:0.0pt;">
                <v:rect type="#_x0000_t1" id="矩形 1061 157 157" o:spid="_x0000_s161" style="position:absolute;left:-10;top:585;width:6037;height:738;" fillcolor="#D8D8D8" stroked="f" strokeweight="-1.0pt">
                  <v:stroke/>
                </v:rect>
                <v:rect type="#_x0000_t1" id="_s162" o:spid="_x0000_s162" style="position:absolute;left:7;top:758;width:5880;height:706;mso-wrap-style:square;" fillcolor="#AD002D" stroked="t" strokeweight="2.0pt">
                  <v:textbox id="883"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2018年度部门决算☞部门决算情况说明</w:t>
                        </w:r>
                      </w:p>
                      <w:p>
                        <w:pPr>
                          <w:jc w:val="center"/>
                        </w:pPr>
                      </w:p>
                    </w:txbxContent>
                  </v:textbox>
                  <v:stroke color="#AF7621"/>
                </v:rect>
                <w10:anchorLock/>
              </v:group>
            </w:pict>
          </mc:Fallback>
        </mc:AlternateContent>
      </w:r>
      <w:r>
        <w:rPr>
          <w:rFonts w:ascii="仿宋_GB2312" w:eastAsia="仿宋_GB2312" w:cs="DengXian-Regular" w:hint="eastAsia"/>
          <w:sz w:val="32"/>
          <w:szCs w:val="32"/>
        </w:rPr>
        <w:t>果，个别数据合计项与分项之和存在小数点后差额，特此说明。</w:t>
      </w:r>
    </w:p>
    <w:p>
      <w:pPr>
        <w:widowControl/>
        <w:spacing w:after="0" w:line="580" w:lineRule="exact"/>
        <w:ind w:firstLineChars="200" w:firstLine="880"/>
        <w:jc w:val="left"/>
        <w:rPr>
          <w:rFonts w:ascii="宋体" w:cs="MS-UIGothic,Bold" w:hAnsi="宋体"/>
          <w:b/>
          <w:bCs/>
          <w:kern w:val="0"/>
          <w:sz w:val="44"/>
          <w:szCs w:val="44"/>
        </w:rPr>
        <w:sectPr>
          <w:pgSz w:w="11906" w:h="16838"/>
          <w:pgMar w:top="2098" w:right="1474" w:bottom="1984" w:left="1588" w:header="851" w:footer="992" w:gutter="0"/>
          <w:pgNumType w:fmt="numberInDash"/>
          <w:cols w:num="1" w:space="0"/>
          <w:docGrid w:type="lines" w:linePitch="312" w:charSpace="0"/>
        </w:sectPr>
      </w:pPr>
    </w:p>
    <w:p>
      <w:pPr>
        <w:rPr>
          <w:rFonts w:ascii="宋体" w:cs="ArialUnicodeMS" w:hAnsi="宋体"/>
          <w:color w:val="000000"/>
          <w:kern w:val="0"/>
        </w:rPr>
        <w:sectPr>
          <w:pgSz w:w="11906" w:h="16838"/>
          <w:pgMar w:top="2098" w:right="1474" w:bottom="1984" w:left="1588" w:header="851" w:footer="992" w:gutter="0"/>
          <w:pgNumType w:fmt="numberInDash"/>
          <w:cols w:num="1" w:space="0"/>
          <w:docGrid w:type="lines" w:linePitch="312" w:charSpace="0"/>
        </w:sectPr>
      </w:pPr>
      <w:r>
        <w:rPr>
          <w:rFonts w:ascii="宋体" w:cs="ArialUnicodeMS" w:hAnsi="宋体" w:hint="eastAsia"/>
          <w:color w:val="000000"/>
          <w:kern w:val="0"/>
        </w:rPr>
        <w:drawing>
          <wp:anchor distT="0" distB="0" distL="0" distR="0" simplePos="0" relativeHeight="10" behindDoc="1" locked="0" layoutInCell="1" hidden="0" allowOverlap="1">
            <wp:simplePos x="0" y="0"/>
            <wp:positionH relativeFrom="column">
              <wp:posOffset>-1009015</wp:posOffset>
            </wp:positionH>
            <wp:positionV relativeFrom="paragraph">
              <wp:posOffset>-1337945</wp:posOffset>
            </wp:positionV>
            <wp:extent cx="7550150" cy="10680065"/>
            <wp:effectExtent l="0" t="0" r="12700" b="6985"/>
            <wp:wrapNone/>
            <wp:docPr id="1149" name="图片 21"/>
            <wp:cNvGraphicFramePr>
              <a:graphicFrameLocks noChangeAspect="0"/>
            </wp:cNvGraphicFramePr>
            <a:graphic>
              <a:graphicData uri="http://schemas.openxmlformats.org/drawingml/2006/picture">
                <pic:pic>
                  <pic:nvPicPr>
                    <pic:cNvPr id="163" name="图片 21 163"/>
                    <pic:cNvPicPr/>
                  </pic:nvPicPr>
                  <pic:blipFill>
                    <a:blip r:embed="rId19"/>
                    <a:stretch>
                      <a:fillRect/>
                    </a:stretch>
                  </pic:blipFill>
                  <pic:spPr>
                    <a:xfrm rot="0">
                      <a:off x="0" y="0"/>
                      <a:ext cx="7550150" cy="10680065"/>
                    </a:xfrm>
                    <a:prstGeom prst="rect"/>
                    <a:noFill/>
                    <a:ln w="9525" cmpd="sng" cap="flat">
                      <a:noFill/>
                      <a:prstDash val="solid"/>
                      <a:miter/>
                    </a:ln>
                  </pic:spPr>
                </pic:pic>
              </a:graphicData>
            </a:graphic>
          </wp:anchor>
        </w:drawing>
      </w:r>
      <w:r>
        <w:rPr>
          <w:sz w:val="72"/>
        </w:rPr>
        <mc:AlternateContent>
          <mc:Choice Requires="wps">
            <w:drawing>
              <wp:anchor distT="0" distB="0" distL="0" distR="0" simplePos="0" relativeHeight="127" behindDoc="0" locked="0" layoutInCell="1" hidden="0" allowOverlap="1">
                <wp:simplePos x="0" y="0"/>
                <wp:positionH relativeFrom="column">
                  <wp:posOffset>-999490</wp:posOffset>
                </wp:positionH>
                <wp:positionV relativeFrom="paragraph">
                  <wp:posOffset>2956560</wp:posOffset>
                </wp:positionV>
                <wp:extent cx="7571740" cy="2020570"/>
                <wp:effectExtent l="0" t="0" r="0" b="0"/>
                <wp:wrapNone/>
                <wp:docPr id="1116" name="文本框 22"/>
                <wp:cNvGraphicFramePr>
                  <a:graphicFrameLocks noChangeAspect="0"/>
                </wp:cNvGraphicFramePr>
                <a:graphic>
                  <a:graphicData uri="http://schemas.microsoft.com/office/word/2010/wordprocessingShape">
                    <wps:wsp>
                      <wps:cNvSpPr/>
                      <wps:spPr>
                        <a:xfrm rot="0">
                          <a:off x="0" y="0"/>
                          <a:ext cx="7571740" cy="2020570"/>
                        </a:xfrm>
                        <a:prstGeom prst="rect"/>
                        <a:noFill/>
                        <a:ln cmpd="sng" cap="flat">
                          <a:noFill/>
                          <a:prstDash val="solid"/>
                          <a:round/>
                        </a:ln>
                      </wps:spPr>
                      <wps:txbx id="164">
                        <w:txbxContent>
                          <w:p>
                            <w:pPr>
                              <w:widowControl/>
                              <w:spacing w:line="1200" w:lineRule="exact"/>
                              <w:jc w:val="center"/>
                              <w:rPr>
                                <w:rFonts w:ascii="黑体" w:eastAsia="黑体" w:hAnsi="宋体"/>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第四部分</w:t>
                            </w:r>
                          </w:p>
                          <w:p>
                            <w:pPr>
                              <w:widowControl/>
                              <w:spacing w:line="1200" w:lineRule="exact"/>
                              <w:jc w:val="center"/>
                              <w:rPr>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相关名词解释</w:t>
                            </w:r>
                          </w:p>
                        </w:txbxContent>
                      </wps:txbx>
                      <wps:bodyPr vert="horz" wrap="square" lIns="91440" tIns="45720" rIns="91440" bIns="45720" anchor="t" anchorCtr="0" upright="0">
                        <a:noAutofit/>
                      </wps:bodyPr>
                    </wps:wsp>
                  </a:graphicData>
                </a:graphic>
              </wp:anchor>
            </w:drawing>
          </mc:Choice>
          <mc:Fallback>
            <w:pict>
              <v:rect type="#_x0000_t1" id="文本框 22" o:spid="_x0000_s165" filled="f" stroked="f" strokeweight="-1.0pt" style="position:absolute;margin-left:-78.7pt;margin-top:232.80002pt;width:596.2pt;height:159.10002pt;z-index:127;mso-position-horizontal:absolute;mso-position-vertical:absolute;mso-wrap-distance-left:0.0pt;mso-wrap-distance-right:0.0pt;mso-wrap-style:square;">
                <v:stroke/>
                <v:textbox id="885" inset="2.54mm,1.27mm,2.54mm,1.27mm" o:insetmode="custom" style="layout-flow:horizontal;v-text-anchor:top;">
                  <w:txbxContent>
                    <w:p>
                      <w:pPr>
                        <w:widowControl/>
                        <w:spacing w:line="1200" w:lineRule="exact"/>
                        <w:jc w:val="center"/>
                        <w:rPr>
                          <w:rFonts w:ascii="黑体" w:eastAsia="黑体" w:hAnsi="宋体"/>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第四部分</w:t>
                      </w:r>
                    </w:p>
                    <w:p>
                      <w:pPr>
                        <w:widowControl/>
                        <w:spacing w:line="1200" w:lineRule="exact"/>
                        <w:jc w:val="center"/>
                        <w:rPr>
                          <w:color w:val="FDEFBE"/>
                          <w:sz w:val="96"/>
                          <w:szCs w:val="96"/>
                          <w14:shadow w14:sx="100000" w14:sy="100000" w14:blurRad="38100" w14:dir="5400000" w14:dist="12700" w14:algn="tl">
                            <w14:srgbClr w14:val="000000">
                              <w14:alpha w14:val="70000"/>
                            </w14:srgbClr>
                          </w14:shadow>
                        </w:rPr>
                      </w:pPr>
                      <w:r>
                        <w:rPr>
                          <w:rFonts w:ascii="黑体" w:eastAsia="黑体" w:hAnsi="宋体" w:hint="eastAsia"/>
                          <w:color w:val="FDEFBE"/>
                          <w:sz w:val="96"/>
                          <w:szCs w:val="96"/>
                          <w14:shadow w14:sx="100000" w14:sy="100000" w14:blurRad="38100" w14:dir="5400000" w14:dist="12700" w14:algn="tl">
                            <w14:srgbClr w14:val="000000">
                              <w14:alpha w14:val="70000"/>
                            </w14:srgbClr>
                          </w14:shadow>
                        </w:rPr>
                        <w:t>相关名词解释</w:t>
                      </w:r>
                    </w:p>
                  </w:txbxContent>
                </v:textbox>
              </v:rect>
            </w:pict>
          </mc:Fallback>
        </mc:AlternateConten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（一）财政拨款收入：</w:t>
      </w:r>
      <w:r>
        <w:rPr>
          <w:rFonts w:ascii="仿宋_GB2312" w:eastAsia="仿宋_GB2312" w:hAnsi="宋体" w:hint="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（二）事业收入：</w:t>
      </w:r>
      <w:r>
        <w:rPr>
          <w:rFonts w:ascii="仿宋_GB2312" w:eastAsia="仿宋_GB2312" w:hAnsi="宋体" w:hint="eastAsia"/>
          <w:color w:val="000000"/>
          <w:kern w:val="0"/>
          <w:sz w:val="32"/>
          <w:szCs w:val="32"/>
        </w:rPr>
        <w:t>指事业单位开展专业业务活动及辅助活动所取得的收入。</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（三）其他收入：</w:t>
      </w:r>
      <w:r>
        <w:rPr>
          <w:rFonts w:ascii="仿宋_GB2312" w:eastAsia="仿宋_GB2312" w:hAnsi="宋体" w:hint="eastAsia"/>
          <w:color w:val="000000"/>
          <w:kern w:val="0"/>
          <w:sz w:val="32"/>
          <w:szCs w:val="32"/>
        </w:rPr>
        <w:t>指除上述“财政拨款收入”、“事业收入”、“经营收入”等以外的收入。</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（四）用事业基金弥补收支差额：</w:t>
      </w:r>
      <w:r>
        <w:rPr>
          <w:rFonts w:ascii="仿宋_GB2312" w:eastAsia="仿宋_GB2312" w:hAnsi="宋体"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（五）年初结转和结余：</w:t>
      </w:r>
      <w:r>
        <w:rPr>
          <w:rFonts w:ascii="仿宋_GB2312" w:eastAsia="仿宋_GB2312" w:hAnsi="宋体" w:hint="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（六）结余分配：</w:t>
      </w:r>
      <w:r>
        <w:rPr>
          <w:rFonts w:ascii="仿宋_GB2312" w:eastAsia="仿宋_GB2312" w:hAnsi="宋体" w:hint="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（七）年末结转和结</w:t>
      </w:r>
      <w:r>
        <w:rPr>
          <w:rFonts w:ascii="仿宋_GB2312" w:eastAsia="仿宋_GB2312" w:hAnsi="宋体" w:hint="eastAsia"/>
          <w:b/>
          <w:bCs/>
          <w:color w:val="000000"/>
          <w:kern w:val="0"/>
          <w:sz w:val="32"/>
          <w:szCs w:val="32"/>
        </w:rPr>
        <mc:AlternateContent>
          <mc:Choice Requires="wps">
            <w:drawing>
              <wp:anchor distT="0" distB="0" distL="0" distR="0" simplePos="0" relativeHeight="129" behindDoc="0" locked="1" layoutInCell="1" hidden="0" allowOverlap="1">
                <wp:simplePos x="0" y="0"/>
                <wp:positionH relativeFrom="column">
                  <wp:posOffset>-1028700</wp:posOffset>
                </wp:positionH>
                <wp:positionV relativeFrom="page">
                  <wp:posOffset>503555</wp:posOffset>
                </wp:positionV>
                <wp:extent cx="3363595" cy="558165"/>
                <wp:effectExtent l="2540" t="0" r="5715" b="13334"/>
                <wp:wrapNone/>
                <wp:docPr id="1150" name="组合 149"/>
                <wp:cNvGraphicFramePr>
                  <a:graphicFrameLocks noChangeAspect="0"/>
                </wp:cNvGraphicFramePr>
                <a:graphic>
                  <a:graphicData uri="http://schemas.microsoft.com/office/word/2010/wordprocessingGroup">
                    <wpg:wgp>
                      <wpg:cNvPr id="166" name="组合 149 166"/>
                      <wpg:cNvGrpSpPr/>
                      <wpg:grpSpPr>
                        <a:xfrm rot="0">
                          <a:off x="0" y="0"/>
                          <a:ext cx="3363595" cy="558165"/>
                          <a:chOff x="0" y="0"/>
                          <a:chExt cx="3363595" cy="558165"/>
                        </a:xfrm>
                        <a:prstGeom prst="rect"/>
                        <a:solidFill>
                          <a:srgbClr val="FFFFFF"/>
                        </a:solidFill>
                        <a:ln w="9525" cmpd="sng" cap="flat">
                          <a:solidFill>
                            <a:srgbClr val="000000"/>
                          </a:solidFill>
                          <a:prstDash val="solid"/>
                          <a:miter/>
                        </a:ln>
                      </wpg:grpSpPr>
                      <wps:wsp>
                        <wps:cNvPr id="167" name="矩形 1064 167 167"/>
                        <wps:cNvSpPr/>
                        <wps:spPr>
                          <a:xfrm rot="0">
                            <a:off x="0" y="0"/>
                            <a:ext cx="3363595" cy="469131"/>
                          </a:xfrm>
                          <a:prstGeom prst="rect"/>
                          <a:solidFill>
                            <a:srgbClr val="D8D8D8"/>
                          </a:solidFill>
                          <a:ln cmpd="sng" cap="flat">
                            <a:noFill/>
                            <a:prstDash val="solid"/>
                            <a:round/>
                          </a:ln>
                        </wps:spPr>
                        <wps:bodyPr vert="horz" wrap="square" lIns="91440" tIns="45720" rIns="91440" bIns="45720" anchor="t" anchorCtr="0" upright="0">
                          <a:noAutofit/>
                        </wps:bodyPr>
                      </wps:wsp>
                      <wps:wsp>
                        <wps:cNvPr id="168" name="矩形 1066 168 168"/>
                        <wps:cNvSpPr/>
                        <wps:spPr>
                          <a:xfrm rot="0">
                            <a:off x="10233" y="109797"/>
                            <a:ext cx="3276219" cy="448368"/>
                          </a:xfrm>
                          <a:prstGeom prst="rect"/>
                          <a:solidFill>
                            <a:srgbClr val="AD002D"/>
                          </a:solidFill>
                          <a:ln w="25400" cmpd="sng" cap="flat">
                            <a:solidFill>
                              <a:srgbClr val="AF7621"/>
                            </a:solidFill>
                            <a:prstDash val="solid"/>
                            <a:round/>
                          </a:ln>
                        </wps:spPr>
                        <wps:txbx id="169">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2018年度部门决算☞名词解释</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149" o:spid="_x0000_s170" coordorigin="-31,793" coordsize="5297,879" style="position:absolute;margin-left:-81.0pt;margin-top:39.65pt;width:264.85pt;height:43.950077pt;z-index:129;mso-position-horizontal:absolute;mso-position-vertical:absolute;mso-position-vertical-relative:page;mso-wrap-distance-left:0.0pt;mso-wrap-distance-right:0.0pt;">
                <v:rect type="#_x0000_t1" id="矩形 1064 167 167" o:spid="_x0000_s171" style="position:absolute;left:-31;top:793;width:5297;height:738;" fillcolor="#D8D8D8" stroked="f" strokeweight="-1.0pt">
                  <v:stroke/>
                </v:rect>
                <v:rect type="#_x0000_t1" id="_s172" o:spid="_x0000_s172" style="position:absolute;left:-15;top:965;width:5159;height:706;mso-wrap-style:square;" fillcolor="#AD002D" stroked="t" strokeweight="2.0pt">
                  <v:textbox id="886"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2018年度部门决算☞名词解释</w:t>
                        </w:r>
                      </w:p>
                      <w:p>
                        <w:pPr>
                          <w:jc w:val="center"/>
                        </w:pPr>
                      </w:p>
                    </w:txbxContent>
                  </v:textbox>
                  <v:stroke color="#AF7621"/>
                </v:rect>
                <w10:anchorLock/>
              </v:group>
            </w:pict>
          </mc:Fallback>
        </mc:AlternateContent>
      </w:r>
      <w:r>
        <w:rPr>
          <w:rFonts w:ascii="仿宋_GB2312" w:eastAsia="仿宋_GB2312" w:hAnsi="宋体" w:hint="eastAsia"/>
          <w:b/>
          <w:bCs/>
          <w:color w:val="000000"/>
          <w:kern w:val="0"/>
          <w:sz w:val="32"/>
          <w:szCs w:val="32"/>
        </w:rPr>
        <w:t>余：</w:t>
      </w:r>
      <w:r>
        <w:rPr>
          <w:rFonts w:ascii="仿宋_GB2312" w:eastAsia="仿宋_GB2312" w:hAnsi="宋体" w:hint="eastAsia"/>
          <w:color w:val="000000"/>
          <w:kern w:val="0"/>
          <w:sz w:val="32"/>
          <w:szCs w:val="32"/>
        </w:rPr>
        <w:t>指单位按有关规定结转到下年或以后年度继续使用的资金，或项目已完成等产生的结余资金。</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（八）基本支出：</w:t>
      </w:r>
      <w:r>
        <w:rPr>
          <w:rFonts w:ascii="仿宋_GB2312" w:eastAsia="仿宋_GB2312" w:hAnsi="宋体" w:hint="eastAsia"/>
          <w:color w:val="000000"/>
          <w:kern w:val="0"/>
          <w:sz w:val="32"/>
          <w:szCs w:val="32"/>
        </w:rPr>
        <w:t>填列单位为保障机构正常运转、完成日常工作任务而发生的各项支出。</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（九）项目支出：</w:t>
      </w:r>
      <w:r>
        <w:rPr>
          <w:rFonts w:ascii="仿宋_GB2312" w:eastAsia="仿宋_GB2312" w:hAnsi="宋体" w:hint="eastAsia"/>
          <w:color w:val="000000"/>
          <w:kern w:val="0"/>
          <w:sz w:val="32"/>
          <w:szCs w:val="32"/>
        </w:rPr>
        <w:t>填列单位为完成特定的行政工作任务或事业发展目标，在基本支出之外发生的各项支出</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（十）基本建设支出：</w:t>
      </w:r>
      <w:r>
        <w:rPr>
          <w:rFonts w:ascii="仿宋_GB2312" w:eastAsia="仿宋_GB2312" w:hAnsi="宋体"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（十一）其他资本性支出：</w:t>
      </w:r>
      <w:r>
        <w:rPr>
          <w:rFonts w:ascii="仿宋_GB2312" w:eastAsia="仿宋_GB2312" w:hAnsi="宋体"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（十二）“三公”经费：</w:t>
      </w:r>
      <w:r>
        <w:rPr>
          <w:rFonts w:ascii="仿宋_GB2312" w:eastAsia="仿宋_GB2312" w:hAnsi="宋体"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宋体" w:hint="eastAsia"/>
          <w:b/>
          <w:bCs/>
          <w:color w:val="000000"/>
          <w:kern w:val="0"/>
          <w:sz w:val="32"/>
          <w:szCs w:val="32"/>
        </w:rPr>
        <mc:AlternateContent>
          <mc:Choice Requires="wps">
            <w:drawing>
              <wp:anchor distT="0" distB="0" distL="0" distR="0" simplePos="0" relativeHeight="131" behindDoc="0" locked="1" layoutInCell="1" hidden="0" allowOverlap="1">
                <wp:simplePos x="0" y="0"/>
                <wp:positionH relativeFrom="column">
                  <wp:posOffset>-1028700</wp:posOffset>
                </wp:positionH>
                <wp:positionV relativeFrom="page">
                  <wp:posOffset>503555</wp:posOffset>
                </wp:positionV>
                <wp:extent cx="3363595" cy="558165"/>
                <wp:effectExtent l="2540" t="0" r="5715" b="13334"/>
                <wp:wrapNone/>
                <wp:docPr id="1151" name="组合 94"/>
                <wp:cNvGraphicFramePr>
                  <a:graphicFrameLocks noChangeAspect="0"/>
                </wp:cNvGraphicFramePr>
                <a:graphic>
                  <a:graphicData uri="http://schemas.microsoft.com/office/word/2010/wordprocessingGroup">
                    <wpg:wgp>
                      <wpg:cNvPr id="173" name="组合 94 173"/>
                      <wpg:cNvGrpSpPr/>
                      <wpg:grpSpPr>
                        <a:xfrm rot="0">
                          <a:off x="0" y="0"/>
                          <a:ext cx="3363595" cy="558165"/>
                          <a:chOff x="0" y="0"/>
                          <a:chExt cx="3363595" cy="558165"/>
                        </a:xfrm>
                        <a:prstGeom prst="rect"/>
                        <a:solidFill>
                          <a:srgbClr val="FFFFFF"/>
                        </a:solidFill>
                        <a:ln w="9525" cmpd="sng" cap="flat">
                          <a:solidFill>
                            <a:srgbClr val="000000"/>
                          </a:solidFill>
                          <a:prstDash val="solid"/>
                          <a:miter/>
                        </a:ln>
                      </wpg:grpSpPr>
                      <wps:wsp>
                        <wps:cNvPr id="174" name="矩形 1067 174 174"/>
                        <wps:cNvSpPr/>
                        <wps:spPr>
                          <a:xfrm rot="0">
                            <a:off x="0" y="0"/>
                            <a:ext cx="3363595" cy="469131"/>
                          </a:xfrm>
                          <a:prstGeom prst="rect"/>
                          <a:solidFill>
                            <a:srgbClr val="D8D8D8"/>
                          </a:solidFill>
                          <a:ln cmpd="sng" cap="flat">
                            <a:noFill/>
                            <a:prstDash val="solid"/>
                            <a:round/>
                          </a:ln>
                        </wps:spPr>
                        <wps:bodyPr vert="horz" wrap="square" lIns="91440" tIns="45720" rIns="91440" bIns="45720" anchor="t" anchorCtr="0" upright="0">
                          <a:noAutofit/>
                        </wps:bodyPr>
                      </wps:wsp>
                      <wps:wsp>
                        <wps:cNvPr id="175" name="矩形 1069 175 175"/>
                        <wps:cNvSpPr/>
                        <wps:spPr>
                          <a:xfrm rot="0">
                            <a:off x="10233" y="109797"/>
                            <a:ext cx="3276219" cy="448368"/>
                          </a:xfrm>
                          <a:prstGeom prst="rect"/>
                          <a:solidFill>
                            <a:srgbClr val="AD002D"/>
                          </a:solidFill>
                          <a:ln w="25400" cmpd="sng" cap="flat">
                            <a:solidFill>
                              <a:srgbClr val="AF7621"/>
                            </a:solidFill>
                            <a:prstDash val="solid"/>
                            <a:round/>
                          </a:ln>
                        </wps:spPr>
                        <wps:txbx id="176">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2018年度部门决算☞名词解释</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94" o:spid="_x0000_s177" coordorigin="-31,793" coordsize="5297,879" style="position:absolute;margin-left:-81.0pt;margin-top:39.65pt;width:264.85pt;height:43.950077pt;z-index:131;mso-position-horizontal:absolute;mso-position-vertical:absolute;mso-position-vertical-relative:page;mso-wrap-distance-left:0.0pt;mso-wrap-distance-right:0.0pt;">
                <v:rect type="#_x0000_t1" id="矩形 1067 174 174" o:spid="_x0000_s178" style="position:absolute;left:-31;top:793;width:5297;height:738;" fillcolor="#D8D8D8" stroked="f" strokeweight="-1.0pt">
                  <v:stroke/>
                </v:rect>
                <v:rect type="#_x0000_t1" id="_s179" o:spid="_x0000_s179" style="position:absolute;left:-15;top:965;width:5159;height:706;mso-wrap-style:square;" fillcolor="#AD002D" stroked="t" strokeweight="2.0pt">
                  <v:textbox id="887"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2018年度部门决算☞名词解释</w:t>
                        </w:r>
                      </w:p>
                      <w:p>
                        <w:pPr>
                          <w:jc w:val="center"/>
                        </w:pPr>
                      </w:p>
                    </w:txbxContent>
                  </v:textbox>
                  <v:stroke color="#AF7621"/>
                </v:rect>
                <w10:anchorLock/>
              </v:group>
            </w:pict>
          </mc:Fallback>
        </mc:AlternateContent>
      </w:r>
      <w:r>
        <w:rPr>
          <w:rFonts w:ascii="仿宋_GB2312" w:eastAsia="仿宋_GB2312" w:hAnsi="宋体" w:hint="eastAsia"/>
          <w:color w:val="000000"/>
          <w:kern w:val="0"/>
          <w:sz w:val="32"/>
          <w:szCs w:val="32"/>
        </w:rPr>
        <w:t>待费反映单位按规定开支的各类公务接待（含外宾接待）支出。</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（十三）其</w:t>
      </w:r>
      <w:r>
        <w:rPr>
          <w:rFonts w:ascii="仿宋_GB2312" w:eastAsia="仿宋_GB2312" w:hAnsi="宋体" w:hint="eastAsia"/>
          <w:b/>
          <w:bCs/>
          <w:color w:val="000000"/>
          <w:kern w:val="0"/>
          <w:sz w:val="32"/>
          <w:szCs w:val="32"/>
        </w:rPr>
        <mc:AlternateContent>
          <mc:Choice Requires="wps">
            <w:drawing>
              <wp:anchor distT="0" distB="0" distL="0" distR="0" simplePos="0" relativeHeight="133" behindDoc="0" locked="1" layoutInCell="1" hidden="0" allowOverlap="1">
                <wp:simplePos x="0" y="0"/>
                <wp:positionH relativeFrom="column">
                  <wp:posOffset>-1028700</wp:posOffset>
                </wp:positionH>
                <wp:positionV relativeFrom="page">
                  <wp:posOffset>503555</wp:posOffset>
                </wp:positionV>
                <wp:extent cx="3363595" cy="558165"/>
                <wp:effectExtent l="2540" t="0" r="5715" b="13334"/>
                <wp:wrapNone/>
                <wp:docPr id="1152" name="组合 97"/>
                <wp:cNvGraphicFramePr>
                  <a:graphicFrameLocks noChangeAspect="0"/>
                </wp:cNvGraphicFramePr>
                <a:graphic>
                  <a:graphicData uri="http://schemas.microsoft.com/office/word/2010/wordprocessingGroup">
                    <wpg:wgp>
                      <wpg:cNvPr id="180" name="组合 97 180"/>
                      <wpg:cNvGrpSpPr/>
                      <wpg:grpSpPr>
                        <a:xfrm rot="0">
                          <a:off x="0" y="0"/>
                          <a:ext cx="3363595" cy="558165"/>
                          <a:chOff x="0" y="0"/>
                          <a:chExt cx="3363595" cy="558165"/>
                        </a:xfrm>
                        <a:prstGeom prst="rect"/>
                        <a:solidFill>
                          <a:srgbClr val="FFFFFF"/>
                        </a:solidFill>
                        <a:ln w="9525" cmpd="sng" cap="flat">
                          <a:solidFill>
                            <a:srgbClr val="000000"/>
                          </a:solidFill>
                          <a:prstDash val="solid"/>
                          <a:miter/>
                        </a:ln>
                      </wpg:grpSpPr>
                      <wps:wsp>
                        <wps:cNvPr id="181" name="矩形 1070 181 181"/>
                        <wps:cNvSpPr/>
                        <wps:spPr>
                          <a:xfrm rot="0">
                            <a:off x="0" y="0"/>
                            <a:ext cx="3363595" cy="469131"/>
                          </a:xfrm>
                          <a:prstGeom prst="rect"/>
                          <a:solidFill>
                            <a:srgbClr val="D8D8D8"/>
                          </a:solidFill>
                          <a:ln cmpd="sng" cap="flat">
                            <a:noFill/>
                            <a:prstDash val="solid"/>
                            <a:round/>
                          </a:ln>
                        </wps:spPr>
                        <wps:bodyPr vert="horz" wrap="square" lIns="91440" tIns="45720" rIns="91440" bIns="45720" anchor="t" anchorCtr="0" upright="0">
                          <a:noAutofit/>
                        </wps:bodyPr>
                      </wps:wsp>
                      <wps:wsp>
                        <wps:cNvPr id="182" name="矩形 1074 182 182"/>
                        <wps:cNvSpPr/>
                        <wps:spPr>
                          <a:xfrm rot="0">
                            <a:off x="10233" y="109797"/>
                            <a:ext cx="3276219" cy="448368"/>
                          </a:xfrm>
                          <a:prstGeom prst="rect"/>
                          <a:solidFill>
                            <a:srgbClr val="AD002D"/>
                          </a:solidFill>
                          <a:ln w="25400" cmpd="sng" cap="flat">
                            <a:solidFill>
                              <a:srgbClr val="AF7621"/>
                            </a:solidFill>
                            <a:prstDash val="solid"/>
                            <a:round/>
                          </a:ln>
                        </wps:spPr>
                        <wps:txbx id="183">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2018年度部门决算☞名词解释</w:t>
                              </w:r>
                            </w:p>
                            <w:p>
                              <w:pPr>
                                <w:jc w:val="center"/>
                              </w:pPr>
                            </w:p>
                          </w:txbxContent>
                        </wps:txbx>
                        <wps:bodyPr vert="horz" wrap="square" lIns="91440" tIns="45720" rIns="91440" bIns="45720" anchor="ctr" anchorCtr="0" upright="0">
                          <a:noAutofit/>
                        </wps:bodyPr>
                      </wps:wsp>
                      <wps:bodyPr vert="horz" wrap="square" lIns="91440" tIns="45720" rIns="91440" bIns="45720" anchor="t" anchorCtr="0" upright="1">
                        <a:noAutofit/>
                      </wps:bodyPr>
                    </wpg:wgp>
                  </a:graphicData>
                </a:graphic>
              </wp:anchor>
            </w:drawing>
          </mc:Choice>
          <mc:Fallback>
            <w:pict>
              <v:group type="#_x0000_t1" id="组合 97" o:spid="_x0000_s184" coordorigin="-31,793" coordsize="5297,879" style="position:absolute;margin-left:-81.0pt;margin-top:39.65pt;width:264.85pt;height:43.950077pt;z-index:133;mso-position-horizontal:absolute;mso-position-vertical:absolute;mso-position-vertical-relative:page;mso-wrap-distance-left:0.0pt;mso-wrap-distance-right:0.0pt;">
                <v:rect type="#_x0000_t1" id="矩形 1070 181 181" o:spid="_x0000_s185" style="position:absolute;left:-31;top:793;width:5297;height:738;" fillcolor="#D8D8D8" stroked="f" strokeweight="-1.0pt">
                  <v:stroke/>
                </v:rect>
                <v:rect type="#_x0000_t1" id="_s186" o:spid="_x0000_s186" style="position:absolute;left:-15;top:965;width:5159;height:706;mso-wrap-style:square;" fillcolor="#AD002D" stroked="t" strokeweight="2.0pt">
                  <v:textbox id="888" inset="2.54mm,1.27mm,2.54mm,1.27mm" o:insetmode="custom" style="layout-flow:horizontal;v-text-anchor:middle;">
                    <w:txbxContent>
                      <w:p>
                        <w:pPr>
                          <w:widowControl/>
                          <w:jc w:val="left"/>
                          <w:rPr>
                            <w:rFonts w:ascii="楷体" w:eastAsia="楷体" w:cs="楷体" w:hAnsi="楷体"/>
                            <w:b/>
                            <w:bCs/>
                            <w:color w:val="FDEFBE"/>
                            <w:sz w:val="32"/>
                            <w:szCs w:val="32"/>
                          </w:rPr>
                        </w:pPr>
                        <w:r>
                          <w:rPr>
                            <w:rFonts w:ascii="楷体" w:eastAsia="楷体" w:cs="楷体" w:hAnsi="楷体" w:hint="eastAsia"/>
                            <w:b/>
                            <w:bCs/>
                            <w:color w:val="FDEFBE"/>
                            <w:kern w:val="0"/>
                            <w:sz w:val="32"/>
                            <w:szCs w:val="32"/>
                          </w:rPr>
                          <w:t>2018年度部门决算☞名词解释</w:t>
                        </w:r>
                      </w:p>
                      <w:p>
                        <w:pPr>
                          <w:jc w:val="center"/>
                        </w:pPr>
                      </w:p>
                    </w:txbxContent>
                  </v:textbox>
                  <v:stroke color="#AF7621"/>
                </v:rect>
                <w10:anchorLock/>
              </v:group>
            </w:pict>
          </mc:Fallback>
        </mc:AlternateContent>
      </w:r>
      <w:r>
        <w:rPr>
          <w:rFonts w:ascii="仿宋_GB2312" w:eastAsia="仿宋_GB2312" w:hAnsi="宋体" w:hint="eastAsia"/>
          <w:b/>
          <w:bCs/>
          <w:color w:val="000000"/>
          <w:kern w:val="0"/>
          <w:sz w:val="32"/>
          <w:szCs w:val="32"/>
        </w:rPr>
        <w:t>他交通费用：</w:t>
      </w:r>
      <w:r>
        <w:rPr>
          <w:rFonts w:ascii="仿宋_GB2312" w:eastAsia="仿宋_GB2312" w:hAnsi="宋体" w:hint="eastAsia"/>
          <w:color w:val="000000"/>
          <w:kern w:val="0"/>
          <w:sz w:val="32"/>
          <w:szCs w:val="32"/>
        </w:rPr>
        <w:t>填列单位除公务用车运行维护费以外的其他交通费用。如飞机、船舶等的燃料费、维修费、过桥过路费、保险费、出租车费用、公务交通补贴等。</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（十四）公务用车购置：</w:t>
      </w:r>
      <w:r>
        <w:rPr>
          <w:rFonts w:ascii="仿宋_GB2312" w:eastAsia="仿宋_GB2312" w:hAnsi="宋体" w:hint="eastAsia"/>
          <w:color w:val="000000"/>
          <w:kern w:val="0"/>
          <w:sz w:val="32"/>
          <w:szCs w:val="32"/>
        </w:rPr>
        <w:t>填列单位公务用车车辆购置支出（含车辆购置税）。</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（十五）其他交通工具购置：</w:t>
      </w:r>
      <w:r>
        <w:rPr>
          <w:rFonts w:ascii="仿宋_GB2312" w:eastAsia="仿宋_GB2312" w:hAnsi="宋体" w:hint="eastAsia"/>
          <w:color w:val="000000"/>
          <w:kern w:val="0"/>
          <w:sz w:val="32"/>
          <w:szCs w:val="32"/>
        </w:rPr>
        <w:t>填列单位除公务用车外的其他各类交通工具（如船舶、飞机）购置支出（含车辆购置税）。</w:t>
      </w:r>
    </w:p>
    <w:p>
      <w:pPr>
        <w:widowControl/>
        <w:spacing w:after="0" w:line="560" w:lineRule="exact"/>
        <w:ind w:firstLineChars="200" w:firstLine="640"/>
        <w:rPr>
          <w:rFonts w:ascii="仿宋_GB2312" w:eastAsia="仿宋_GB2312" w:hAnsi="宋体"/>
          <w:color w:val="000000"/>
          <w:kern w:val="0"/>
          <w:sz w:val="32"/>
          <w:szCs w:val="32"/>
        </w:rPr>
      </w:pPr>
      <w:r>
        <w:rPr>
          <w:rFonts w:ascii="仿宋_GB2312" w:eastAsia="仿宋_GB2312" w:hAnsi="宋体" w:hint="eastAsia"/>
          <w:b/>
          <w:bCs/>
          <w:color w:val="000000"/>
          <w:kern w:val="0"/>
          <w:sz w:val="32"/>
          <w:szCs w:val="32"/>
        </w:rPr>
        <w:t>（十六）机关运行经费：</w:t>
      </w:r>
      <w:r>
        <w:rPr>
          <w:rFonts w:ascii="仿宋_GB2312" w:eastAsia="仿宋_GB2312" w:hAnsi="宋体"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Chars="200" w:firstLine="640"/>
        <w:rPr>
          <w:rFonts w:ascii="仿宋_GB2312" w:eastAsia="仿宋_GB2312" w:cs="ArialUnicodeMS" w:hAnsi="Cambria"/>
          <w:kern w:val="0"/>
          <w:sz w:val="32"/>
          <w:szCs w:val="32"/>
        </w:rPr>
      </w:pPr>
      <w:r>
        <w:rPr>
          <w:rFonts w:ascii="仿宋_GB2312" w:eastAsia="仿宋_GB2312" w:hAnsi="宋体" w:hint="eastAsia"/>
          <w:b/>
          <w:bCs/>
          <w:color w:val="000000"/>
          <w:kern w:val="0"/>
          <w:sz w:val="32"/>
          <w:szCs w:val="32"/>
        </w:rPr>
        <w:t>（十七）经费形式:</w:t>
      </w:r>
      <w:r>
        <w:rPr>
          <w:rFonts w:ascii="仿宋_GB2312" w:eastAsia="仿宋_GB2312" w:hAnsi="宋体" w:hint="eastAsia"/>
          <w:color w:val="000000"/>
          <w:kern w:val="0"/>
          <w:sz w:val="32"/>
          <w:szCs w:val="32"/>
        </w:rPr>
        <w:t>按照经费来源，</w:t>
      </w:r>
      <w:r>
        <w:rPr>
          <w:rFonts w:ascii="仿宋_GB2312" w:eastAsia="仿宋_GB2312" w:cs="ArialUnicodeMS" w:hAnsi="Cambria" w:hint="eastAsia"/>
          <w:kern w:val="0"/>
          <w:sz w:val="32"/>
          <w:szCs w:val="32"/>
        </w:rPr>
        <w:t>可分为财政拨款、财政性资金基本保证、财政性资金定额或定项补助、财政性资金零补助四类。</w:t>
      </w:r>
    </w:p>
    <w:sectPr>
      <w:pgSz w:w="11906" w:h="16838"/>
      <w:pgMar w:top="2098" w:right="1474" w:bottom="1985" w:left="1588" w:header="851" w:footer="992" w:gutter="0"/>
      <w:pgNumType w:fmt="numberInDash"/>
      <w:cols w:num="1" w:space="425"/>
      <w:docGrid w:type="lines" w:linePitch="312" w:charSpace="0"/>
    </w:sectPr>
  </w:body>
</w:document>
</file>

<file path=word/fontTable.xml><?xml version="1.0" encoding="utf-8"?>
<w:fonts xmlns:w="http://schemas.openxmlformats.org/wordprocessingml/2006/main" xmlns:r="http://schemas.openxmlformats.org/officeDocument/2006/relationships">
  <w:font w:name="黑体">
    <w:panose1 w:val="02010609060101010101"/>
    <w:charset w:val="86"/>
    <w:family w:val="auto"/>
    <w:pitch w:val="variable"/>
    <w:sig w:usb0="800002BF" w:usb1="38CF7CFA" w:usb2="00000016" w:usb3="00000000" w:csb0="00040001" w:csb1="00000000"/>
  </w:font>
  <w:font w:name="宋体">
    <w:panose1 w:val="02010600030101010101"/>
    <w:charset w:val="86"/>
    <w:family w:val="auto"/>
    <w:pitch w:val="variable"/>
    <w:sig w:usb0="00000003" w:usb1="288F0000" w:usb2="00000006" w:usb3="00000000" w:csb0="00040001" w:csb1="00000000"/>
  </w:font>
  <w:font w:name="楷体">
    <w:panose1 w:val="02010609060101010101"/>
    <w:charset w:val="86"/>
    <w:family w:val="modern"/>
    <w:pitch w:val="variable"/>
    <w:sig w:usb0="800002BF" w:usb1="38CF7CFA" w:usb2="00000016" w:usb3="00000000" w:csb0="00040001" w:csb1="00000000"/>
  </w:font>
  <w:font w:name="仿宋_GB2312">
    <w:altName w:val="仿宋"/>
    <w:panose1 w:val="02010609030101010101"/>
    <w:charset w:val="86"/>
    <w:family w:val="modern"/>
    <w:pitch w:val="variable"/>
    <w:sig w:usb0="00000000" w:usb1="00000000" w:usb2="00000000" w:usb3="00000000" w:csb0="00000000" w:csb1="00000000"/>
  </w:font>
  <w:font w:name="ArialUnicodeMS">
    <w:altName w:val="Malgun Gothic"/>
    <w:panose1 w:val="00000000000000000000"/>
    <w:charset w:val="81"/>
    <w:family w:val="auto"/>
    <w:pitch w:val="variable"/>
    <w:sig w:usb0="00000000" w:usb1="00000000" w:usb2="00000010" w:usb3="00000000" w:csb0="00080001" w:csb1="00000000"/>
  </w:font>
  <w:font w:name="Cambria">
    <w:panose1 w:val="02040503050406030204"/>
    <w:charset w:val="00"/>
    <w:family w:val="roman"/>
    <w:pitch w:val="variable"/>
    <w:sig w:usb0="E00002FF" w:usb1="400004FF" w:usb2="00000000" w:usb3="00000000" w:csb0="2000019F" w:csb1="00000000"/>
  </w:font>
  <w:font w:name="MS-UIGothic,Bold">
    <w:altName w:val="Malgun Gothic"/>
    <w:panose1 w:val="00000000000000000000"/>
    <w:charset w:val="81"/>
    <w:family w:val="auto"/>
    <w:pitch w:val="variable"/>
    <w:sig w:usb0="00000000" w:usb1="00000000" w:usb2="00000010" w:usb3="00000000" w:csb0="00080000" w:csb1="00000000"/>
  </w:font>
  <w:font w:name="Arial">
    <w:panose1 w:val="020B0604020202020204"/>
    <w:charset w:val="01"/>
    <w:family w:val="swiss"/>
    <w:pitch w:val="variable"/>
    <w:sig w:usb0="E0002AFF" w:usb1="C0007843" w:usb2="00000009" w:usb3="00000000" w:csb0="400001FF" w:csb1="FFFF0000"/>
  </w:font>
  <w:font w:name="DengXian-Regular">
    <w:altName w:val="宋体"/>
    <w:panose1 w:val="00000000000000000000"/>
    <w:charset w:val="86"/>
    <w:family w:val="auto"/>
    <w:pitch w:val="variable"/>
    <w:sig w:usb0="00000000" w:usb1="00000000" w:usb2="00000010" w:usb3="00000000" w:csb0="00040001" w:csb1="00000000"/>
  </w:font>
  <w:font w:name="楷体_GB2312">
    <w:altName w:val="楷体"/>
    <w:panose1 w:val="02010609030101010101"/>
    <w:charset w:val="86"/>
    <w:family w:val="modern"/>
    <w:pitch w:val="variable"/>
    <w:sig w:usb0="00000000" w:usb1="00000000" w:usb2="00000000" w:usb3="00000000" w:csb0="00000000" w:csb1="00000000"/>
  </w:font>
  <w:font w:name="DengXian-Bold">
    <w:altName w:val="宋体"/>
    <w:panose1 w:val="00000000000000000000"/>
    <w:charset w:val="86"/>
    <w:family w:val="auto"/>
    <w:pitch w:val="variable"/>
    <w:sig w:usb0="00000000" w:usb1="00000000" w:usb2="00000010" w:usb3="00000000" w:csb0="00040001" w:csb1="00000000"/>
  </w:font>
  <w:font w:name="Wingdings 2">
    <w:altName w:val="Wingdings"/>
    <w:panose1 w:val="05020102010507070707"/>
    <w:charset w:val="02"/>
    <w:family w:val="roman"/>
    <w:pitch w:val="variable"/>
    <w:sig w:usb0="00000000" w:usb1="00000000" w:usb2="00000000" w:usb3="00000000" w:csb0="80000000" w:csb1="00000000"/>
  </w:font>
  <w:font w:name="华文中宋">
    <w:panose1 w:val="00000000000000000000"/>
    <w:charset w:val="00"/>
    <w:family w:val="auto"/>
    <w:pitch w:val="variable"/>
    <w:sig w:usb0="00000000" w:usb1="00000000" w:usb2="00000000" w:usb3="00000000" w:csb0="00000000" w:csb1="00000000"/>
  </w:font>
  <w:font w:name="方正仿宋简体">
    <w:panose1 w:val="03000509000000000000"/>
    <w:charset w:val="86"/>
    <w:family w:val="script"/>
    <w:pitch w:val="variable"/>
    <w:sig w:usb0="00000001" w:usb1="080E0000" w:usb2="00000000" w:usb3="00000000" w:csb0="00040000" w:csb1="00000000"/>
  </w:font>
  <w:font w:name="方正楷体简体">
    <w:panose1 w:val="03000509000000000000"/>
    <w:charset w:val="86"/>
    <w:family w:val="script"/>
    <w:pitch w:val="variable"/>
    <w:sig w:usb0="00000001" w:usb1="080E0000" w:usb2="00000000" w:usb3="00000000" w:csb0="00040000" w:csb1="00000000"/>
  </w:font>
  <w:font w:name="仿宋">
    <w:panose1 w:val="02010609060101010101"/>
    <w:charset w:val="86"/>
    <w:family w:val="auto"/>
    <w:pitch w:val="variable"/>
    <w:sig w:usb0="800002BF" w:usb1="38CF7CFA" w:usb2="00000016" w:usb3="00000000" w:csb0="00040001" w:csb1="00000000"/>
  </w:font>
  <w:font w:name="TimesNewRomanPSMT">
    <w:altName w:val="Arial"/>
    <w:panose1 w:val="00000000000000000000"/>
    <w:charset w:val="00"/>
    <w:family w:val="swiss"/>
    <w:pitch w:val="variable"/>
    <w:sig w:usb0="00000000" w:usb1="00000000" w:usb2="00000000" w:usb3="00000000" w:csb0="00000001" w:csb1="00000000"/>
  </w:font>
  <w:font w:name="Times New Roman">
    <w:panose1 w:val="02020603050405020304"/>
    <w:charset w:val="00"/>
    <w:family w:val="roman"/>
    <w:pitch w:val="variable"/>
    <w:sig w:usb0="20007A87" w:usb1="80000000" w:usb2="00000008" w:usb3="00000000" w:csb0="000001FF" w:csb1="00000000"/>
  </w:font>
  <w:font w:name="Calibri">
    <w:panose1 w:val="020F0502020204030204"/>
    <w:charset w:val="00"/>
    <w:family w:val="swiss"/>
    <w:pitch w:val="variable"/>
    <w:sig w:usb0="E00002FF" w:usb1="4000ACFF" w:usb2="00000001" w:usb3="00000000" w:csb0="2000019F"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17"/>
      <w:tabs>
        <w:tab w:val="center" w:pos="4153"/>
        <w:tab w:val="right" w:pos="8306"/>
      </w:tabs>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17"/>
      <w:tabs>
        <w:tab w:val="center" w:pos="4153"/>
        <w:tab w:val="right" w:pos="8306"/>
      </w:tabs>
    </w:pPr>
    <w:r>
      <w:rPr>
        <w:sz w:val="18"/>
      </w:rPr>
      <mc:AlternateContent>
        <mc:Choice Requires="wps">
          <w:drawing>
            <wp:anchor distT="0" distB="0" distL="114300" distR="114300" simplePos="0" relativeHeight="135" behindDoc="0" locked="0" layoutInCell="1" hidden="0" allowOverlap="1">
              <wp:simplePos x="0" y="0"/>
              <wp:positionH relativeFrom="margin">
                <wp:align>center</wp:align>
              </wp:positionH>
              <wp:positionV relativeFrom="paragraph">
                <wp:posOffset>0</wp:posOffset>
              </wp:positionV>
              <wp:extent cx="252821" cy="369602"/>
              <wp:effectExtent l="0" t="0" r="0" b="0"/>
              <wp:wrapNone/>
              <wp:docPr id="128" name="文本框 45"/>
              <wp:cNvGraphicFramePr>
                <a:graphicFrameLocks noChangeAspect="0"/>
              </wp:cNvGraphicFramePr>
              <a:graphic>
                <a:graphicData uri="http://schemas.microsoft.com/office/word/2010/wordprocessingShape">
                  <wps:wsp>
                    <wps:cNvSpPr/>
                    <wps:spPr>
                      <a:xfrm rot="0">
                        <a:off x="0" y="0"/>
                        <a:ext cx="252821" cy="369602"/>
                      </a:xfrm>
                      <a:prstGeom prst="rect"/>
                      <a:noFill/>
                      <a:ln w="6350" cmpd="sng" cap="flat">
                        <a:noFill/>
                        <a:prstDash val="solid"/>
                        <a:round/>
                      </a:ln>
                    </wps:spPr>
                    <wps:txbx id="7">
                      <w:txbxContent>
                        <w:p>
                          <w:pPr>
                            <w:pStyle w:val="17"/>
                            <w:tabs>
                              <w:tab w:val="center" w:pos="4153"/>
                              <w:tab w:val="right" w:pos="8306"/>
                            </w:tabs>
                            <w:rPr>
                              <w:rFonts w:eastAsia="宋体"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- 4 -</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rect type="#_x0000_t1" id="文本框 45" o:spid="_x0000_s8" filled="f" stroked="f" strokeweight="0.5pt" style="position:absolute;margin-left:0.0pt;margin-top:0.0pt;width:19.907227pt;height:29.102554pt;z-index:135;mso-position-horizontal:center;mso-position-horizontal-relative:margin;mso-position-vertical:absolute;mso-wrap-style:none;">
              <v:stroke/>
              <v:textbox id="889" inset="0mm,0mm,0mm,0mm" o:insetmode="custom" style="layout-flow:horizontal;v-text-anchor:top;mso-fit-shape-to-text:t;">
                <w:txbxContent>
                  <w:p>
                    <w:pPr>
                      <w:pStyle w:val="17"/>
                      <w:tabs>
                        <w:tab w:val="center" w:pos="4153"/>
                        <w:tab w:val="right" w:pos="8306"/>
                      </w:tabs>
                      <w:rPr>
                        <w:rFonts w:eastAsia="宋体"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- 4 -</w:t>
                    </w:r>
                    <w:r>
                      <w:rPr>
                        <w:rFonts w:hint="eastAsia"/>
                        <w:lang w:eastAsia="zh-CN"/>
                      </w:rPr>
                      <w:fldChar w:fldCharType="end"/>
                    </w:r>
                  </w:p>
                </w:txbxContent>
              </v:textbox>
            </v:rect>
          </w:pict>
        </mc:Fallback>
      </mc:AlternateContent>
    </w:r>
  </w:p>
</w:ftr>
</file>

<file path=word/header1.xml><?xml version="1.0" encoding="utf-8"?>
<w:hd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wp14="http://schemas.microsoft.com/office/word/2010/wordprocessingDrawing"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18"/>
      <w:pBdr>
        <w:bottom w:val="none" w:sz="0" w:space="0" w:color="auto"/>
      </w:pBdr>
      <w:tabs>
        <w:tab w:val="center" w:pos="4153"/>
        <w:tab w:val="right" w:pos="8306"/>
      </w:tabs>
    </w:pPr>
  </w:p>
</w:hd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31F96B03"/>
    <w:multiLevelType w:val="singleLevel"/>
    <w:tmpl w:val="31F96B03"/>
    <w:lvl w:ilvl="0">
      <w:start w:val="3"/>
      <w:numFmt w:val="chineseCounting"/>
      <w:lvlRestart w:val="0"/>
      <w:suff w:val="nothing"/>
      <w:lvlText w:val="（%1）"/>
      <w:lvlJc w:val="left"/>
      <w:pPr/>
      <w:rPr>
        <w:rFonts w:hint="eastAsia"/>
      </w:rPr>
    </w:lvl>
  </w:abstractNum>
  <w:abstractNum w:abstractNumId="1">
    <w:nsid w:val="B5DF2747"/>
    <w:multiLevelType w:val="singleLevel"/>
    <w:tmpl w:val="B5DF2747"/>
    <w:lvl w:ilvl="0">
      <w:start w:val="2"/>
      <w:numFmt w:val="chineseCounting"/>
      <w:lvlRestart w:val="0"/>
      <w:suff w:val="nothing"/>
      <w:lvlText w:val="（%1）"/>
      <w:lvlJc w:val="left"/>
      <w:pPr/>
      <w:rPr>
        <w:rFonts w:hint="eastAsia"/>
      </w:rPr>
    </w:lvl>
  </w:abstractNum>
  <w:abstractNum w:abstractNumId="2">
    <w:nsid w:val="2C52546C"/>
    <w:multiLevelType w:val="singleLevel"/>
    <w:tmpl w:val="2C52546C"/>
    <w:lvl w:ilvl="0">
      <w:start w:val="1"/>
      <w:numFmt w:val="chineseCounting"/>
      <w:lvlRestart w:val="0"/>
      <w:suff w:val="nothing"/>
      <w:lvlText w:val="%1、"/>
      <w:lvlJc w:val="left"/>
      <w:pPr/>
      <w:rPr>
        <w:rFonts w:hint="eastAsia"/>
      </w:rPr>
    </w:lvl>
  </w:abstractNum>
  <w:abstractNum w:abstractNumId="3">
    <w:nsid w:val="0B8E020E"/>
    <w:multiLevelType w:val="multilevel"/>
    <w:tmpl w:val="0B8E020E"/>
    <w:lvl w:ilvl="0">
      <w:start w:val="1"/>
      <w:numFmt w:val="japaneseCounting"/>
      <w:lvlRestart w:val="0"/>
      <w:lvlText w:val="（%1）"/>
      <w:lvlJc w:val="left"/>
      <w:pPr>
        <w:ind w:left="810" w:hanging="81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efaultTabStop w:val="420"/>
  <w:drawingGridHorizontalSpacing w:val="105"/>
  <w:drawingGridVerticalSpacing w:val="156"/>
  <w:displayHorizontalDrawingGridEvery w:val="0"/>
  <w:displayVerticalDrawingGridEvery w:val="1"/>
  <w:noPunctuationKerning/>
  <w:characterSpacingControl w:val="compressPunctuation"/>
  <w:compat>
    <w:spaceForUL/>
    <w:balanceSingleByteDoubleByteWidth/>
    <w:ulTrailSpace/>
    <w:doNotExpandShiftReturn/>
    <w:adjustLineHeightInTable/>
    <w:doNotUseIndentAsNumberingTabStop/>
    <w:useAltKinsokuLineBreakRules/>
    <w:compatSetting w:name="compatibilityMode" w:uri="http://schemas.microsoft.com/office/word" w:val="14"/>
  </w:compat>
  <m:mathPr>
    <m:mathFont m:val="Cambria Math"/>
    <m:brkBin m:val="before"/>
    <m:brkBinSub m:val="--"/>
    <m:smallFrac m:val="0"/>
    <m:dispDef/>
    <m:lMargin m:val="0"/>
    <m:rMargin m:val="0"/>
    <m:defJc m:val="centerGroup"/>
    <m:wrapIndent m:val="1440"/>
    <m:intLim m:val="subSup"/>
    <m:naryLim m:val="undOvr"/>
  </m:mathPr>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Arial"/>
        <w:lang w:val="en-US" w:eastAsia="zh-CN" w:bidi="ar-SA"/>
      </w:rPr>
    </w:rPrDefault>
    <w:pPrDefault/>
  </w:docDefaults>
  <w:style w:type="paragraph" w:default="1" w:styleId="0">
    <w:name w:val="Normal"/>
    <w:qFormat/>
    <w:pPr>
      <w:widowControl w:val="0"/>
      <w:spacing w:after="160" w:line="480" w:lineRule="auto"/>
      <w:jc w:val="both"/>
    </w:pPr>
    <w:rPr>
      <w:rFonts w:ascii="Times New Roman" w:eastAsia="宋体" w:cs="Times New Roman" w:hAnsi="Times New Roman"/>
      <w:kern w:val="2"/>
      <w:sz w:val="21"/>
      <w:szCs w:val="24"/>
      <w:lang w:val="en-US" w:eastAsia="zh-CN" w:bidi="ar-SA"/>
    </w:rPr>
  </w:style>
  <w:style w:type="paragraph" w:styleId="1">
    <w:name w:val="heading 1"/>
    <w:qFormat/>
    <w:basedOn w:val="0"/>
    <w:next w:val="0"/>
    <w:link w:val="1Char"/>
    <w:pPr>
      <w:keepNext/>
      <w:keepLines/>
      <w:spacing w:before="340" w:after="330" w:line="578" w:lineRule="auto"/>
      <w:outlineLvl w:val="0"/>
    </w:pPr>
    <w:rPr>
      <w:b/>
      <w:bCs/>
      <w:kern w:val="44"/>
      <w:sz w:val="44"/>
      <w:szCs w:val="44"/>
    </w:rPr>
  </w:style>
  <w:style w:type="character" w:customStyle="1" w:styleId="1Char">
    <w:name w:val="heading 1 Char"/>
    <w:basedOn w:val="10"/>
    <w:link w:val="1"/>
    <w:rPr>
      <w:rFonts w:ascii="Times New Roman" w:eastAsia="宋体" w:cs="Times New Roman" w:hAnsi="Times New Roman"/>
      <w:b/>
      <w:bCs/>
      <w:kern w:val="44"/>
      <w:sz w:val="44"/>
      <w:szCs w:val="44"/>
      <w:lang w:val="en-US" w:eastAsia="zh-CN" w:bidi="ar-SA"/>
    </w:rPr>
  </w:style>
  <w:style w:type="paragraph" w:styleId="2">
    <w:name w:val="heading 2"/>
    <w:qFormat/>
    <w:basedOn w:val="0"/>
    <w:next w:val="0"/>
    <w:link w:val="2Char"/>
    <w:pPr>
      <w:keepNext/>
      <w:keepLines/>
      <w:spacing w:before="260" w:after="260" w:line="415" w:lineRule="auto"/>
      <w:outlineLvl w:val="1"/>
    </w:pPr>
    <w:rPr>
      <w:rFonts w:ascii="Calibri" w:cs="宋体" w:hAnsi="Calibri"/>
      <w:b/>
      <w:bCs/>
      <w:sz w:val="32"/>
      <w:szCs w:val="32"/>
    </w:rPr>
  </w:style>
  <w:style w:type="character" w:customStyle="1" w:styleId="2Char">
    <w:name w:val="heading 2 Char"/>
    <w:basedOn w:val="10"/>
    <w:link w:val="2"/>
    <w:rPr>
      <w:rFonts w:ascii="Calibri" w:eastAsia="宋体" w:cs="宋体" w:hAnsi="Calibri"/>
      <w:b/>
      <w:bCs/>
      <w:kern w:val="2"/>
      <w:sz w:val="32"/>
      <w:szCs w:val="32"/>
      <w:lang w:val="en-US" w:eastAsia="zh-CN" w:bidi="ar-SA"/>
    </w:rPr>
  </w:style>
  <w:style w:type="paragraph" w:styleId="3">
    <w:name w:val="heading 3"/>
    <w:qFormat/>
    <w:basedOn w:val="0"/>
    <w:next w:val="0"/>
    <w:link w:val="3Char"/>
    <w:pPr>
      <w:keepNext/>
      <w:keepLines/>
      <w:spacing w:before="260" w:after="260" w:line="415" w:lineRule="auto"/>
      <w:outlineLvl w:val="2"/>
    </w:pPr>
    <w:rPr>
      <w:b/>
      <w:bCs/>
      <w:sz w:val="32"/>
      <w:szCs w:val="32"/>
    </w:rPr>
  </w:style>
  <w:style w:type="character" w:customStyle="1" w:styleId="3Char">
    <w:name w:val="heading 3 Char"/>
    <w:basedOn w:val="10"/>
    <w:link w:val="3"/>
    <w:rPr>
      <w:rFonts w:ascii="Times New Roman" w:eastAsia="宋体" w:cs="Times New Roman" w:hAnsi="Times New Roman"/>
      <w:b/>
      <w:bCs/>
      <w:kern w:val="2"/>
      <w:sz w:val="32"/>
      <w:szCs w:val="32"/>
      <w:lang w:val="en-US" w:eastAsia="zh-CN" w:bidi="ar-SA"/>
    </w:rPr>
  </w:style>
  <w:style w:type="paragraph" w:styleId="4">
    <w:name w:val="heading 4"/>
    <w:qFormat/>
    <w:basedOn w:val="0"/>
    <w:next w:val="0"/>
    <w:link w:val="4Char"/>
    <w:pPr>
      <w:keepNext/>
      <w:keepLines/>
      <w:spacing w:before="280" w:after="290" w:line="377" w:lineRule="auto"/>
      <w:outlineLvl w:val="3"/>
    </w:pPr>
    <w:rPr>
      <w:rFonts w:ascii="Calibri" w:cs="宋体" w:hAnsi="Calibri"/>
      <w:b/>
      <w:bCs/>
      <w:sz w:val="28"/>
      <w:szCs w:val="28"/>
    </w:rPr>
  </w:style>
  <w:style w:type="character" w:customStyle="1" w:styleId="4Char">
    <w:name w:val="heading 4 Char"/>
    <w:basedOn w:val="10"/>
    <w:link w:val="4"/>
    <w:rPr>
      <w:rFonts w:ascii="Calibri" w:eastAsia="宋体" w:cs="宋体" w:hAnsi="Calibri"/>
      <w:b/>
      <w:bCs/>
      <w:kern w:val="2"/>
      <w:sz w:val="28"/>
      <w:szCs w:val="28"/>
      <w:lang w:val="en-US" w:eastAsia="zh-CN" w:bidi="ar-SA"/>
    </w:rPr>
  </w:style>
  <w:style w:type="character" w:default="1" w:styleId="10">
    <w:name w:val="Default Paragraph Font"/>
    <w:qFormat/>
  </w:style>
  <w:style w:type="paragraph" w:styleId="15">
    <w:name w:val="Date"/>
    <w:qFormat/>
    <w:basedOn w:val="0"/>
    <w:next w:val="0"/>
    <w:pPr>
      <w:ind w:leftChars="2500" w:left="2500"/>
    </w:pPr>
  </w:style>
  <w:style w:type="paragraph" w:styleId="16">
    <w:name w:val="Balloon Text"/>
    <w:qFormat/>
    <w:basedOn w:val="0"/>
    <w:rPr>
      <w:sz w:val="18"/>
      <w:szCs w:val="18"/>
    </w:rPr>
  </w:style>
  <w:style w:type="paragraph" w:styleId="17">
    <w:name w:val="footer"/>
    <w:qFormat/>
    <w:basedOn w:val="0"/>
    <w:pPr>
      <w:tabs>
        <w:tab w:val="center" w:pos="4153"/>
        <w:tab w:val="right" w:pos="8306"/>
      </w:tabs>
      <w:snapToGrid w:val="0"/>
      <w:jc w:val="left"/>
    </w:pPr>
    <w:rPr>
      <w:rFonts w:ascii="Cambria" w:eastAsia="黑体" w:cs="宋体" w:hAnsi="Cambria"/>
      <w:sz w:val="18"/>
      <w:szCs w:val="18"/>
    </w:rPr>
  </w:style>
  <w:style w:type="paragraph" w:styleId="18">
    <w:name w:val="header"/>
    <w:qFormat/>
    <w:basedOn w:val="0"/>
    <w:pPr>
      <w:pBdr>
        <w:bottom w:val="single" w:sz="6" w:space="1" w:color="auto"/>
      </w:pBdr>
      <w:tabs>
        <w:tab w:val="center" w:pos="4153"/>
        <w:tab w:val="right" w:pos="8306"/>
      </w:tabs>
      <w:snapToGrid w:val="0"/>
      <w:jc w:val="center"/>
    </w:pPr>
    <w:rPr>
      <w:rFonts w:ascii="Cambria" w:eastAsia="黑体" w:cs="宋体" w:hAnsi="Cambria"/>
      <w:sz w:val="18"/>
      <w:szCs w:val="18"/>
    </w:rPr>
  </w:style>
  <w:style w:type="paragraph" w:styleId="19">
    <w:name w:val="Subtitle"/>
    <w:qFormat/>
    <w:basedOn w:val="0"/>
    <w:next w:val="0"/>
    <w:pPr>
      <w:widowControl/>
      <w:spacing w:after="200" w:line="276" w:lineRule="auto"/>
      <w:jc w:val="left"/>
    </w:pPr>
    <w:rPr>
      <w:rFonts w:ascii="Calibri" w:cs="宋体" w:hAnsi="Calibri"/>
      <w:i/>
      <w:iCs/>
      <w:color w:val="F0A22E"/>
      <w:spacing w:val="15"/>
      <w:kern w:val="0"/>
      <w:sz w:val="24"/>
    </w:rPr>
  </w:style>
  <w:style w:type="paragraph" w:styleId="20">
    <w:name w:val="Title"/>
    <w:qFormat/>
    <w:basedOn w:val="0"/>
    <w:next w:val="0"/>
    <w:pPr>
      <w:widowControl/>
      <w:pBdr>
        <w:bottom w:val="single" w:sz="8" w:space="4" w:color="F0A22E"/>
      </w:pBdr>
      <w:spacing w:after="300"/>
      <w:contextualSpacing/>
      <w:jc w:val="left"/>
    </w:pPr>
    <w:rPr>
      <w:rFonts w:ascii="Calibri" w:cs="宋体" w:hAnsi="Calibri"/>
      <w:color w:val="3B2C24"/>
      <w:spacing w:val="5"/>
      <w:kern w:val="28"/>
      <w:sz w:val="52"/>
      <w:szCs w:val="52"/>
    </w:rPr>
  </w:style>
  <w:style w:type="paragraph" w:styleId="21">
    <w:name w:val="No Spacing"/>
    <w:qFormat/>
    <w:pPr>
      <w:spacing w:after="160" w:line="480" w:lineRule="auto"/>
    </w:pPr>
    <w:rPr>
      <w:rFonts w:ascii="Cambria" w:eastAsia="黑体" w:cs="宋体" w:hAnsi="Cambria"/>
      <w:sz w:val="22"/>
      <w:szCs w:val="22"/>
      <w:lang w:val="en-US" w:eastAsia="zh-CN" w:bidi="ar-SA"/>
    </w:rPr>
  </w:style>
  <w:style w:type="character" w:customStyle="1" w:styleId="22">
    <w:name w:val="Style1"/>
    <w:qFormat/>
    <w:basedOn w:val="10"/>
    <w:rPr>
      <w:rFonts w:ascii="Cambria" w:eastAsia="黑体" w:cs="宋体" w:hAnsi="黑体"/>
      <w:sz w:val="22"/>
      <w:szCs w:val="22"/>
      <w:lang w:eastAsia="zh-CN"/>
    </w:rPr>
  </w:style>
  <w:style w:type="character" w:customStyle="1" w:styleId="23">
    <w:name w:val="Style2"/>
    <w:qFormat/>
    <w:basedOn w:val="10"/>
    <w:rPr>
      <w:rFonts w:ascii="Cambria" w:eastAsia="黑体" w:cs="宋体" w:hAnsi="黑体"/>
      <w:sz w:val="22"/>
      <w:szCs w:val="22"/>
      <w:lang w:eastAsia="zh-CN"/>
    </w:rPr>
  </w:style>
  <w:style w:type="character" w:customStyle="1" w:styleId="24">
    <w:name w:val="Style3"/>
    <w:qFormat/>
    <w:basedOn w:val="10"/>
    <w:rPr>
      <w:rFonts w:ascii="Cambria" w:eastAsia="黑体" w:cs="宋体" w:hAnsi="黑体"/>
      <w:szCs w:val="22"/>
      <w:lang w:eastAsia="zh-CN"/>
    </w:rPr>
  </w:style>
  <w:style w:type="character" w:customStyle="1" w:styleId="25">
    <w:name w:val="Style4"/>
    <w:qFormat/>
    <w:basedOn w:val="10"/>
    <w:rPr>
      <w:rFonts w:ascii="Cambria" w:eastAsia="黑体" w:cs="宋体" w:hAnsi="黑体"/>
      <w:szCs w:val="22"/>
      <w:lang w:eastAsia="zh-CN"/>
    </w:rPr>
  </w:style>
  <w:style w:type="character" w:customStyle="1" w:styleId="26">
    <w:name w:val="Style5"/>
    <w:qFormat/>
    <w:basedOn w:val="10"/>
    <w:rPr>
      <w:rFonts w:ascii="Cambria" w:eastAsia="黑体" w:cs="宋体" w:hAnsi="黑体"/>
      <w:sz w:val="22"/>
      <w:szCs w:val="22"/>
      <w:lang w:eastAsia="zh-CN"/>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header" Target="header1.xml"/><Relationship Id="rId3" Type="http://schemas.openxmlformats.org/officeDocument/2006/relationships/image" Target="media/1.jpeg"/><Relationship Id="rId4" Type="http://schemas.openxmlformats.org/officeDocument/2006/relationships/footer" Target="footer1.xml"/><Relationship Id="rId5" Type="http://schemas.openxmlformats.org/officeDocument/2006/relationships/image" Target="media/5.jpeg"/><Relationship Id="rId6" Type="http://schemas.openxmlformats.org/officeDocument/2006/relationships/footer" Target="footer2.xml"/><Relationship Id="rId7" Type="http://schemas.openxmlformats.org/officeDocument/2006/relationships/image" Target="media/23.jpeg"/><Relationship Id="rId8" Type="http://schemas.openxmlformats.org/officeDocument/2006/relationships/image" Target="media/23.jpeg"/><Relationship Id="rId9" Type="http://schemas.openxmlformats.org/officeDocument/2006/relationships/image" Target="media/23.jpeg"/><Relationship Id="rId10" Type="http://schemas.openxmlformats.org/officeDocument/2006/relationships/image" Target="media/138.jpeg"/><Relationship Id="rId11" Type="http://schemas.openxmlformats.org/officeDocument/2006/relationships/image" Target="media/140.jpeg"/><Relationship Id="rId12" Type="http://schemas.openxmlformats.org/officeDocument/2006/relationships/image" Target="media/142.jpeg"/><Relationship Id="rId13" Type="http://schemas.openxmlformats.org/officeDocument/2006/relationships/image" Target="media/144.jpeg"/><Relationship Id="rId14" Type="http://schemas.openxmlformats.org/officeDocument/2006/relationships/image" Target="media/146.jpeg"/><Relationship Id="rId15" Type="http://schemas.openxmlformats.org/officeDocument/2006/relationships/image" Target="media/148.jpeg"/><Relationship Id="rId16" Type="http://schemas.openxmlformats.org/officeDocument/2006/relationships/image" Target="media/150.jpeg"/><Relationship Id="rId17" Type="http://schemas.openxmlformats.org/officeDocument/2006/relationships/image" Target="media/152.jpeg"/><Relationship Id="rId18" Type="http://schemas.openxmlformats.org/officeDocument/2006/relationships/image" Target="media/154.jpeg"/><Relationship Id="rId19" Type="http://schemas.openxmlformats.org/officeDocument/2006/relationships/image" Target="media/23.jpeg"/><Relationship Id="rId20" Type="http://schemas.openxmlformats.org/officeDocument/2006/relationships/styles" Target="styles.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customXml" Target="../customXml/item1.xml"/><Relationship Id="rId2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Theme">
      <a:majorFont>
        <a:latin typeface=""/>
        <a:ea typeface=""/>
        <a:cs typeface=""/>
      </a:majorFont>
      <a:minorFont>
        <a:latin typeface=""/>
        <a:ea typeface=""/>
        <a:cs typefac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mpd="sng" cap="flat">
          <a:solidFill>
            <a:schemeClr val="phClr">
              <a:shade val="95000"/>
              <a:satMod val="105000"/>
            </a:schemeClr>
          </a:solidFill>
          <a:prstDash val="solid"/>
          <a:round/>
        </a:ln>
        <a:ln w="25400" cmpd="sng" cap="flat">
          <a:solidFill>
            <a:schemeClr val="phClr"/>
          </a:solidFill>
          <a:prstDash val="solid"/>
          <a:round/>
        </a:ln>
        <a:ln w="38100" cmpd="sng" cap="flat">
          <a:solidFill>
            <a:schemeClr val="phClr"/>
          </a:solidFill>
          <a:prstDash val="solid"/>
          <a:round/>
        </a:ln>
      </a:lnStyleLst>
      <a:effectStyleLst>
        <a:effectStyle>
          <a:effectLst>
            <a:outerShdw sx="100000" sy="100000" algn="b" rotWithShape="0" blurRad="40000" dist="20000" dir="5400000">
              <a:srgbClr val="000000">
                <a:alpha val="37647"/>
              </a:srgbClr>
            </a:outerShdw>
          </a:effectLst>
        </a:effectStyle>
        <a:effectStyle>
          <a:effectLst>
            <a:outerShdw sx="100000" sy="100000" algn="b" rotWithShape="0" blurRad="40000" dist="23000" dir="5400000">
              <a:srgbClr val="000000">
                <a:alpha val="34509"/>
              </a:srgbClr>
            </a:outerShdw>
          </a:effectLst>
        </a:effectStyle>
        <a:effectStyle>
          <a:effectLst>
            <a:outerShdw sx="100000" sy="100000" algn="b" rotWithShape="0" blurRad="40000" dist="23000" dir="540000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100000"/>
          </a:path>
          <a:tileRect r="-100000" b="-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ustomData xmlns="http://www.yozosoft.com.cn/officeDocument/2016/customData">
  <customProps>
    <docPr revisions="3 0 5 0 0 0 1 0 0 0 3000 0 1 1 1 1"/>
    <sectPr/>
    <sectPr/>
    <sectPr/>
    <sectPr/>
    <sectPr/>
    <sectPr/>
    <sectPr/>
    <sectPr/>
    <sectPr/>
    <sectPr/>
    <sectPr/>
    <sectPr/>
    <sectPr/>
    <sectPr/>
    <sectPr/>
    <sectPr/>
    <sectPr/>
    <sectPr/>
  </customProps>
</customData>
</file>

<file path=customXml/itemProps1.xml><?xml version="1.0" encoding="utf-8"?>
<ds:datastoreItem xmlns:ds="http://schemas.openxmlformats.org/officeDocument/2006/customXml" ds:itemID="{F606FF4D-6C5E-46D4-8E52-F06CCAED5C25}">
  <ds:schemaRefs>
    <ds:schemaRef ds:uri="http://www.yozosoft.com.cn/officeDocument/2016/customData"/>
  </ds:schemaRefs>
</ds:datastoreItem>
</file>

<file path=docProps/app.xml><?xml version="1.0" encoding="utf-8"?>
<Properties xmlns="http://schemas.openxmlformats.org/officeDocument/2006/extended-properties">
  <Template>Normal.eit</Template>
  <TotalTime>18</TotalTime>
  <Application>Yozo_Office27021597764231189</Application>
  <Pages>59</Pages>
  <Words>0</Words>
  <Characters>15600</Characters>
  <Lines>0</Lines>
  <Paragraphs>264</Paragraphs>
  <CharactersWithSpaces>20800</CharactersWithSpaces>
  <Company>Microsoft</Company>
</Properties>
</file>

<file path=docProps/core.xml><?xml version="1.0" encoding="utf-8"?>
<cp:coreProperties xmlns:cp="http://schemas.openxmlformats.org/package/2006/metadata/core-properties" xmlns:dc="http://purl.org/dc/elements/1.1/" xmlns:dcterms="http://purl.org/dc/terms/" xmlns:xsi="http://www.w3.org/2001/XMLSchema-instance">
  <dc:title>2017年度部门决算</dc:title>
  <dc:subject>石家庄市xxx部门</dc:subject>
  <dc:creator>User</dc:creator>
  <cp:lastModifiedBy>Administrator</cp:lastModifiedBy>
  <cp:revision>39</cp:revision>
  <cp:lastPrinted>2019-08-19T06:49:00Z</cp:lastPrinted>
  <dcterms:created xsi:type="dcterms:W3CDTF">2018-08-29T08:38:00Z</dcterms:created>
  <dcterms:modified xsi:type="dcterms:W3CDTF">2024-03-20T02:05:01Z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2052-11.1.0.8894</vt:lpwstr>
  </property>
</Properties>
</file>