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5" w:type="first"/>
          <w:footerReference r:id="rId8" w:type="first"/>
          <w:headerReference r:id="rId3" w:type="default"/>
          <w:footerReference r:id="rId6" w:type="default"/>
          <w:headerReference r:id="rId4" w:type="even"/>
          <w:footerReference r:id="rId7" w:type="even"/>
          <w:pgSz w:w="11906" w:h="16838"/>
          <w:pgMar w:top="0" w:right="0" w:bottom="0" w:left="0" w:header="851" w:footer="992" w:gutter="0"/>
          <w:cols w:space="425" w:num="1"/>
          <w:titlePg/>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6"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wps:spPr>
                      <wps:txbx>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二〇二〇年八月</w:t>
                            </w:r>
                          </w:p>
                        </w:txbxContent>
                      </wps:txbx>
                      <wps:bodyPr upright="1">
                        <a:spAutoFit/>
                      </wps:bodyPr>
                    </wps:wsp>
                  </a:graphicData>
                </a:graphic>
              </wp:anchor>
            </w:drawing>
          </mc:Choice>
          <mc:Fallback>
            <w:pict>
              <v:shape id="文本框 10" o:spid="_x0000_s1026" o:spt="202" type="#_x0000_t202" style="position:absolute;left:0pt;margin-left:106.25pt;margin-top:693.55pt;height:79.95pt;width:404.15pt;z-index:251662336;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9lks2QAAAA4BAAAPAAAAAAAAAAEAIAAAACIAAABkcnMvZG93bnJldi54bWxQSwEC&#10;FAAUAAAACACHTuJAknengboBAABqAwAADgAAAAAAAAABACAAAAAoAQAAZHJzL2Uyb0RvYy54bWxQ&#10;SwUGAAAAAAYABgBZAQAAVAUAAAAA&#10;">
                <v:fill on="f" focussize="0,0"/>
                <v:stroke on="f"/>
                <v:imagedata o:title=""/>
                <o:lock v:ext="edit" aspectratio="f"/>
                <v:textbox style="mso-fit-shape-to-text:t;">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二〇二〇年八月</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1" name="椭圆 8"/>
                <wp:cNvGraphicFramePr/>
                <a:graphic xmlns:a="http://schemas.openxmlformats.org/drawingml/2006/main">
                  <a:graphicData uri="http://schemas.microsoft.com/office/word/2010/wordprocessingShape">
                    <wps:wsp>
                      <wps:cNvSpPr/>
                      <wps:spPr>
                        <a:xfrm>
                          <a:off x="0" y="0"/>
                          <a:ext cx="1548765" cy="1548765"/>
                        </a:xfrm>
                        <a:prstGeom prst="ellipse">
                          <a:avLst/>
                        </a:prstGeom>
                        <a:solidFill>
                          <a:srgbClr val="FFFFFF"/>
                        </a:solidFill>
                        <a:ln w="12700">
                          <a:noFill/>
                        </a:ln>
                      </wps:spPr>
                      <wps:txbx>
                        <w:txbxContent>
                          <w:p/>
                        </w:txbxContent>
                      </wps:txbx>
                      <wps:bodyPr anchor="ctr" anchorCtr="0" upright="1"/>
                    </wps:wsp>
                  </a:graphicData>
                </a:graphic>
              </wp:anchor>
            </w:drawing>
          </mc:Choice>
          <mc:Fallback>
            <w:pict>
              <v:shape id="椭圆 8" o:spid="_x0000_s1026" o:spt="3" type="#_x0000_t3" style="position:absolute;left:0pt;margin-left:53.5pt;margin-top:232.45pt;height:121.95pt;width:121.95pt;z-index:251659264;v-text-anchor:middle;mso-width-relative:page;mso-height-relative:page;" fillcolor="#FFFFFF" filled="t" stroked="f" coordsize="21600,21600" o:gfxdata="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esZGNoAAAALAQAADwAAAAAAAAABACAAAAAiAAAA&#10;ZHJzL2Rvd25yZXYueG1sUEsBAhQAFAAAAAgAh07iQC0HisrMAQAAkwMAAA4AAAAAAAAAAQAgAAAA&#10;KQEAAGRycy9lMm9Eb2MueG1sUEsFBgAAAAAGAAYAWQEAAGcFAAAAAA==&#10;">
                <v:fill on="t" focussize="0,0"/>
                <v:stroke on="f" weight="1pt"/>
                <v:imagedata o:title=""/>
                <o:lock v:ext="edit" aspectratio="f"/>
                <v:textbox>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8" name="矩形 14"/>
                <wp:cNvGraphicFramePr/>
                <a:graphic xmlns:a="http://schemas.openxmlformats.org/drawingml/2006/main">
                  <a:graphicData uri="http://schemas.microsoft.com/office/word/2010/wordprocessingShape">
                    <wps:wsp>
                      <wps:cNvSpPr/>
                      <wps:spPr>
                        <a:xfrm>
                          <a:off x="0" y="0"/>
                          <a:ext cx="2040255" cy="883920"/>
                        </a:xfrm>
                        <a:prstGeom prst="rect">
                          <a:avLst/>
                        </a:prstGeom>
                        <a:noFill/>
                        <a:ln>
                          <a:noFill/>
                        </a:ln>
                      </wps:spPr>
                      <wps:txbx>
                        <w:txbxContent>
                          <w:p>
                            <w:pPr>
                              <w:spacing w:line="360" w:lineRule="auto"/>
                              <w:jc w:val="center"/>
                              <w:rPr>
                                <w:kern w:val="0"/>
                                <w:sz w:val="28"/>
                                <w:szCs w:val="28"/>
                              </w:rPr>
                            </w:pPr>
                            <w:r>
                              <w:rPr>
                                <w:rFonts w:ascii="Yu Gothic UI Semibold" w:hAnsi="Yu Gothic UI Semibold" w:eastAsia="宋体"/>
                                <w:color w:val="FFFFFF"/>
                                <w:kern w:val="24"/>
                                <w:sz w:val="72"/>
                                <w:szCs w:val="72"/>
                              </w:rPr>
                              <w:t>2019</w:t>
                            </w:r>
                          </w:p>
                        </w:txbxContent>
                      </wps:txbx>
                      <wps:bodyPr upright="1">
                        <a:spAutoFit/>
                      </wps:bodyPr>
                    </wps:wsp>
                  </a:graphicData>
                </a:graphic>
              </wp:anchor>
            </w:drawing>
          </mc:Choice>
          <mc:Fallback>
            <w:pict>
              <v:rect id="矩形 14" o:spid="_x0000_s1026" o:spt="1" style="position:absolute;left:0pt;margin-left:33.6pt;margin-top:256.75pt;height:69.6pt;width:160.65pt;z-index:251664384;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V&#10;qbnZAAAACgEAAA8AAAAAAAAAAQAgAAAAIgAAAGRycy9kb3ducmV2LnhtbFBLAQIUABQAAAAIAIdO&#10;4kAaFbjQsAEAAFwDAAAOAAAAAAAAAAEAIAAAACgBAABkcnMvZTJvRG9jLnhtbFBLBQYAAAAABgAG&#10;AFkBAABKBQAAAAA=&#10;">
                <v:fill on="f" focussize="0,0"/>
                <v:stroke on="f"/>
                <v:imagedata o:title=""/>
                <o:lock v:ext="edit" aspectratio="f"/>
                <v:textbox style="mso-fit-shape-to-text:t;">
                  <w:txbxContent>
                    <w:p>
                      <w:pPr>
                        <w:spacing w:line="360" w:lineRule="auto"/>
                        <w:jc w:val="center"/>
                        <w:rPr>
                          <w:kern w:val="0"/>
                          <w:sz w:val="28"/>
                          <w:szCs w:val="28"/>
                        </w:rPr>
                      </w:pPr>
                      <w:r>
                        <w:rPr>
                          <w:rFonts w:ascii="Yu Gothic UI Semibold" w:hAnsi="Yu Gothic UI Semibold" w:eastAsia="宋体"/>
                          <w:color w:val="FFFFFF"/>
                          <w:kern w:val="24"/>
                          <w:sz w:val="72"/>
                          <w:szCs w:val="72"/>
                        </w:rPr>
                        <w:t>2019</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7" name="椭圆 9"/>
                <wp:cNvGraphicFramePr/>
                <a:graphic xmlns:a="http://schemas.openxmlformats.org/drawingml/2006/main">
                  <a:graphicData uri="http://schemas.microsoft.com/office/word/2010/wordprocessingShape">
                    <wps:wsp>
                      <wps:cNvSpPr/>
                      <wps:spPr>
                        <a:xfrm>
                          <a:off x="0" y="0"/>
                          <a:ext cx="1313815" cy="1313815"/>
                        </a:xfrm>
                        <a:prstGeom prst="ellipse">
                          <a:avLst/>
                        </a:prstGeom>
                        <a:solidFill>
                          <a:srgbClr val="1F2959"/>
                        </a:solidFill>
                        <a:ln w="12700">
                          <a:noFill/>
                        </a:ln>
                      </wps:spPr>
                      <wps:txbx>
                        <w:txbxContent>
                          <w:p/>
                        </w:txbxContent>
                      </wps:txbx>
                      <wps:bodyPr anchor="ctr" anchorCtr="0" upright="1"/>
                    </wps:wsp>
                  </a:graphicData>
                </a:graphic>
              </wp:anchor>
            </w:drawing>
          </mc:Choice>
          <mc:Fallback>
            <w:pict>
              <v:shape id="椭圆 9" o:spid="_x0000_s1026" o:spt="3" type="#_x0000_t3" style="position:absolute;left:0pt;margin-left:62.2pt;margin-top:242.75pt;height:103.45pt;width:103.45pt;z-index:251663360;v-text-anchor:middle;mso-width-relative:page;mso-height-relative:page;" fillcolor="#1F2959" filled="t" stroked="f" coordsize="21600,21600" o:gfxdata="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c/fE2wAAAAsBAAAPAAAAAAAAAAEAIAAAACIA&#10;AABkcnMvZG93bnJldi54bWxQSwECFAAUAAAACACHTuJAxCQxes0BAACTAwAADgAAAAAAAAABACAA&#10;AAAqAQAAZHJzL2Uyb0RvYy54bWxQSwUGAAAAAAYABgBZAQAAaQUAAAAA&#10;">
                <v:fill on="t" focussize="0,0"/>
                <v:stroke on="f" weight="1pt"/>
                <v:imagedata o:title=""/>
                <o:lock v:ext="edit" aspectratio="f"/>
                <v:textbox>
                  <w:txbxContent>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4" name="组合 6"/>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2" name="矩形 6"/>
                        <wps:cNvSpPr/>
                        <wps:spPr>
                          <a:xfrm>
                            <a:off x="1483" y="16692"/>
                            <a:ext cx="1125" cy="428"/>
                          </a:xfrm>
                          <a:prstGeom prst="rect">
                            <a:avLst/>
                          </a:prstGeom>
                          <a:solidFill>
                            <a:srgbClr val="FDBC11"/>
                          </a:solidFill>
                          <a:ln w="12700">
                            <a:noFill/>
                          </a:ln>
                        </wps:spPr>
                        <wps:bodyPr anchor="ctr" anchorCtr="0" upright="1"/>
                      </wps:wsp>
                      <wps:wsp>
                        <wps:cNvPr id="3" name="矩形 7"/>
                        <wps:cNvSpPr/>
                        <wps:spPr>
                          <a:xfrm>
                            <a:off x="2608" y="16693"/>
                            <a:ext cx="10780" cy="428"/>
                          </a:xfrm>
                          <a:prstGeom prst="rect">
                            <a:avLst/>
                          </a:prstGeom>
                          <a:solidFill>
                            <a:srgbClr val="1F2959"/>
                          </a:solidFill>
                          <a:ln w="12700">
                            <a:noFill/>
                          </a:ln>
                        </wps:spPr>
                        <wps:bodyPr anchor="ctr" anchorCtr="0" upright="1"/>
                      </wps:wsp>
                    </wpg:wgp>
                  </a:graphicData>
                </a:graphic>
              </wp:anchor>
            </w:drawing>
          </mc:Choice>
          <mc:Fallback>
            <w:pict>
              <v:group id="组合 6" o:spid="_x0000_s1026" o:spt="203" style="position:absolute;left:0pt;margin-left:1.25pt;margin-top:821.7pt;height:21.45pt;width:595.25pt;z-index:251660288;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1yfJdoAAAAMAQAADwAAAAAAAAABACAAAAAiAAAAZHJzL2Rvd25y&#10;ZXYueG1sUEsBAhQAFAAAAAgAh07iQB80YGtuAgAAXgYAAA4AAAAAAAAAAQAgAAAAKQEAAGRycy9l&#10;Mm9Eb2MueG1sUEsFBgAAAAAGAAYAWQEAAAkGAAAAAA==&#10;">
                <o:lock v:ext="edit" aspectratio="f"/>
                <v:rect id="矩形 6" o:spid="_x0000_s1026" o:spt="1" style="position:absolute;left:1483;top:16692;height:428;width:1125;v-text-anchor:middle;" fillcolor="#FDBC11" filled="t" stroked="f" coordsize="21600,21600" o:gfxdata="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5O9ZvQAA&#10;ANoAAAAPAAAAAAAAAAEAIAAAACIAAABkcnMvZG93bnJldi54bWxQSwECFAAUAAAACACHTuJAMy8F&#10;njsAAAA5AAAAEAAAAAAAAAABACAAAAAMAQAAZHJzL3NoYXBleG1sLnhtbFBLBQYAAAAABgAGAFsB&#10;AAC2AwAAAAA=&#10;">
                  <v:fill on="t" focussize="0,0"/>
                  <v:stroke on="f" weight="1pt"/>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s7eDM7oAAADa&#10;AAAADwAAAGRycy9kb3ducmV2LnhtbEWPS4sCMRCE74L/IbSwN83ooshoFBSFPXjxAV6bSc8z6QyT&#10;OOq/3wgLeyyq6itqvX1ZI3rqfOVYwXSSgCDOnK64UHC7HsdLED4gazSOScGbPGw3w8EaU+2efKb+&#10;EgoRIexTVFCG0KZS+qwki37iWuLo5a6zGKLsCqk7fEa4NXKWJAtpseK4UGJL+5Ky5vKwCmZh+djV&#10;1f1tWlP3mM/zU3OQSn2NpskKRKBX+A//tX+0gm/4XIk3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4MzugAAANoA&#10;AAAPAAAAAAAAAAEAIAAAACIAAABkcnMvZG93bnJldi54bWxQSwECFAAUAAAACACHTuJAMy8FnjsA&#10;AAA5AAAAEAAAAAAAAAABACAAAAAJAQAAZHJzL3NoYXBleG1sLnhtbFBLBQYAAAAABgAGAFsBAACz&#10;AwAAAAA=&#10;">
                  <v:fill on="t" focussize="0,0"/>
                  <v:stroke on="f" weight="1pt"/>
                  <v:imagedata o:title=""/>
                  <o:lock v:ext="edit" aspectratio="f"/>
                </v:rect>
              </v:group>
            </w:pict>
          </mc:Fallback>
        </mc:AlternateContent>
      </w:r>
      <w:r>
        <mc:AlternateContent>
          <mc:Choice Requires="wpg">
            <w:drawing>
              <wp:anchor distT="0" distB="0" distL="114300" distR="114300" simplePos="0" relativeHeight="251669504" behindDoc="1" locked="0" layoutInCell="1" allowOverlap="1">
                <wp:simplePos x="0" y="0"/>
                <wp:positionH relativeFrom="column">
                  <wp:posOffset>-31750</wp:posOffset>
                </wp:positionH>
                <wp:positionV relativeFrom="paragraph">
                  <wp:posOffset>0</wp:posOffset>
                </wp:positionV>
                <wp:extent cx="7623175" cy="3917950"/>
                <wp:effectExtent l="0" t="0" r="15875" b="6350"/>
                <wp:wrapNone/>
                <wp:docPr id="16" name="组合 9"/>
                <wp:cNvGraphicFramePr/>
                <a:graphic xmlns:a="http://schemas.openxmlformats.org/drawingml/2006/main">
                  <a:graphicData uri="http://schemas.microsoft.com/office/word/2010/wordprocessingGroup">
                    <wpg:wgp>
                      <wpg:cNvGrpSpPr/>
                      <wpg:grpSpPr>
                        <a:xfrm>
                          <a:off x="0" y="0"/>
                          <a:ext cx="7623175" cy="3917950"/>
                          <a:chOff x="13622" y="283"/>
                          <a:chExt cx="12005" cy="6170"/>
                        </a:xfrm>
                      </wpg:grpSpPr>
                      <wps:wsp>
                        <wps:cNvPr id="14" name="矩形 5"/>
                        <wps:cNvSpPr/>
                        <wps:spPr>
                          <a:xfrm>
                            <a:off x="13622" y="283"/>
                            <a:ext cx="12005" cy="6170"/>
                          </a:xfrm>
                          <a:prstGeom prst="rect">
                            <a:avLst/>
                          </a:prstGeom>
                          <a:solidFill>
                            <a:srgbClr val="FDBC11"/>
                          </a:solidFill>
                          <a:ln w="12700">
                            <a:noFill/>
                          </a:ln>
                        </wps:spPr>
                        <wps:bodyPr anchor="ctr" anchorCtr="0" upright="1"/>
                      </wps:wsp>
                      <wps:wsp>
                        <wps:cNvPr id="15" name="文本框 11"/>
                        <wps:cNvSpPr txBox="1"/>
                        <wps:spPr>
                          <a:xfrm>
                            <a:off x="17229" y="5021"/>
                            <a:ext cx="8083" cy="1392"/>
                          </a:xfrm>
                          <a:prstGeom prst="rect">
                            <a:avLst/>
                          </a:prstGeom>
                          <a:noFill/>
                          <a:ln>
                            <a:noFill/>
                          </a:ln>
                        </wps:spPr>
                        <wps:txbx>
                          <w:txbxContent>
                            <w:p>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wps:txbx>
                        <wps:bodyPr upright="1">
                          <a:spAutoFit/>
                        </wps:bodyPr>
                      </wps:wsp>
                    </wpg:wgp>
                  </a:graphicData>
                </a:graphic>
              </wp:anchor>
            </w:drawing>
          </mc:Choice>
          <mc:Fallback>
            <w:pict>
              <v:group id="组合 9" o:spid="_x0000_s1026" o:spt="203" style="position:absolute;left:0pt;margin-left:-2.5pt;margin-top:0pt;height:308.5pt;width:600.25pt;z-index:-251646976;mso-width-relative:page;mso-height-relative:page;" coordorigin="13622,283" coordsize="12005,6170" o:gfxdata="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qIQ4HYAAAACAEAAA8AAAAAAAAAAQAgAAAAIgAAAGRycy9kb3ducmV2Lnht&#10;bFBLAQIUABQAAAAIAIdO4kDTeLT8pAIAAEgGAAAOAAAAAAAAAAEAIAAAACcBAABkcnMvZTJvRG9j&#10;LnhtbFBLBQYAAAAABgAGAFkBAAA9BgAAAAA=&#10;">
                <o:lock v:ext="edit" aspectratio="f"/>
                <v:rect id="矩形 5" o:spid="_x0000_s1026" o:spt="1" style="position:absolute;left:13622;top:283;height:6170;width:12005;v-text-anchor:middle;" fillcolor="#FDBC11" filled="t" stroked="f" coordsize="21600,21600" o:gfxdata="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gcfr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文本框 11" o:spid="_x0000_s1026" o:spt="202" type="#_x0000_t202" style="position:absolute;left:17229;top:5021;height:1392;width:8083;" filled="f" stroked="f" coordsize="21600,21600"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5"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wps:spPr>
                      <wps:txbx>
                        <w:txbxContent>
                          <w:p/>
                        </w:txbxContent>
                      </wps:txbx>
                      <wps:bodyPr wrap="none" upright="1">
                        <a:spAutoFit/>
                      </wps:bodyPr>
                    </wps:wsp>
                  </a:graphicData>
                </a:graphic>
              </wp:anchor>
            </w:drawing>
          </mc:Choice>
          <mc:Fallback>
            <w:pict>
              <v:rect id="矩形 11" o:spid="_x0000_s1026" o:spt="1" style="position:absolute;left:0pt;margin-left:184.75pt;margin-top:286.6pt;height:31.25pt;width:339.65pt;mso-wrap-style:none;z-index:251661312;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ZBfR2wAAAAwBAAAPAAAAAAAAAAEAIAAAACIAAABkcnMvZG93bnJldi54bWxQSwEC&#10;FAAUAAAACACHTuJANlTptbgBAABoAwAADgAAAAAAAAABACAAAAAqAQAAZHJzL2Uyb0RvYy54bWxQ&#10;SwUGAAAAAAYABgBZAQAAVAUAAAAA&#10;">
                <v:fill on="f" focussize="0,0"/>
                <v:stroke on="f"/>
                <v:imagedata o:title=""/>
                <o:lock v:ext="edit" aspectratio="f"/>
                <v:textbox style="mso-fit-shape-to-text:t;">
                  <w:txbxContent>
                    <w:p/>
                  </w:txbxContent>
                </v:textbox>
              </v:rect>
            </w:pict>
          </mc:Fallback>
        </mc:AlternateConten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sz w:val="48"/>
          <w:szCs w:val="48"/>
        </w:rPr>
      </w:pPr>
      <w:r>
        <w:rPr>
          <w:rFonts w:ascii="黑体" w:hAnsi="Times New Roman" w:eastAsia="黑体"/>
          <w:sz w:val="48"/>
          <w:szCs w:val="48"/>
        </w:rPr>
        <w:br w:type="page"/>
      </w:r>
      <w:r>
        <w:rPr>
          <w:rFonts w:ascii="黑体" w:hAnsi="Times New Roman" w:eastAsia="黑体"/>
          <w:sz w:val="48"/>
          <w:szCs w:val="48"/>
        </w:rPr>
        <w:drawing>
          <wp:inline distT="0" distB="0" distL="114300" distR="114300">
            <wp:extent cx="5600700" cy="7670800"/>
            <wp:effectExtent l="0" t="0" r="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5600700" cy="7670800"/>
                    </a:xfrm>
                    <a:prstGeom prst="rect">
                      <a:avLst/>
                    </a:prstGeom>
                    <a:noFill/>
                    <a:ln>
                      <a:noFill/>
                    </a:ln>
                  </pic:spPr>
                </pic:pic>
              </a:graphicData>
            </a:graphic>
          </wp:inline>
        </w:drawing>
      </w:r>
    </w:p>
    <w:p>
      <w:pPr>
        <w:tabs>
          <w:tab w:val="left" w:pos="2728"/>
        </w:tabs>
        <w:rPr>
          <w:rFonts w:ascii="黑体" w:hAnsi="Times New Roman" w:eastAsia="黑体"/>
          <w:sz w:val="48"/>
          <w:szCs w:val="48"/>
        </w:rPr>
      </w:pPr>
      <w:r>
        <w:rPr>
          <w:rFonts w:ascii="黑体" w:hAnsi="Times New Roman" w:eastAsia="黑体"/>
          <w:sz w:val="48"/>
          <w:szCs w:val="48"/>
        </w:rPr>
        <w:tab/>
      </w: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headerReference r:id="rId10" w:type="first"/>
          <w:footerReference r:id="rId12" w:type="first"/>
          <w:headerReference r:id="rId9" w:type="default"/>
          <w:footerReference r:id="rId11" w:type="default"/>
          <w:type w:val="continuous"/>
          <w:pgSz w:w="11906" w:h="16838"/>
          <w:pgMar w:top="2041" w:right="1531" w:bottom="2041"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ind w:firstLine="945" w:firstLineChars="450"/>
      </w:pPr>
      <w:r>
        <mc:AlternateContent>
          <mc:Choice Requires="wps">
            <w:drawing>
              <wp:anchor distT="0" distB="0" distL="114300" distR="114300" simplePos="0" relativeHeight="251665408"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9" name="文本框 1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FFFF"/>
                          </a:fgClr>
                          <a:bgClr>
                            <a:srgbClr val="FFFFFF"/>
                          </a:bgClr>
                        </a:pattFill>
                        <a:ln w="12700" cap="flat" cmpd="sng">
                          <a:solidFill>
                            <a:srgbClr val="FFFFFF"/>
                          </a:solidFill>
                          <a:prstDash val="solid"/>
                          <a:round/>
                          <a:headEnd type="none" w="med" len="med"/>
                          <a:tailEnd type="none" w="med" len="med"/>
                        </a:ln>
                      </wps:spPr>
                      <wps:txb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wps:txbx>
                      <wps:bodyPr anchor="ctr" anchorCtr="0" upright="1"/>
                    </wps:wsp>
                  </a:graphicData>
                </a:graphic>
              </wp:anchor>
            </w:drawing>
          </mc:Choice>
          <mc:Fallback>
            <w:pict>
              <v:shape id="文本框 13" o:spid="_x0000_s1026" o:spt="202" type="#_x0000_t202" style="position:absolute;left:0pt;margin-left:-85.7pt;margin-top:80.7pt;height:263.1pt;width:613.65pt;z-index:251665408;v-text-anchor:middle;mso-width-relative:page;mso-height-relative:page;" fillcolor="#FFFFFF" filled="t" stroked="t" coordsize="21600,21600" o:gfxdata="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cmWQNoAAAANAQAADwAAAAAAAAABACAAAAAiAAAAZHJzL2Rvd25y&#10;ZXYueG1sUEsBAhQAFAAAAAgAh07iQAUuol41AgAAnQQAAA4AAAAAAAAAAQAgAAAAKQEAAGRycy9l&#10;Mm9Eb2MueG1sUEsFBgAAAAAGAAYAWQEAANAFAAAAAA==&#10;">
                <v:fill type="pattern" on="t" color2="#FFFFFF" focussize="0,0" r:id="rId17"/>
                <v:stroke weight="1pt" color="#FFFFFF" joinstyle="round"/>
                <v:imagedata o:title=""/>
                <o:lock v:ext="edit" aspectratio="f"/>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mc:Fallback>
        </mc:AlternateContent>
      </w:r>
      <w:r>
        <w:br w:type="page"/>
      </w:r>
      <w:r>
        <w:rPr>
          <w:rFonts w:hint="eastAsia" w:ascii="黑体" w:eastAsia="黑体" w:cs="黑体"/>
          <w:kern w:val="0"/>
          <w:sz w:val="32"/>
          <w:szCs w:val="32"/>
        </w:rPr>
        <w:t>一、部门职责</w:t>
      </w:r>
    </w:p>
    <w:p>
      <w:pPr>
        <w:spacing w:line="560" w:lineRule="exact"/>
        <w:ind w:firstLine="640" w:firstLineChars="200"/>
        <w:rPr>
          <w:rFonts w:ascii="仿宋" w:hAnsi="仿宋" w:eastAsia="仿宋"/>
          <w:sz w:val="32"/>
          <w:szCs w:val="32"/>
        </w:rPr>
      </w:pPr>
      <w:r>
        <w:rPr>
          <w:rFonts w:hint="eastAsia" w:ascii="仿宋" w:hAnsi="仿宋" w:eastAsia="仿宋" w:cs="仿宋_GB2312"/>
          <w:sz w:val="32"/>
          <w:szCs w:val="32"/>
        </w:rPr>
        <w:t>根据《唐山市机构编制委员会关于印发〈遵化市乡镇机构改革方案〉的通知》（唐机编字［</w:t>
      </w:r>
      <w:r>
        <w:rPr>
          <w:rFonts w:ascii="仿宋" w:hAnsi="仿宋" w:eastAsia="仿宋" w:cs="仿宋_GB2312"/>
          <w:sz w:val="32"/>
          <w:szCs w:val="32"/>
        </w:rPr>
        <w:t>2011</w:t>
      </w:r>
      <w:r>
        <w:rPr>
          <w:rFonts w:hint="eastAsia" w:ascii="仿宋" w:hAnsi="仿宋" w:eastAsia="仿宋" w:cs="仿宋_GB2312"/>
          <w:sz w:val="32"/>
          <w:szCs w:val="32"/>
        </w:rPr>
        <w:t>］</w:t>
      </w:r>
      <w:r>
        <w:rPr>
          <w:rFonts w:ascii="仿宋" w:hAnsi="仿宋" w:eastAsia="仿宋" w:cs="仿宋_GB2312"/>
          <w:sz w:val="32"/>
          <w:szCs w:val="32"/>
        </w:rPr>
        <w:t>51</w:t>
      </w:r>
      <w:r>
        <w:rPr>
          <w:rFonts w:hint="eastAsia" w:ascii="仿宋" w:hAnsi="仿宋" w:eastAsia="仿宋" w:cs="仿宋_GB2312"/>
          <w:sz w:val="32"/>
          <w:szCs w:val="32"/>
        </w:rPr>
        <w:t>号）</w:t>
      </w:r>
      <w:r>
        <w:rPr>
          <w:rFonts w:ascii="仿宋" w:hAnsi="仿宋" w:eastAsia="仿宋"/>
          <w:sz w:val="32"/>
          <w:szCs w:val="32"/>
        </w:rPr>
        <w:t xml:space="preserve"> </w:t>
      </w:r>
      <w:r>
        <w:rPr>
          <w:rFonts w:hint="eastAsia" w:ascii="仿宋" w:hAnsi="仿宋" w:eastAsia="仿宋"/>
          <w:sz w:val="32"/>
          <w:szCs w:val="32"/>
        </w:rPr>
        <w:t>文件，我单位主要职责是：</w:t>
      </w:r>
      <w:r>
        <w:rPr>
          <w:rFonts w:ascii="仿宋" w:hAnsi="仿宋" w:eastAsia="仿宋"/>
          <w:sz w:val="32"/>
          <w:szCs w:val="32"/>
        </w:rPr>
        <w:t xml:space="preserve">  </w:t>
      </w:r>
    </w:p>
    <w:p>
      <w:pPr>
        <w:spacing w:line="560" w:lineRule="exact"/>
        <w:ind w:firstLine="639"/>
        <w:rPr>
          <w:rFonts w:ascii="仿宋" w:hAnsi="仿宋" w:eastAsia="仿宋" w:cs="仿宋_GB2312"/>
          <w:sz w:val="32"/>
          <w:szCs w:val="32"/>
        </w:rPr>
      </w:pPr>
      <w:r>
        <w:rPr>
          <w:rFonts w:ascii="仿宋" w:hAnsi="仿宋" w:eastAsia="仿宋"/>
          <w:sz w:val="32"/>
          <w:szCs w:val="32"/>
        </w:rPr>
        <w:t xml:space="preserve"> 1</w:t>
      </w:r>
      <w:r>
        <w:rPr>
          <w:rFonts w:hint="eastAsia" w:ascii="仿宋" w:hAnsi="仿宋" w:eastAsia="仿宋" w:cs="仿宋_GB2312"/>
          <w:sz w:val="32"/>
          <w:szCs w:val="32"/>
        </w:rPr>
        <w:t>、促进经济发展，增加农民收入。依据市国民经济和社会发展中长期规划及年度计划，结合本乡实际，科学制定经济和社会发展规划及发展模式；以市场为导向，积极组织、引导农民进行产业结构调整，培育主导产业，促进农民持续稳定增产、增收；加强新型农村服务体系建设，落实强农惠农措施，培育和发展农民专业合作组织和中介组织，着力解决农民生产生活中的突出问题；大力发展民营经济，壮大第二、第三产业，加快城镇化进程；营造良好的发展环境，提高经济发展的质量和水平，促进招商引资和项目建设工作。</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2</w:t>
      </w:r>
      <w:r>
        <w:rPr>
          <w:rFonts w:hint="eastAsia" w:ascii="仿宋" w:hAnsi="仿宋" w:eastAsia="仿宋" w:cs="仿宋_GB2312"/>
          <w:sz w:val="32"/>
          <w:szCs w:val="32"/>
        </w:rPr>
        <w:t>、提供公共服务，着力改善民生。发展农村义务教育、公共卫生、文化体育、广播电视等各项事业，促进农村经济社会协调发展；落实计划生育基本国策，推进优生优育，稳定农村低生育水平，做好生殖健康检查和育龄妇女普查等计划生育服务工作；加强农田水利基本建设，增强农业抗御自然灾害的能力；组织好科技和信息服务工作，提高农民现代信息技术水平；加强对农村劳动力的职业技能培训，扩大农村富余劳动力就业；加强农村市场设施建设和管理，增强市场服务功能；做好防灾减灾、优抚安置、低保、扶贫救济等社会救助工作，发展农村老龄服务，加强农村残疾预防和残疾人康复工作；加强农村基础设施建设，改善农民生活环境，积极稳妥有序推进农村新民居建设；建立健全农村社会保障体系，解除农民后顾之忧。</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3</w:t>
      </w:r>
      <w:r>
        <w:rPr>
          <w:rFonts w:hint="eastAsia" w:ascii="仿宋" w:hAnsi="仿宋" w:eastAsia="仿宋" w:cs="仿宋_GB2312"/>
          <w:sz w:val="32"/>
          <w:szCs w:val="32"/>
        </w:rPr>
        <w:t>、加强社会管理，维护农村稳定。组织、监督国家法律法规和基本公共政策在农村的实施，制定社会主义新农村和文明生态村建设的规划和措施；加强乡村财政资金监管和乡村建设等社会事务的行政管理，促进各项社会事业的发展；协助市直有关部门做好国土资源管理、环境保护和农村普法宣传教育等工作；加强社会治安综合治理，维护社会安全秩序；认真做好人民群众的来信来访工作，维护、保障人民群众的合法权益；建立完善协调联动机制，搞好农村矛盾纠纷排查调处，及时化解农村社会矛盾；完善预警机制，妥善处理公共性、突发性、群体性事件；加强安全生产管理，做好各项安全生产工作的监督检查、隐患排查，落实安全生产责任制。</w:t>
      </w:r>
    </w:p>
    <w:p>
      <w:pPr>
        <w:spacing w:line="560" w:lineRule="exact"/>
        <w:ind w:firstLine="639"/>
        <w:rPr>
          <w:rFonts w:ascii="仿宋" w:hAnsi="仿宋" w:eastAsia="仿宋" w:cs="仿宋_GB2312"/>
          <w:sz w:val="32"/>
          <w:szCs w:val="32"/>
        </w:rPr>
      </w:pPr>
      <w:r>
        <w:rPr>
          <w:rFonts w:ascii="仿宋" w:hAnsi="仿宋" w:eastAsia="仿宋" w:cs="仿宋_GB2312"/>
          <w:sz w:val="32"/>
          <w:szCs w:val="32"/>
        </w:rPr>
        <w:t>4</w:t>
      </w:r>
      <w:r>
        <w:rPr>
          <w:rFonts w:hint="eastAsia" w:ascii="仿宋" w:hAnsi="仿宋" w:eastAsia="仿宋" w:cs="仿宋_GB2312"/>
          <w:sz w:val="32"/>
          <w:szCs w:val="32"/>
        </w:rPr>
        <w:t>、推进基层民主，促进农村和谐。加强农村党的基层组织建设、农村基层干部队伍建设、农村党员队伍建设；保障法律法规赋予公民的经济、政治、文化权利，落实公民在选举、决策、管理和监督方面的民主权利，依法行政；加强农村文化宣传及统战工作，抓好农村的思想政治建设和精神文明建设；依法推进村民组织自治，完善民主议事制度，推进村务公开、财务公开，引导农民有序参与村级事务管理，推动农村社区建设，促进社会组织健康发展，增强社会自治功能。</w:t>
      </w:r>
    </w:p>
    <w:p>
      <w:pPr>
        <w:spacing w:line="560" w:lineRule="exact"/>
        <w:ind w:firstLine="160" w:firstLineChars="50"/>
        <w:rPr>
          <w:rFonts w:ascii="仿宋" w:hAnsi="仿宋" w:eastAsia="仿宋" w:cs="仿宋_GB2312"/>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 xml:space="preserve">1 </w:t>
      </w:r>
      <w:r>
        <w:rPr>
          <w:rFonts w:hint="eastAsia" w:ascii="仿宋_GB2312" w:hAnsi="Calibri" w:eastAsia="仿宋_GB2312" w:cs="ArialUnicodeMS"/>
          <w:kern w:val="0"/>
          <w:sz w:val="32"/>
          <w:szCs w:val="32"/>
        </w:rPr>
        <w:t>个，具体情况如下：</w:t>
      </w:r>
    </w:p>
    <w:p>
      <w:pPr>
        <w:spacing w:line="580" w:lineRule="exact"/>
        <w:ind w:firstLine="643" w:firstLineChars="200"/>
        <w:jc w:val="center"/>
        <w:rPr>
          <w:rFonts w:ascii="仿宋_GB2312" w:hAnsi="Calibri" w:eastAsia="仿宋_GB2312" w:cs="ArialUnicodeMS"/>
          <w:b/>
          <w:kern w:val="0"/>
          <w:sz w:val="32"/>
          <w:szCs w:val="32"/>
        </w:rPr>
      </w:pPr>
      <w:r>
        <w:rPr>
          <w:rFonts w:hint="eastAsia" w:ascii="仿宋_GB2312" w:hAnsi="Calibri" w:eastAsia="仿宋_GB2312" w:cs="ArialUnicodeMS"/>
          <w:b/>
          <w:kern w:val="0"/>
          <w:sz w:val="32"/>
          <w:szCs w:val="32"/>
        </w:rPr>
        <w:t>部门机构设置情况</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3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30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13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单位性质</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单位规格</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合计</w:t>
            </w:r>
          </w:p>
        </w:tc>
        <w:tc>
          <w:tcPr>
            <w:tcW w:w="1385" w:type="dxa"/>
          </w:tcPr>
          <w:p>
            <w:pPr>
              <w:spacing w:line="560" w:lineRule="exact"/>
              <w:jc w:val="left"/>
              <w:rPr>
                <w:rFonts w:ascii="仿宋" w:hAnsi="仿宋" w:eastAsia="仿宋" w:cs="ArialUnicodeMS"/>
                <w:kern w:val="0"/>
                <w:sz w:val="30"/>
                <w:szCs w:val="30"/>
              </w:rPr>
            </w:pPr>
          </w:p>
        </w:tc>
        <w:tc>
          <w:tcPr>
            <w:tcW w:w="2445" w:type="dxa"/>
          </w:tcPr>
          <w:p>
            <w:pPr>
              <w:spacing w:line="560" w:lineRule="exact"/>
              <w:rPr>
                <w:rFonts w:ascii="仿宋" w:hAnsi="仿宋" w:eastAsia="仿宋" w:cs="ArialUnicodeMS"/>
                <w:kern w:val="0"/>
                <w:sz w:val="30"/>
                <w:szCs w:val="30"/>
              </w:rPr>
            </w:pPr>
          </w:p>
        </w:tc>
        <w:tc>
          <w:tcPr>
            <w:tcW w:w="2665" w:type="dxa"/>
          </w:tcPr>
          <w:p>
            <w:pPr>
              <w:spacing w:line="560" w:lineRule="exact"/>
              <w:rPr>
                <w:rFonts w:ascii="仿宋" w:hAnsi="仿宋" w:eastAsia="仿宋" w:cs="ArialUnicodeMS"/>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遵化市刘备寨乡人民政府</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正科级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遵化市刘备寨乡党政综合办公室</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遵化市刘备寨乡社会事务办公室</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遵化市刘备寨乡经济发展办公室</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遵化市刘备寨乡城镇建设办公室</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遵化市刘备寨乡社会治安综合治理办公室</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遵化市刘备寨乡财政所农村经营管理服务站</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w:t>
            </w:r>
          </w:p>
        </w:tc>
        <w:tc>
          <w:tcPr>
            <w:tcW w:w="2445" w:type="dxa"/>
          </w:tcPr>
          <w:p>
            <w:pPr>
              <w:tabs>
                <w:tab w:val="left" w:pos="240"/>
              </w:tabs>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遵化市刘备寨乡人口和计划生育服务中心</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遵化市刘备寨乡文化综合服务中心</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遵化市刘备寨乡劳动保障事务站</w:t>
            </w:r>
          </w:p>
        </w:tc>
        <w:tc>
          <w:tcPr>
            <w:tcW w:w="13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股级</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jc w:val="left"/>
              <w:rPr>
                <w:rFonts w:ascii="仿宋_GB2312" w:hAnsi="Calibri" w:eastAsia="仿宋_GB2312" w:cs="ArialUnicodeMS"/>
                <w:kern w:val="0"/>
                <w:sz w:val="28"/>
                <w:szCs w:val="28"/>
                <w:highlight w:val="yellow"/>
              </w:rPr>
            </w:pPr>
          </w:p>
        </w:tc>
      </w:tr>
    </w:tbl>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txb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wps:txbx>
                      <wps:bodyPr upright="1"/>
                    </wps:wsp>
                  </a:graphicData>
                </a:graphic>
              </wp:anchor>
            </w:drawing>
          </mc:Choice>
          <mc:Fallback>
            <w:pict>
              <v:shape id="文本框 14" o:spid="_x0000_s1026" o:spt="202" type="#_x0000_t202" style="position:absolute;left:0pt;margin-left:-85.7pt;margin-top:238.15pt;height:173.25pt;width:613.65pt;z-index:251665408;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uj5PeAAAADQEAAA8AAAAAAAAAAQAgAAAAIgAAAGRycy9kb3ducmV2LnhtbFBL&#10;AQIUABQAAAAIAIdO4kBsfEM4twEAAFoDAAAOAAAAAAAAAAEAIAAAAC0BAABkcnMvZTJvRG9jLnht&#10;bFBLBQYAAAAABgAGAFkBAABWBQAAAAA=&#10;">
                <v:fill on="f" focussize="0,0"/>
                <v:stroke on="f" weight="0.5pt"/>
                <v:imagedata o:title=""/>
                <o:lock v:ext="edit" aspectratio="f"/>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mc:AlternateContent>
          <mc:Choice Requires="wps">
            <w:drawing>
              <wp:anchor distT="0" distB="0" distL="114300" distR="114300" simplePos="0" relativeHeight="251666432"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1"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FFFF"/>
                          </a:fgClr>
                          <a:bgClr>
                            <a:srgbClr val="FFFFFF"/>
                          </a:bgClr>
                        </a:pattFill>
                        <a:ln w="6350" cap="flat" cmpd="sng">
                          <a:solidFill>
                            <a:srgbClr val="FFFFFF"/>
                          </a:solidFill>
                          <a:prstDash val="solid"/>
                          <a:round/>
                          <a:headEnd type="none" w="med" len="med"/>
                          <a:tailEnd type="none" w="med" len="med"/>
                        </a:ln>
                      </wps:spPr>
                      <wps:txb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wps:txbx>
                      <wps:bodyPr anchor="ctr" anchorCtr="0" upright="1"/>
                    </wps:wsp>
                  </a:graphicData>
                </a:graphic>
              </wp:anchor>
            </w:drawing>
          </mc:Choice>
          <mc:Fallback>
            <w:pict>
              <v:shape id="文本框 15" o:spid="_x0000_s1026" o:spt="202" type="#_x0000_t202" style="position:absolute;left:0pt;margin-left:-90.8pt;margin-top:4.35pt;height:263.1pt;width:613.65pt;z-index:251666432;v-text-anchor:middle;mso-width-relative:page;mso-height-relative:page;" fillcolor="#FFFFFF" filled="t" stroked="t" coordsize="21600,21600" o:gfxdata="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pT+sfbAAAACwEAAA8AAAAAAAAAAQAgAAAAIgAAAGRycy9kb3du&#10;cmV2LnhtbFBLAQIUABQAAAAIAIdO4kDFP0jcNQIAAJ0EAAAOAAAAAAAAAAEAIAAAACoBAABkcnMv&#10;ZTJvRG9jLnhtbFBLBQYAAAAABgAGAFkBAADRBQAAAAA=&#10;">
                <v:fill type="pattern" on="t" color2="#FFFFFF" focussize="0,0" r:id="rId17"/>
                <v:stroke weight="0.5pt" color="#FFFFFF" joinstyle="round"/>
                <v:imagedata o:title=""/>
                <o:lock v:ext="edit"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年度收支总计（含结转和结余）</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年度决算相比，收支减少</w:t>
      </w:r>
      <w:r>
        <w:rPr>
          <w:rFonts w:ascii="仿宋_GB2312" w:hAnsi="Times New Roman" w:eastAsia="仿宋_GB2312" w:cs="DengXian-Regular"/>
          <w:sz w:val="32"/>
          <w:szCs w:val="32"/>
        </w:rPr>
        <w:t>100.48</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15.55%</w:t>
      </w:r>
      <w:r>
        <w:rPr>
          <w:rFonts w:hint="eastAsia" w:ascii="仿宋_GB2312" w:hAnsi="Times New Roman" w:eastAsia="仿宋_GB2312" w:cs="DengXian-Regular"/>
          <w:sz w:val="32"/>
          <w:szCs w:val="32"/>
        </w:rPr>
        <w:t>，主要原因是人员调出及退休工资经费减少。</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年度本年收入合计</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；事业收入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；其他收入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年度本年支出合计</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万元，其中：基本支出</w:t>
      </w:r>
      <w:r>
        <w:rPr>
          <w:rFonts w:ascii="仿宋_GB2312" w:hAnsi="Times New Roman" w:eastAsia="仿宋_GB2312" w:cs="DengXian-Regular"/>
          <w:sz w:val="32"/>
          <w:szCs w:val="32"/>
        </w:rPr>
        <w:t>520.18</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95.38%</w:t>
      </w:r>
      <w:r>
        <w:rPr>
          <w:rFonts w:hint="eastAsia" w:ascii="仿宋_GB2312" w:hAnsi="Times New Roman" w:eastAsia="仿宋_GB2312" w:cs="DengXian-Regular"/>
          <w:sz w:val="32"/>
          <w:szCs w:val="32"/>
        </w:rPr>
        <w:t>；项目支出</w:t>
      </w:r>
      <w:r>
        <w:rPr>
          <w:rFonts w:ascii="仿宋_GB2312" w:hAnsi="Times New Roman" w:eastAsia="仿宋_GB2312" w:cs="DengXian-Regular"/>
          <w:sz w:val="32"/>
          <w:szCs w:val="32"/>
        </w:rPr>
        <w:t>25.15</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4.62%</w:t>
      </w:r>
      <w:r>
        <w:rPr>
          <w:rFonts w:hint="eastAsia" w:ascii="仿宋_GB2312" w:hAnsi="Times New Roman" w:eastAsia="仿宋_GB2312" w:cs="DengXian-Regular"/>
          <w:sz w:val="32"/>
          <w:szCs w:val="32"/>
        </w:rPr>
        <w:t>；经营支出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年度形成的财政拨款收支均为一般公共预算财政拨款，其中本年收入</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年度减少</w:t>
      </w:r>
      <w:r>
        <w:rPr>
          <w:rFonts w:ascii="仿宋_GB2312" w:hAnsi="Times New Roman" w:eastAsia="仿宋_GB2312" w:cs="DengXian-Regular"/>
          <w:sz w:val="32"/>
          <w:szCs w:val="32"/>
        </w:rPr>
        <w:t>100.48</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15.55%</w:t>
      </w:r>
      <w:r>
        <w:rPr>
          <w:rFonts w:hint="eastAsia" w:ascii="仿宋_GB2312" w:hAnsi="Times New Roman" w:eastAsia="仿宋_GB2312" w:cs="DengXian-Regular"/>
          <w:sz w:val="32"/>
          <w:szCs w:val="32"/>
        </w:rPr>
        <w:t>，主要是人员调出退休人员工资及各项保险经费减少；本年支出</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万元，减少</w:t>
      </w:r>
      <w:r>
        <w:rPr>
          <w:rFonts w:ascii="仿宋_GB2312" w:hAnsi="Times New Roman" w:eastAsia="仿宋_GB2312" w:cs="DengXian-Regular"/>
          <w:sz w:val="32"/>
          <w:szCs w:val="32"/>
        </w:rPr>
        <w:t>100.48</w:t>
      </w:r>
      <w:r>
        <w:rPr>
          <w:rFonts w:hint="eastAsia" w:ascii="仿宋_GB2312" w:hAnsi="Times New Roman" w:eastAsia="仿宋_GB2312" w:cs="DengXian-Regular"/>
          <w:sz w:val="32"/>
          <w:szCs w:val="32"/>
        </w:rPr>
        <w:t>万元，减少15.55%，主要原因是人员调出退休人员工资及各项保险经费减少。</w:t>
      </w:r>
    </w:p>
    <w:p>
      <w:pPr>
        <w:adjustRightInd w:val="0"/>
        <w:snapToGrid w:val="0"/>
        <w:spacing w:line="580" w:lineRule="exact"/>
        <w:ind w:firstLine="640" w:firstLineChars="200"/>
        <w:rPr>
          <w:rFonts w:ascii="仿宋_GB2312" w:hAnsi="Times New Roman" w:eastAsia="仿宋_GB2312" w:cs="DengXian-Regular"/>
          <w:sz w:val="32"/>
          <w:szCs w:val="32"/>
        </w:rPr>
      </w:pPr>
    </w:p>
    <w:p>
      <w:pPr>
        <w:snapToGrid w:val="0"/>
        <w:spacing w:line="580" w:lineRule="exact"/>
        <w:ind w:firstLine="643" w:firstLineChars="200"/>
        <w:rPr>
          <w:rFonts w:ascii="楷体_GB2312" w:hAnsi="Times New Roman" w:eastAsia="楷体_GB2312" w:cs="DengXian-Bold"/>
          <w:b/>
          <w:bCs/>
          <w:sz w:val="32"/>
          <w:szCs w:val="32"/>
        </w:rPr>
      </w:pP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年度一般公共预算财政拨款收入</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98.49%,</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8.32</w:t>
      </w:r>
      <w:r>
        <w:rPr>
          <w:rFonts w:hint="eastAsia" w:ascii="仿宋_GB2312" w:hAnsi="Times New Roman" w:eastAsia="仿宋_GB2312" w:cs="DengXian-Regular"/>
          <w:sz w:val="32"/>
          <w:szCs w:val="32"/>
        </w:rPr>
        <w:t>万元，决算数小</w:t>
      </w:r>
      <w:bookmarkStart w:id="0" w:name="_GoBack"/>
      <w:bookmarkEnd w:id="0"/>
      <w:r>
        <w:rPr>
          <w:rFonts w:hint="eastAsia" w:ascii="仿宋_GB2312" w:hAnsi="Times New Roman" w:eastAsia="仿宋_GB2312" w:cs="DengXian-Regular"/>
          <w:sz w:val="32"/>
          <w:szCs w:val="32"/>
          <w:lang w:eastAsia="zh-CN"/>
        </w:rPr>
        <w:t>于</w:t>
      </w:r>
      <w:r>
        <w:rPr>
          <w:rFonts w:hint="eastAsia" w:ascii="仿宋_GB2312" w:hAnsi="Times New Roman" w:eastAsia="仿宋_GB2312" w:cs="DengXian-Regular"/>
          <w:sz w:val="32"/>
          <w:szCs w:val="32"/>
        </w:rPr>
        <w:t>预算数，主要原因人员调出退休人员工资及各项保险经费减少；本年支出</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98.49%,</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8.32</w:t>
      </w:r>
      <w:r>
        <w:rPr>
          <w:rFonts w:hint="eastAsia" w:ascii="仿宋_GB2312" w:hAnsi="Times New Roman" w:eastAsia="仿宋_GB2312" w:cs="DengXian-Regular"/>
          <w:sz w:val="32"/>
          <w:szCs w:val="32"/>
        </w:rPr>
        <w:t>万元，决算数小于预算数，主要原因人员调出退休人员工资及各项保险经费减少。</w:t>
      </w: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年度财政拨款支出</w:t>
      </w:r>
      <w:r>
        <w:rPr>
          <w:rFonts w:ascii="仿宋_GB2312" w:hAnsi="Times New Roman" w:eastAsia="仿宋_GB2312" w:cs="DengXian-Regular"/>
          <w:sz w:val="32"/>
          <w:szCs w:val="32"/>
        </w:rPr>
        <w:t>545.33</w:t>
      </w:r>
      <w:r>
        <w:rPr>
          <w:rFonts w:hint="eastAsia" w:ascii="仿宋_GB2312" w:hAnsi="Times New Roman" w:eastAsia="仿宋_GB2312" w:cs="DengXian-Regular"/>
          <w:sz w:val="32"/>
          <w:szCs w:val="32"/>
        </w:rPr>
        <w:t>万元，主要用于以下方面：一般公共服务（类）支出</w:t>
      </w:r>
      <w:r>
        <w:rPr>
          <w:rFonts w:ascii="仿宋_GB2312" w:hAnsi="Times New Roman" w:eastAsia="仿宋_GB2312" w:cs="DengXian-Regular"/>
          <w:sz w:val="32"/>
          <w:szCs w:val="32"/>
        </w:rPr>
        <w:t>453.34</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83.13%</w:t>
      </w:r>
      <w:r>
        <w:rPr>
          <w:rFonts w:hint="eastAsia" w:ascii="仿宋_GB2312" w:hAnsi="Times New Roman" w:eastAsia="仿宋_GB2312" w:cs="DengXian-Regular"/>
          <w:sz w:val="32"/>
          <w:szCs w:val="32"/>
        </w:rPr>
        <w:t>，；卫生健康支出</w:t>
      </w:r>
      <w:r>
        <w:rPr>
          <w:rFonts w:ascii="仿宋_GB2312" w:hAnsi="Times New Roman" w:eastAsia="仿宋_GB2312" w:cs="DengXian-Regular"/>
          <w:sz w:val="32"/>
          <w:szCs w:val="32"/>
        </w:rPr>
        <w:t>23.04</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4.22%</w:t>
      </w:r>
      <w:r>
        <w:rPr>
          <w:rFonts w:hint="eastAsia" w:ascii="仿宋_GB2312" w:hAnsi="Times New Roman" w:eastAsia="仿宋_GB2312" w:cs="DengXian-Regular"/>
          <w:sz w:val="32"/>
          <w:szCs w:val="32"/>
        </w:rPr>
        <w:t>；农林水支出</w:t>
      </w:r>
      <w:r>
        <w:rPr>
          <w:rFonts w:ascii="仿宋_GB2312" w:hAnsi="Times New Roman" w:eastAsia="仿宋_GB2312" w:cs="DengXian-Regular"/>
          <w:sz w:val="32"/>
          <w:szCs w:val="32"/>
        </w:rPr>
        <w:t>68.95</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12.65%</w:t>
      </w:r>
      <w:r>
        <w:rPr>
          <w:rFonts w:hint="eastAsia" w:ascii="仿宋_GB2312" w:hAnsi="Times New Roman" w:eastAsia="仿宋_GB2312" w:cs="DengXian-Regular"/>
          <w:sz w:val="32"/>
          <w:szCs w:val="32"/>
        </w:rPr>
        <w:t>。</w: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年度财政拨款基本支出</w:t>
      </w:r>
      <w:r>
        <w:rPr>
          <w:rFonts w:ascii="仿宋_GB2312" w:hAnsi="Times New Roman" w:eastAsia="仿宋_GB2312" w:cs="DengXian-Regular"/>
          <w:sz w:val="32"/>
          <w:szCs w:val="32"/>
        </w:rPr>
        <w:t>520.18</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409.09</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DengXian-Regular"/>
          <w:sz w:val="32"/>
          <w:szCs w:val="32"/>
        </w:rPr>
        <w:t>111.09</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pPr>
        <w:snapToGrid w:val="0"/>
        <w:spacing w:line="52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年度“三公”经费支出共计</w:t>
      </w:r>
      <w:r>
        <w:rPr>
          <w:rFonts w:ascii="仿宋_GB2312" w:hAnsi="Times New Roman" w:eastAsia="仿宋_GB2312" w:cs="DengXian-Regular"/>
          <w:sz w:val="32"/>
          <w:szCs w:val="32"/>
        </w:rPr>
        <w:t>8.29</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66.21%,</w:t>
      </w:r>
      <w:r>
        <w:rPr>
          <w:rFonts w:hint="eastAsia" w:ascii="仿宋_GB2312" w:hAnsi="Times New Roman" w:eastAsia="仿宋_GB2312" w:cs="DengXian-Regular"/>
          <w:sz w:val="32"/>
          <w:szCs w:val="32"/>
        </w:rPr>
        <w:t>较年初预算减少</w:t>
      </w:r>
      <w:r>
        <w:rPr>
          <w:rFonts w:ascii="仿宋_GB2312" w:hAnsi="Times New Roman" w:eastAsia="仿宋_GB2312" w:cs="DengXian-Regular"/>
          <w:sz w:val="32"/>
          <w:szCs w:val="32"/>
        </w:rPr>
        <w:t>4.23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34.67%</w:t>
      </w:r>
      <w:r>
        <w:rPr>
          <w:rFonts w:hint="eastAsia" w:ascii="仿宋_GB2312" w:hAnsi="Times New Roman" w:eastAsia="仿宋_GB2312" w:cs="DengXian-Regular"/>
          <w:sz w:val="32"/>
          <w:szCs w:val="32"/>
        </w:rPr>
        <w:t>，主要是认真落实中央</w:t>
      </w:r>
      <w:r>
        <w:rPr>
          <w:rFonts w:hint="eastAsia" w:ascii="仿宋_GB2312" w:hAnsi="Times New Roman" w:eastAsia="仿宋_GB2312" w:cs="DengXian-Regular"/>
          <w:sz w:val="32"/>
          <w:szCs w:val="32"/>
          <w:lang w:eastAsia="zh-CN"/>
        </w:rPr>
        <w:t>八项规定</w:t>
      </w:r>
      <w:r>
        <w:rPr>
          <w:rFonts w:hint="eastAsia" w:ascii="仿宋_GB2312" w:hAnsi="Times New Roman" w:eastAsia="仿宋_GB2312" w:cs="DengXian-Regular"/>
          <w:sz w:val="32"/>
          <w:szCs w:val="32"/>
        </w:rPr>
        <w:t>精神和厉行节约要求，管理制度不断完善，三公经费支出得以有效控制，实现了只减不增目标；较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年度减少</w:t>
      </w:r>
      <w:r>
        <w:rPr>
          <w:rFonts w:ascii="仿宋_GB2312" w:hAnsi="Times New Roman" w:eastAsia="仿宋_GB2312" w:cs="DengXian-Regular"/>
          <w:sz w:val="32"/>
          <w:szCs w:val="32"/>
        </w:rPr>
        <w:t>3.28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28.34%</w:t>
      </w:r>
      <w:r>
        <w:rPr>
          <w:rFonts w:hint="eastAsia" w:ascii="仿宋_GB2312" w:hAnsi="Times New Roman" w:eastAsia="仿宋_GB2312" w:cs="DengXian-Regular"/>
          <w:sz w:val="32"/>
          <w:szCs w:val="32"/>
        </w:rPr>
        <w:t>，主要是严格按管理制度执行，杜绝超标超预算。具体情况如下：</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人；参加其他单位组织的因公出国（境）团组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人；无本单位组织的出国（境）团组。较年初预算持平，与2018年持平,主要是落实过紧日子思想,厉行节约。</w:t>
      </w:r>
    </w:p>
    <w:p>
      <w:pPr>
        <w:snapToGrid w:val="0"/>
        <w:spacing w:line="52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（二）公务用车购置及运行维护费支出</w:t>
      </w:r>
      <w:r>
        <w:rPr>
          <w:rFonts w:ascii="楷体_GB2312" w:hAnsi="Times New Roman" w:eastAsia="楷体_GB2312" w:cs="DengXian-Bold"/>
          <w:b/>
          <w:bCs/>
          <w:sz w:val="32"/>
          <w:szCs w:val="32"/>
        </w:rPr>
        <w:t>7.77</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年度公务用车购置及运行维护费较年初预算减少</w:t>
      </w:r>
      <w:r>
        <w:rPr>
          <w:rFonts w:ascii="仿宋_GB2312" w:hAnsi="Times New Roman" w:eastAsia="仿宋_GB2312" w:cs="DengXian-Regular"/>
          <w:sz w:val="32"/>
          <w:szCs w:val="32"/>
        </w:rPr>
        <w:t>4.23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35.25%,</w:t>
      </w:r>
      <w:r>
        <w:rPr>
          <w:rFonts w:hint="eastAsia" w:ascii="仿宋_GB2312" w:hAnsi="Times New Roman" w:eastAsia="仿宋_GB2312" w:cs="DengXian-Regular"/>
          <w:sz w:val="32"/>
          <w:szCs w:val="32"/>
        </w:rPr>
        <w:t>主要原因是公车运行维护费严格按管理制度执行</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定点维修、定点加油、统一保险和统一保养，节假日严格执行公务车辆封存制度，降低了公车运行维护费,厉行节约。较上年减少</w:t>
      </w:r>
      <w:r>
        <w:rPr>
          <w:rFonts w:ascii="仿宋_GB2312" w:hAnsi="Times New Roman" w:eastAsia="仿宋_GB2312" w:cs="DengXian-Regular"/>
          <w:sz w:val="32"/>
          <w:szCs w:val="32"/>
        </w:rPr>
        <w:t>3.28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29.68%,</w:t>
      </w:r>
      <w:r>
        <w:rPr>
          <w:rFonts w:hint="eastAsia" w:ascii="仿宋_GB2312" w:hAnsi="Times New Roman" w:eastAsia="仿宋_GB2312" w:cs="DengXian-Regular"/>
          <w:sz w:val="32"/>
          <w:szCs w:val="32"/>
        </w:rPr>
        <w:t>主要原因是公车运行维护费严格按管理制度执行</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定点维修、定点加油、统一保险和统一保养，节假日严格执行公务车辆封存制度，降低了公车运行维护费。</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辆，未发生“公务用车购置”经费支出，公务用车购置费支出较年初预算无增减变化，较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年度决算无增减变化,主要原因是厉行节俭。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年度单位公务用车保有量</w:t>
      </w:r>
      <w:r>
        <w:rPr>
          <w:rFonts w:ascii="仿宋_GB2312" w:hAnsi="Times New Roman" w:eastAsia="仿宋_GB2312" w:cs="DengXian-Regular"/>
          <w:sz w:val="32"/>
          <w:szCs w:val="32"/>
        </w:rPr>
        <w:t>3</w:t>
      </w:r>
      <w:r>
        <w:rPr>
          <w:rFonts w:hint="eastAsia" w:ascii="仿宋_GB2312" w:hAnsi="Times New Roman" w:eastAsia="仿宋_GB2312" w:cs="DengXian-Regular"/>
          <w:sz w:val="32"/>
          <w:szCs w:val="32"/>
        </w:rPr>
        <w:t>辆。公车运行维护费支出较预算减少</w:t>
      </w:r>
      <w:r>
        <w:rPr>
          <w:rFonts w:ascii="仿宋_GB2312" w:hAnsi="Times New Roman" w:eastAsia="仿宋_GB2312" w:cs="DengXian-Regular"/>
          <w:sz w:val="32"/>
          <w:szCs w:val="32"/>
        </w:rPr>
        <w:t>4.23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35.25%,</w:t>
      </w:r>
      <w:r>
        <w:rPr>
          <w:rFonts w:hint="eastAsia" w:ascii="仿宋_GB2312" w:hAnsi="Times New Roman" w:eastAsia="仿宋_GB2312" w:cs="DengXian-Regular"/>
          <w:sz w:val="32"/>
          <w:szCs w:val="32"/>
        </w:rPr>
        <w:t>主要原因是公车运行维护费严格按管理制度执行</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定点维修、定点加油、统一保险和统一保养，节假日严格执行公务车辆封存制度，降低了公车运行维护费；较上年减少</w:t>
      </w:r>
      <w:r>
        <w:rPr>
          <w:rFonts w:ascii="仿宋_GB2312" w:hAnsi="Times New Roman" w:eastAsia="仿宋_GB2312" w:cs="DengXian-Regular"/>
          <w:sz w:val="32"/>
          <w:szCs w:val="32"/>
        </w:rPr>
        <w:t>3.28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29.68%</w:t>
      </w:r>
      <w:r>
        <w:rPr>
          <w:rFonts w:hint="eastAsia" w:ascii="仿宋_GB2312" w:hAnsi="Times New Roman" w:eastAsia="仿宋_GB2312" w:cs="DengXian-Regular"/>
          <w:sz w:val="32"/>
          <w:szCs w:val="32"/>
        </w:rPr>
        <w:t>，主要原因是公车运行维护费严格按管理制度执行</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定点维修、定点加油、统一保险和统一保养，节假日严格执行公务车辆封存制度，降低了公车运行维护费。</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ascii="楷体_GB2312" w:hAnsi="Times New Roman" w:eastAsia="楷体_GB2312" w:cs="DengXian-Bold"/>
          <w:b/>
          <w:bCs/>
          <w:sz w:val="32"/>
          <w:szCs w:val="32"/>
        </w:rPr>
        <w:t>0.519</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ascii="仿宋_GB2312" w:hAnsi="Times New Roman" w:eastAsia="仿宋_GB2312" w:cs="DengXian-Regular"/>
          <w:sz w:val="32"/>
          <w:szCs w:val="32"/>
        </w:rPr>
        <w:t>42</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210</w:t>
      </w:r>
      <w:r>
        <w:rPr>
          <w:rFonts w:hint="eastAsia" w:ascii="仿宋_GB2312" w:hAnsi="Times New Roman" w:eastAsia="仿宋_GB2312" w:cs="DengXian-Regular"/>
          <w:sz w:val="32"/>
          <w:szCs w:val="32"/>
        </w:rPr>
        <w:t>人次。公务接待费支出较预算减少</w:t>
      </w:r>
      <w:r>
        <w:rPr>
          <w:rFonts w:ascii="仿宋_GB2312" w:hAnsi="Times New Roman" w:eastAsia="仿宋_GB2312" w:cs="DengXian-Regular"/>
          <w:sz w:val="32"/>
          <w:szCs w:val="32"/>
        </w:rPr>
        <w:t>0.001</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0.11%,</w:t>
      </w:r>
      <w:r>
        <w:rPr>
          <w:rFonts w:hint="eastAsia" w:ascii="仿宋_GB2312" w:hAnsi="Times New Roman" w:eastAsia="仿宋_GB2312" w:cs="DengXian-Regular"/>
          <w:sz w:val="32"/>
          <w:szCs w:val="32"/>
        </w:rPr>
        <w:t>较上年度无增减变化,主要原因是严格执行八项规定，严格控制公务费接待标准及费用。</w:t>
      </w:r>
    </w:p>
    <w:p>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年度一般公共预算项目支出全面开展绩效自评，项目</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个，共涉及资金</w:t>
      </w:r>
      <w:r>
        <w:rPr>
          <w:rFonts w:ascii="仿宋_GB2312" w:hAnsi="仿宋_GB2312" w:eastAsia="仿宋_GB2312" w:cs="仿宋_GB2312"/>
          <w:sz w:val="32"/>
          <w:szCs w:val="32"/>
        </w:rPr>
        <w:t>25.15</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。通过绩效管理大大提高了财政资金使用效益，推动了我乡经济和社会各项事业持续健康发展。力促我乡村容村貌大幅改观，使人民生活质量、幸福指数得以明显提高。</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城乡社区环境卫生等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城乡社区环境卫生及大气污染治理项目自评综述：该项目投资</w:t>
      </w:r>
      <w:r>
        <w:rPr>
          <w:rFonts w:ascii="仿宋_GB2312" w:hAnsi="仿宋_GB2312" w:eastAsia="仿宋_GB2312" w:cs="仿宋_GB2312"/>
          <w:sz w:val="32"/>
          <w:szCs w:val="32"/>
        </w:rPr>
        <w:t>25.15</w:t>
      </w:r>
      <w:r>
        <w:rPr>
          <w:rFonts w:hint="eastAsia" w:ascii="仿宋_GB2312" w:hAnsi="仿宋_GB2312" w:eastAsia="仿宋_GB2312" w:cs="仿宋_GB2312"/>
          <w:sz w:val="32"/>
          <w:szCs w:val="32"/>
        </w:rPr>
        <w:t>万元，用于治理我乡街道、河道、公路周边、公共厕所等卫生死角，对村委会集中安置点，主干道等区域配齐环卫设施，推进户分类、组收集、村运转、乡处理模式，足额落实环保经费，运用激励手段开展卫生检查评比等，力促村容村貌大幅改观；建设小型空气站，实时监测空气质量，有效控制或消减大气污染排放量，实现科学治霾，让百姓看到了蓝天白云。通过农村环境治理和大气污染治理，较好地改善了百姓的生活环境，提高了百姓的幸福指数。群众满意度大于</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，公众满意度大于</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，验收通过率大于</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，绩效评价为优。</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pPr>
        <w:keepNext/>
        <w:keepLines/>
        <w:snapToGrid w:val="0"/>
        <w:spacing w:line="580" w:lineRule="exact"/>
        <w:ind w:firstLine="640" w:firstLineChars="200"/>
        <w:outlineLvl w:val="2"/>
        <w:rPr>
          <w:rFonts w:ascii="仿宋" w:hAnsi="仿宋" w:eastAsia="仿宋" w:cs="DengXian-Bold"/>
          <w:bCs/>
          <w:sz w:val="32"/>
          <w:szCs w:val="32"/>
        </w:rPr>
      </w:pPr>
      <w:r>
        <w:rPr>
          <w:rFonts w:hint="eastAsia" w:ascii="仿宋" w:hAnsi="仿宋" w:eastAsia="仿宋" w:cs="DengXian-Bold"/>
          <w:bCs/>
          <w:sz w:val="32"/>
          <w:szCs w:val="32"/>
        </w:rPr>
        <w:t>我机关为其他机关，无机关运行经费。与年初预算持平,与2018年持平。</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pPr>
        <w:widowControl/>
        <w:spacing w:line="580" w:lineRule="exact"/>
        <w:ind w:firstLine="640" w:firstLineChars="200"/>
        <w:jc w:val="left"/>
        <w:rPr>
          <w:rFonts w:ascii="仿宋" w:hAnsi="仿宋" w:eastAsia="仿宋"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万元。</w:t>
      </w:r>
      <w:r>
        <w:rPr>
          <w:rFonts w:ascii="仿宋" w:hAnsi="仿宋" w:eastAsia="仿宋" w:cs="仿宋_GB2312"/>
          <w:color w:val="000000"/>
          <w:kern w:val="0"/>
          <w:sz w:val="32"/>
          <w:szCs w:val="32"/>
        </w:rPr>
        <w:t>授予中小企业合同金</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万元，占政府采购支出总额的</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其中授予小微企业合同金额</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万元，占政府采购支出总额的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ascii="仿宋_GB2312" w:hAnsi="Times New Roman" w:eastAsia="仿宋_GB2312" w:cs="DengXian-Regular"/>
          <w:sz w:val="32"/>
          <w:szCs w:val="32"/>
        </w:rPr>
        <w:t>3</w:t>
      </w:r>
      <w:r>
        <w:rPr>
          <w:rFonts w:hint="eastAsia" w:ascii="仿宋_GB2312" w:hAnsi="Times New Roman" w:eastAsia="仿宋_GB2312" w:cs="DengXian-Regular"/>
          <w:sz w:val="32"/>
          <w:szCs w:val="32"/>
        </w:rPr>
        <w:t>辆，较年初预算无增减变化，较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年度决算无增减变化。其中，副部（省）级及以上领导用车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辆，主要领导干部用车</w:t>
      </w:r>
      <w:r>
        <w:rPr>
          <w:rFonts w:ascii="仿宋_GB2312" w:hAnsi="Times New Roman" w:eastAsia="仿宋_GB2312" w:cs="DengXian-Regular"/>
          <w:sz w:val="32"/>
          <w:szCs w:val="32"/>
        </w:rPr>
        <w:t>2</w:t>
      </w:r>
      <w:r>
        <w:rPr>
          <w:rFonts w:hint="eastAsia" w:ascii="仿宋_GB2312" w:hAnsi="Times New Roman" w:eastAsia="仿宋_GB2312" w:cs="DengXian-Regular"/>
          <w:sz w:val="32"/>
          <w:szCs w:val="32"/>
        </w:rPr>
        <w:t>辆，机要通信用车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辆，应急保障用车1辆，执法执勤用车0辆，特种专业技术用车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辆，离退休干部用车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台，比上年无增减变化。单位价值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台，比上年无增减变化。</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年度“政府性基金预算财政拨款收入支出决算表”（公开</w:t>
      </w:r>
      <w:r>
        <w:rPr>
          <w:rFonts w:ascii="仿宋_GB2312" w:hAnsi="Times New Roman" w:eastAsia="仿宋_GB2312" w:cs="DengXian-Regular"/>
          <w:sz w:val="32"/>
          <w:szCs w:val="32"/>
        </w:rPr>
        <w:t>08</w:t>
      </w:r>
      <w:r>
        <w:rPr>
          <w:rFonts w:hint="eastAsia" w:ascii="仿宋_GB2312" w:hAnsi="Times New Roman" w:eastAsia="仿宋_GB2312" w:cs="DengXian-Regular"/>
          <w:sz w:val="32"/>
          <w:szCs w:val="32"/>
        </w:rPr>
        <w:t>表），无收支及结转结余情况，故“政府性基金预算财政拨款收入支出决算表”以空表列示。本部门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年度“国有资本经营预算财政拨款支出决算表”（公开</w:t>
      </w:r>
      <w:r>
        <w:rPr>
          <w:rFonts w:ascii="仿宋_GB2312" w:hAnsi="Times New Roman" w:eastAsia="仿宋_GB2312" w:cs="DengXian-Regular"/>
          <w:sz w:val="32"/>
          <w:szCs w:val="32"/>
        </w:rPr>
        <w:t>09</w:t>
      </w:r>
      <w:r>
        <w:rPr>
          <w:rFonts w:hint="eastAsia" w:ascii="仿宋_GB2312" w:hAnsi="Times New Roman" w:eastAsia="仿宋_GB2312" w:cs="DengXian-Regular"/>
          <w:sz w:val="32"/>
          <w:szCs w:val="32"/>
        </w:rPr>
        <w:t>表），无相关支出情况，故以空表列示。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pPr>
        <w:jc w:val="center"/>
        <w:rPr>
          <w:rFonts w:ascii="黑体" w:hAnsi="黑体" w:eastAsia="黑体" w:cs="黑体"/>
          <w:sz w:val="56"/>
          <w:szCs w:val="72"/>
        </w:rPr>
      </w:pPr>
    </w:p>
    <w:p>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mc:AlternateContent>
          <mc:Choice Requires="wps">
            <w:drawing>
              <wp:anchor distT="0" distB="0" distL="114300" distR="114300" simplePos="0" relativeHeight="251667456"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2" name="文本框 16"/>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FFFF"/>
                          </a:fgClr>
                          <a:bgClr>
                            <a:srgbClr val="FFFFFF"/>
                          </a:bgClr>
                        </a:pattFill>
                        <a:ln w="6350" cap="flat" cmpd="sng">
                          <a:solidFill>
                            <a:srgbClr val="FFFFFF"/>
                          </a:solidFill>
                          <a:prstDash val="solid"/>
                          <a:round/>
                          <a:headEnd type="none" w="med" len="med"/>
                          <a:tailEnd type="none" w="med" len="med"/>
                        </a:ln>
                      </wps:spPr>
                      <wps:txb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wps:txbx>
                      <wps:bodyPr anchor="ctr" anchorCtr="0" upright="1"/>
                    </wps:wsp>
                  </a:graphicData>
                </a:graphic>
              </wp:anchor>
            </w:drawing>
          </mc:Choice>
          <mc:Fallback>
            <w:pict>
              <v:shape id="文本框 16" o:spid="_x0000_s1026" o:spt="202" type="#_x0000_t202" style="position:absolute;left:0pt;margin-left:-80.45pt;margin-top:34.8pt;height:263.1pt;width:613.65pt;z-index:251667456;v-text-anchor:middle;mso-width-relative:page;mso-height-relative:page;" fillcolor="#FFFFFF" filled="t" stroked="t" coordsize="21600,21600" o:gfxdata="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d6urnbAAAADAEAAA8AAAAAAAAAAQAgAAAAIgAAAGRycy9kb3du&#10;cmV2LnhtbFBLAQIUABQAAAAIAIdO4kB4VQHXNQIAAJ0EAAAOAAAAAAAAAAEAIAAAACoBAABkcnMv&#10;ZTJvRG9jLnhtbFBLBQYAAAAABgAGAFkBAADRBQAAAAA=&#10;">
                <v:fill type="pattern" on="t" color2="#FFFFFF" focussize="0,0" r:id="rId17"/>
                <v:stroke weight="0.5pt" color="#FFFFFF" joinstyle="round"/>
                <v:imagedata o:title=""/>
                <o:lock v:ext="edit" aspectratio="f"/>
                <v:textbo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mc:Fallback>
        </mc:AlternateContent>
      </w:r>
    </w:p>
    <w:p/>
    <w:p/>
    <w:p/>
    <w:p/>
    <w:p/>
    <w:p/>
    <w:p/>
    <w:p/>
    <w:p/>
    <w:p/>
    <w:p/>
    <w:p/>
    <w:p/>
    <w:p>
      <w:pPr>
        <w:tabs>
          <w:tab w:val="left" w:pos="886"/>
        </w:tabs>
        <w:jc w:val="left"/>
        <w:sectPr>
          <w:headerReference r:id="rId13" w:type="first"/>
          <w:pgSz w:w="11906" w:h="16838"/>
          <w:pgMar w:top="2041" w:right="1531" w:bottom="2041" w:left="1531" w:header="851" w:footer="992" w:gutter="0"/>
          <w:pgNumType w:fmt="numberInDash"/>
          <w:cols w:space="0" w:num="1"/>
          <w:titlePg/>
          <w:docGrid w:type="lines" w:linePitch="312" w:charSpace="0"/>
        </w:sectPr>
      </w:pPr>
    </w:p>
    <w:p>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
    <w:p/>
    <w:p/>
    <w:p/>
    <w:p/>
    <w:p/>
    <w:p>
      <w:pPr>
        <w:jc w:val="left"/>
        <w:sectPr>
          <w:headerReference r:id="rId14"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mc:AlternateContent>
          <mc:Choice Requires="wps">
            <w:drawing>
              <wp:anchor distT="0" distB="0" distL="114300" distR="114300" simplePos="0" relativeHeight="251670528"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17" name="文本框 1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FFFF"/>
                          </a:fgClr>
                          <a:bgClr>
                            <a:srgbClr val="FFFFFF"/>
                          </a:bgClr>
                        </a:pattFill>
                        <a:ln w="6350" cap="flat" cmpd="sng">
                          <a:solidFill>
                            <a:srgbClr val="FFFFFF"/>
                          </a:solidFill>
                          <a:prstDash val="solid"/>
                          <a:round/>
                          <a:headEnd type="none" w="med" len="med"/>
                          <a:tailEnd type="none" w="med" len="med"/>
                        </a:ln>
                      </wps:spPr>
                      <wps:txb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wps:txbx>
                      <wps:bodyPr anchor="ctr" anchorCtr="0" upright="1"/>
                    </wps:wsp>
                  </a:graphicData>
                </a:graphic>
              </wp:anchor>
            </w:drawing>
          </mc:Choice>
          <mc:Fallback>
            <w:pict>
              <v:shape id="_x0000_s1026" o:spid="_x0000_s1026" o:spt="202" type="#_x0000_t202" style="position:absolute;left:0pt;margin-left:-82.05pt;margin-top:135.85pt;height:263.1pt;width:613.65pt;z-index:-251645952;v-text-anchor:middle;mso-width-relative:page;mso-height-relative:page;" fillcolor="#FFFFFF" filled="t" stroked="t" coordsize="21600,21600" o:gfxdata="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2Hs23QAAAA0BAAAPAAAAAAAAAAEAIAAAACIAAABkcnMvZG93&#10;bnJldi54bWxQSwECFAAUAAAACACHTuJAjSb8xDQCAACdBAAADgAAAAAAAAABACAAAAAsAQAAZHJz&#10;L2Uyb0RvYy54bWxQSwUGAAAAAAYABgBZAQAA0gUAAAAA&#10;">
                <v:fill type="pattern" on="t" color2="#FFFFFF" focussize="0,0" r:id="rId17"/>
                <v:stroke weight="0.5pt" color="#FFFFFF" joinstyle="round"/>
                <v:imagedata o:title=""/>
                <o:lock v:ext="edit"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mc:Fallback>
        </mc:AlternateContent>
      </w:r>
    </w:p>
    <w:p>
      <w:pPr>
        <w:tabs>
          <w:tab w:val="left" w:pos="886"/>
        </w:tabs>
        <w:jc w:val="left"/>
      </w:pPr>
    </w:p>
    <w:p>
      <w:pPr>
        <w:jc w:val="left"/>
      </w:pPr>
    </w:p>
    <w:tbl>
      <w:tblPr>
        <w:tblStyle w:val="6"/>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5"/>
        <w:gridCol w:w="3439"/>
        <w:gridCol w:w="541"/>
        <w:gridCol w:w="844"/>
      </w:tblGrid>
      <w:tr>
        <w:tblPrEx>
          <w:tblCellMar>
            <w:top w:w="0" w:type="dxa"/>
            <w:left w:w="0" w:type="dxa"/>
            <w:bottom w:w="0" w:type="dxa"/>
            <w:right w:w="0" w:type="dxa"/>
          </w:tblCellMar>
        </w:tblPrEx>
        <w:trPr>
          <w:trHeight w:val="489" w:hRule="atLeast"/>
          <w:jc w:val="center"/>
        </w:trPr>
        <w:tc>
          <w:tcPr>
            <w:tcW w:w="9517" w:type="dxa"/>
            <w:gridSpan w:val="7"/>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545.33</w:t>
            </w: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453.34</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7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23.04</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68.95</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545.33</w:t>
            </w: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545.33</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545.33</w:t>
            </w:r>
            <w:r>
              <w:rPr>
                <w:rFonts w:hint="eastAsia" w:ascii="宋体" w:hAnsi="宋体" w:eastAsia="宋体" w:cs="宋体"/>
                <w:color w:val="000000"/>
                <w:kern w:val="0"/>
                <w:sz w:val="22"/>
              </w:rPr>
              <w:t>　</w:t>
            </w:r>
          </w:p>
        </w:tc>
        <w:tc>
          <w:tcPr>
            <w:tcW w:w="347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545.33</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9517" w:type="dxa"/>
            <w:gridSpan w:val="7"/>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tbl>
      <w:tblPr>
        <w:tblStyle w:val="6"/>
        <w:tblW w:w="10456" w:type="dxa"/>
        <w:jc w:val="center"/>
        <w:tblLayout w:type="autofit"/>
        <w:tblCellMar>
          <w:top w:w="0" w:type="dxa"/>
          <w:left w:w="0" w:type="dxa"/>
          <w:bottom w:w="0" w:type="dxa"/>
          <w:right w:w="0" w:type="dxa"/>
        </w:tblCellMar>
      </w:tblPr>
      <w:tblGrid>
        <w:gridCol w:w="2987"/>
        <w:gridCol w:w="38"/>
        <w:gridCol w:w="38"/>
        <w:gridCol w:w="3515"/>
        <w:gridCol w:w="871"/>
        <w:gridCol w:w="870"/>
        <w:gridCol w:w="314"/>
        <w:gridCol w:w="314"/>
        <w:gridCol w:w="497"/>
        <w:gridCol w:w="504"/>
        <w:gridCol w:w="508"/>
      </w:tblGrid>
      <w:tr>
        <w:tblPrEx>
          <w:tblCellMar>
            <w:top w:w="0" w:type="dxa"/>
            <w:left w:w="0" w:type="dxa"/>
            <w:bottom w:w="0" w:type="dxa"/>
            <w:right w:w="0" w:type="dxa"/>
          </w:tblCellMar>
        </w:tblPrEx>
        <w:trPr>
          <w:trHeight w:val="670" w:hRule="atLeast"/>
          <w:jc w:val="center"/>
        </w:trPr>
        <w:tc>
          <w:tcPr>
            <w:tcW w:w="10456" w:type="dxa"/>
            <w:gridSpan w:val="1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kern w:val="0"/>
                <w:sz w:val="32"/>
                <w:szCs w:val="32"/>
              </w:rPr>
            </w:pPr>
          </w:p>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7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59"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95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95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34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34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47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47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48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CellMar>
            <w:top w:w="0" w:type="dxa"/>
            <w:left w:w="0" w:type="dxa"/>
            <w:bottom w:w="0" w:type="dxa"/>
            <w:right w:w="0" w:type="dxa"/>
          </w:tblCellMar>
        </w:tblPrEx>
        <w:trPr>
          <w:trHeight w:val="380" w:hRule="atLeast"/>
          <w:jc w:val="center"/>
        </w:trPr>
        <w:tc>
          <w:tcPr>
            <w:tcW w:w="3102"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3102"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9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3102"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9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5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4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95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3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34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47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48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545.33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545.33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财政事务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2010601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党委办公厅（室）及相关机构事务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农业</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51.19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51.19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2130126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农村公益事业</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林业和草原</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4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
    <w:p/>
    <w:p/>
    <w:tbl>
      <w:tblPr>
        <w:tblStyle w:val="6"/>
        <w:tblW w:w="9518" w:type="dxa"/>
        <w:jc w:val="center"/>
        <w:tblLayout w:type="fixed"/>
        <w:tblCellMar>
          <w:top w:w="0" w:type="dxa"/>
          <w:left w:w="0" w:type="dxa"/>
          <w:bottom w:w="0" w:type="dxa"/>
          <w:right w:w="0" w:type="dxa"/>
        </w:tblCellMar>
      </w:tblPr>
      <w:tblGrid>
        <w:gridCol w:w="941"/>
        <w:gridCol w:w="53"/>
        <w:gridCol w:w="222"/>
        <w:gridCol w:w="1275"/>
        <w:gridCol w:w="1134"/>
        <w:gridCol w:w="1161"/>
        <w:gridCol w:w="1161"/>
        <w:gridCol w:w="1161"/>
        <w:gridCol w:w="1161"/>
        <w:gridCol w:w="1249"/>
      </w:tblGrid>
      <w:tr>
        <w:tblPrEx>
          <w:tblCellMar>
            <w:top w:w="0" w:type="dxa"/>
            <w:left w:w="0" w:type="dxa"/>
            <w:bottom w:w="0" w:type="dxa"/>
            <w:right w:w="0" w:type="dxa"/>
          </w:tblCellMar>
        </w:tblPrEx>
        <w:trPr>
          <w:trHeight w:val="612" w:hRule="atLeast"/>
          <w:jc w:val="center"/>
        </w:trPr>
        <w:tc>
          <w:tcPr>
            <w:tcW w:w="9518" w:type="dxa"/>
            <w:gridSpan w:val="10"/>
            <w:tcBorders>
              <w:top w:val="nil"/>
              <w:left w:val="nil"/>
              <w:bottom w:val="nil"/>
              <w:right w:val="nil"/>
            </w:tcBorders>
            <w:noWrap/>
            <w:tcMar>
              <w:top w:w="15" w:type="dxa"/>
              <w:left w:w="15" w:type="dxa"/>
              <w:right w:w="15" w:type="dxa"/>
            </w:tcMar>
            <w:vAlign w:val="center"/>
          </w:tcPr>
          <w:p>
            <w:pPr>
              <w:widowControl/>
              <w:ind w:firstLine="3840" w:firstLineChars="1200"/>
              <w:textAlignment w:val="center"/>
              <w:rPr>
                <w:rFonts w:ascii="黑体" w:hAnsi="宋体" w:eastAsia="黑体" w:cs="黑体"/>
                <w:color w:val="000000"/>
                <w:kern w:val="0"/>
                <w:sz w:val="32"/>
                <w:szCs w:val="32"/>
              </w:rPr>
            </w:pPr>
          </w:p>
          <w:p>
            <w:pPr>
              <w:widowControl/>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 xml:space="preserve">                       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27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249"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sz w:val="20"/>
                <w:szCs w:val="20"/>
              </w:rPr>
              <w:t>部门：遵化</w:t>
            </w:r>
          </w:p>
        </w:tc>
        <w:tc>
          <w:tcPr>
            <w:tcW w:w="5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2" w:type="dxa"/>
            <w:tcBorders>
              <w:top w:val="nil"/>
              <w:left w:val="nil"/>
              <w:bottom w:val="nil"/>
              <w:right w:val="nil"/>
            </w:tcBorders>
            <w:noWrap/>
            <w:tcMar>
              <w:top w:w="15" w:type="dxa"/>
              <w:left w:w="15" w:type="dxa"/>
              <w:right w:w="15" w:type="dxa"/>
            </w:tcMar>
            <w:vAlign w:val="bottom"/>
          </w:tcPr>
          <w:p>
            <w:pPr>
              <w:rPr>
                <w:rFonts w:ascii="宋体" w:hAnsi="宋体" w:eastAsia="宋体" w:cs="宋体"/>
                <w:color w:val="000000"/>
                <w:kern w:val="0"/>
                <w:sz w:val="20"/>
                <w:szCs w:val="20"/>
              </w:rPr>
            </w:pPr>
            <w:r>
              <w:rPr>
                <w:rFonts w:hint="eastAsia" w:ascii="宋体" w:hAnsi="宋体" w:eastAsia="宋体" w:cs="宋体"/>
                <w:color w:val="000000"/>
                <w:kern w:val="0"/>
                <w:sz w:val="20"/>
                <w:szCs w:val="20"/>
              </w:rPr>
              <w:t>市</w:t>
            </w:r>
          </w:p>
        </w:tc>
        <w:tc>
          <w:tcPr>
            <w:tcW w:w="1275" w:type="dxa"/>
            <w:tcBorders>
              <w:top w:val="nil"/>
              <w:left w:val="nil"/>
              <w:bottom w:val="nil"/>
              <w:right w:val="nil"/>
            </w:tcBorders>
            <w:noWrap/>
            <w:tcMar>
              <w:top w:w="15" w:type="dxa"/>
              <w:left w:w="15" w:type="dxa"/>
              <w:right w:w="15" w:type="dxa"/>
            </w:tcMar>
            <w:vAlign w:val="bottom"/>
          </w:tcPr>
          <w:p>
            <w:pPr>
              <w:rPr>
                <w:rFonts w:ascii="宋体" w:hAnsi="宋体" w:eastAsia="宋体" w:cs="宋体"/>
                <w:color w:val="000000"/>
                <w:kern w:val="0"/>
                <w:sz w:val="20"/>
                <w:szCs w:val="20"/>
              </w:rPr>
            </w:pPr>
            <w:r>
              <w:rPr>
                <w:rFonts w:hint="eastAsia" w:ascii="宋体" w:hAnsi="宋体" w:eastAsia="宋体" w:cs="宋体"/>
                <w:color w:val="000000"/>
                <w:kern w:val="0"/>
                <w:sz w:val="20"/>
                <w:szCs w:val="20"/>
              </w:rPr>
              <w:t>刘备寨乡人民</w:t>
            </w:r>
          </w:p>
        </w:tc>
        <w:tc>
          <w:tcPr>
            <w:tcW w:w="1134" w:type="dxa"/>
            <w:tcBorders>
              <w:top w:val="nil"/>
              <w:left w:val="nil"/>
              <w:bottom w:val="nil"/>
              <w:right w:val="nil"/>
            </w:tcBorders>
            <w:noWrap/>
            <w:tcMar>
              <w:top w:w="15" w:type="dxa"/>
              <w:left w:w="15" w:type="dxa"/>
              <w:right w:w="15" w:type="dxa"/>
            </w:tcMar>
            <w:vAlign w:val="bottom"/>
          </w:tcPr>
          <w:p>
            <w:pPr>
              <w:rPr>
                <w:rFonts w:ascii="宋体" w:hAnsi="宋体" w:eastAsia="宋体" w:cs="宋体"/>
                <w:color w:val="000000"/>
                <w:kern w:val="0"/>
                <w:sz w:val="20"/>
                <w:szCs w:val="20"/>
              </w:rPr>
            </w:pPr>
            <w:r>
              <w:rPr>
                <w:rFonts w:hint="eastAsia" w:ascii="宋体" w:hAnsi="宋体" w:eastAsia="宋体" w:cs="宋体"/>
                <w:color w:val="000000"/>
                <w:kern w:val="0"/>
                <w:sz w:val="20"/>
                <w:szCs w:val="20"/>
              </w:rPr>
              <w:t>政府</w:t>
            </w: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1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2491"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3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24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CellMar>
            <w:top w:w="0" w:type="dxa"/>
            <w:left w:w="0" w:type="dxa"/>
            <w:bottom w:w="0" w:type="dxa"/>
            <w:right w:w="0" w:type="dxa"/>
          </w:tblCellMar>
        </w:tblPrEx>
        <w:trPr>
          <w:trHeight w:val="319" w:hRule="atLeast"/>
          <w:jc w:val="center"/>
        </w:trPr>
        <w:tc>
          <w:tcPr>
            <w:tcW w:w="121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275"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21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7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21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7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2491"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2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323" w:hRule="atLeast"/>
          <w:jc w:val="center"/>
        </w:trPr>
        <w:tc>
          <w:tcPr>
            <w:tcW w:w="2491"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545.33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520.18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25.15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2010302</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20106</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财政事务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2010601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党委办公厅（室）及相关机构事务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43.</w:t>
            </w:r>
            <w:r>
              <w:rPr>
                <w:rFonts w:hint="eastAsia" w:ascii="宋体" w:hAnsi="宋体" w:eastAsia="宋体" w:cs="宋体"/>
                <w:color w:val="000000"/>
                <w:sz w:val="22"/>
              </w:rPr>
              <w:t>80</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农业</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51.19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2130126</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农村公益事业</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23102</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林业和草原</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21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2130201</w:t>
            </w:r>
          </w:p>
        </w:tc>
        <w:tc>
          <w:tcPr>
            <w:tcW w:w="127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24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9518"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r>
        <w:br w:type="page"/>
      </w:r>
    </w:p>
    <w:tbl>
      <w:tblPr>
        <w:tblStyle w:val="6"/>
        <w:tblW w:w="10041" w:type="dxa"/>
        <w:jc w:val="center"/>
        <w:tblLayout w:type="fixed"/>
        <w:tblCellMar>
          <w:top w:w="0" w:type="dxa"/>
          <w:left w:w="0" w:type="dxa"/>
          <w:bottom w:w="0" w:type="dxa"/>
          <w:right w:w="0" w:type="dxa"/>
        </w:tblCellMar>
      </w:tblPr>
      <w:tblGrid>
        <w:gridCol w:w="2922"/>
        <w:gridCol w:w="425"/>
        <w:gridCol w:w="846"/>
        <w:gridCol w:w="2977"/>
        <w:gridCol w:w="403"/>
        <w:gridCol w:w="767"/>
        <w:gridCol w:w="792"/>
        <w:gridCol w:w="909"/>
      </w:tblGrid>
      <w:tr>
        <w:tblPrEx>
          <w:tblCellMar>
            <w:top w:w="0" w:type="dxa"/>
            <w:left w:w="0" w:type="dxa"/>
            <w:bottom w:w="0" w:type="dxa"/>
            <w:right w:w="0" w:type="dxa"/>
          </w:tblCellMar>
        </w:tblPrEx>
        <w:trPr>
          <w:trHeight w:val="406" w:hRule="atLeast"/>
          <w:jc w:val="center"/>
        </w:trPr>
        <w:tc>
          <w:tcPr>
            <w:tcW w:w="10041" w:type="dxa"/>
            <w:gridSpan w:val="8"/>
            <w:tcBorders>
              <w:top w:val="nil"/>
              <w:left w:val="nil"/>
              <w:bottom w:val="nil"/>
              <w:right w:val="nil"/>
            </w:tcBorders>
            <w:noWrap/>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97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0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68"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部门：遵化市刘备寨乡人民政府</w:t>
            </w:r>
          </w:p>
        </w:tc>
        <w:tc>
          <w:tcPr>
            <w:tcW w:w="425" w:type="dxa"/>
            <w:tcBorders>
              <w:top w:val="nil"/>
              <w:left w:val="nil"/>
              <w:bottom w:val="nil"/>
              <w:right w:val="nil"/>
            </w:tcBorders>
            <w:noWrap/>
            <w:tcMar>
              <w:top w:w="15" w:type="dxa"/>
              <w:left w:w="15" w:type="dxa"/>
              <w:right w:w="15" w:type="dxa"/>
            </w:tcMar>
            <w:vAlign w:val="bottom"/>
          </w:tcPr>
          <w:p>
            <w:pPr>
              <w:rPr>
                <w:rFonts w:ascii="宋体" w:hAnsi="宋体" w:eastAsia="宋体" w:cs="宋体"/>
                <w:color w:val="000000"/>
                <w:kern w:val="0"/>
                <w:sz w:val="20"/>
                <w:szCs w:val="20"/>
              </w:rPr>
            </w:pPr>
          </w:p>
        </w:tc>
        <w:tc>
          <w:tcPr>
            <w:tcW w:w="8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97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0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68"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90" w:hRule="atLeast"/>
          <w:jc w:val="center"/>
        </w:trPr>
        <w:tc>
          <w:tcPr>
            <w:tcW w:w="419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848"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trPr>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67"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9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tblPrEx>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97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0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67"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79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0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Cs w:val="21"/>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545.33</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0041" w:type="dxa"/>
            <w:gridSpan w:val="8"/>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r>
        <w:br w:type="page"/>
      </w:r>
    </w:p>
    <w:tbl>
      <w:tblPr>
        <w:tblStyle w:val="6"/>
        <w:tblW w:w="10089" w:type="dxa"/>
        <w:jc w:val="center"/>
        <w:tblLayout w:type="autofit"/>
        <w:tblCellMar>
          <w:top w:w="0" w:type="dxa"/>
          <w:left w:w="0" w:type="dxa"/>
          <w:bottom w:w="0" w:type="dxa"/>
          <w:right w:w="0" w:type="dxa"/>
        </w:tblCellMar>
      </w:tblPr>
      <w:tblGrid>
        <w:gridCol w:w="763"/>
        <w:gridCol w:w="44"/>
        <w:gridCol w:w="44"/>
        <w:gridCol w:w="4036"/>
        <w:gridCol w:w="1378"/>
        <w:gridCol w:w="1912"/>
        <w:gridCol w:w="1912"/>
      </w:tblGrid>
      <w:tr>
        <w:tblPrEx>
          <w:tblCellMar>
            <w:top w:w="0" w:type="dxa"/>
            <w:left w:w="0" w:type="dxa"/>
            <w:bottom w:w="0" w:type="dxa"/>
            <w:right w:w="0" w:type="dxa"/>
          </w:tblCellMar>
        </w:tblPrEx>
        <w:trPr>
          <w:trHeight w:val="600" w:hRule="atLeast"/>
          <w:jc w:val="center"/>
        </w:trPr>
        <w:tc>
          <w:tcPr>
            <w:tcW w:w="10089"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遵化市刘备寨乡人民政府</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73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312" w:hRule="atLeast"/>
          <w:jc w:val="center"/>
        </w:trPr>
        <w:tc>
          <w:tcPr>
            <w:tcW w:w="93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57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7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57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12" w:hRule="atLeast"/>
          <w:jc w:val="center"/>
        </w:trPr>
        <w:tc>
          <w:tcPr>
            <w:tcW w:w="93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93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7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545.33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520.18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ascii="宋体" w:hAnsi="宋体" w:eastAsia="宋体" w:cs="宋体"/>
                <w:b/>
                <w:color w:val="000000"/>
                <w:sz w:val="22"/>
              </w:rPr>
              <w:t>25.15</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453.34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345.74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232.66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2010302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113.08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财政事务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2010201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20.87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党委办公厅（室）及相关机构事务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2013101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86.72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2100101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23.04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68.95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43.80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农业</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51.19</w:t>
            </w:r>
          </w:p>
        </w:tc>
        <w:tc>
          <w:tcPr>
            <w:tcW w:w="157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157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26.04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2130126</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农村公益事业</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25.15</w:t>
            </w:r>
          </w:p>
        </w:tc>
      </w:tr>
      <w:tr>
        <w:tblPrEx>
          <w:tblCellMar>
            <w:top w:w="0" w:type="dxa"/>
            <w:left w:w="0" w:type="dxa"/>
            <w:bottom w:w="0" w:type="dxa"/>
            <w:right w:w="0" w:type="dxa"/>
          </w:tblCellMar>
        </w:tblPrEx>
        <w:trPr>
          <w:trHeight w:val="308" w:hRule="atLeast"/>
          <w:jc w:val="center"/>
        </w:trPr>
        <w:tc>
          <w:tcPr>
            <w:tcW w:w="0" w:type="auto"/>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21302</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林业和草原</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rPr>
          <w:trHeight w:val="308" w:hRule="atLeast"/>
          <w:jc w:val="center"/>
        </w:trPr>
        <w:tc>
          <w:tcPr>
            <w:tcW w:w="0" w:type="auto"/>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ascii="宋体" w:hAnsi="宋体" w:eastAsia="宋体" w:cs="宋体"/>
                <w:color w:val="000000"/>
                <w:sz w:val="22"/>
              </w:rPr>
              <w:t>2130201</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17.76</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br w:type="page"/>
      </w:r>
    </w:p>
    <w:tbl>
      <w:tblPr>
        <w:tblStyle w:val="6"/>
        <w:tblW w:w="10020" w:type="dxa"/>
        <w:jc w:val="center"/>
        <w:tblLayout w:type="fixed"/>
        <w:tblCellMar>
          <w:top w:w="0" w:type="dxa"/>
          <w:left w:w="0" w:type="dxa"/>
          <w:bottom w:w="0" w:type="dxa"/>
          <w:right w:w="0" w:type="dxa"/>
        </w:tblCellMar>
      </w:tblPr>
      <w:tblGrid>
        <w:gridCol w:w="616"/>
        <w:gridCol w:w="1701"/>
        <w:gridCol w:w="1294"/>
        <w:gridCol w:w="655"/>
        <w:gridCol w:w="1599"/>
        <w:gridCol w:w="846"/>
        <w:gridCol w:w="686"/>
        <w:gridCol w:w="1891"/>
        <w:gridCol w:w="732"/>
      </w:tblGrid>
      <w:tr>
        <w:tblPrEx>
          <w:tblCellMar>
            <w:top w:w="0" w:type="dxa"/>
            <w:left w:w="0" w:type="dxa"/>
            <w:bottom w:w="0" w:type="dxa"/>
            <w:right w:w="0" w:type="dxa"/>
          </w:tblCellMar>
        </w:tblPrEx>
        <w:trPr>
          <w:trHeight w:val="662" w:hRule="atLeast"/>
          <w:jc w:val="center"/>
        </w:trPr>
        <w:tc>
          <w:tcPr>
            <w:tcW w:w="1002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tblPrEx>
          <w:tblCellMar>
            <w:top w:w="0" w:type="dxa"/>
            <w:left w:w="0" w:type="dxa"/>
            <w:bottom w:w="0" w:type="dxa"/>
            <w:right w:w="0" w:type="dxa"/>
          </w:tblCellMar>
        </w:tblPrEx>
        <w:trPr>
          <w:trHeight w:val="339" w:hRule="atLeast"/>
          <w:jc w:val="center"/>
        </w:trPr>
        <w:tc>
          <w:tcPr>
            <w:tcW w:w="61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701"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129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tblPrEx>
          <w:tblCellMar>
            <w:top w:w="0" w:type="dxa"/>
            <w:left w:w="0" w:type="dxa"/>
            <w:bottom w:w="0" w:type="dxa"/>
            <w:right w:w="0" w:type="dxa"/>
          </w:tblCellMar>
        </w:tblPrEx>
        <w:trPr>
          <w:trHeight w:val="491" w:hRule="atLeast"/>
          <w:jc w:val="center"/>
        </w:trPr>
        <w:tc>
          <w:tcPr>
            <w:tcW w:w="3611" w:type="dxa"/>
            <w:gridSpan w:val="3"/>
            <w:tcBorders>
              <w:top w:val="nil"/>
              <w:left w:val="nil"/>
              <w:bottom w:val="nil"/>
              <w:right w:val="nil"/>
            </w:tcBorders>
            <w:noWrap/>
            <w:tcMar>
              <w:top w:w="15" w:type="dxa"/>
              <w:left w:w="15" w:type="dxa"/>
              <w:right w:w="15" w:type="dxa"/>
            </w:tcMar>
            <w:vAlign w:val="bottom"/>
          </w:tcPr>
          <w:p>
            <w:pPr>
              <w:widowControl/>
              <w:ind w:left="400" w:hanging="400" w:hangingChars="2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65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409"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CellMar>
            <w:top w:w="0" w:type="dxa"/>
            <w:left w:w="0" w:type="dxa"/>
            <w:bottom w:w="0" w:type="dxa"/>
            <w:right w:w="0" w:type="dxa"/>
          </w:tblCellMar>
        </w:tblPrEx>
        <w:trPr>
          <w:trHeight w:val="362" w:hRule="atLeast"/>
          <w:jc w:val="center"/>
        </w:trPr>
        <w:tc>
          <w:tcPr>
            <w:tcW w:w="61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70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29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84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8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349" w:hRule="atLeast"/>
          <w:jc w:val="center"/>
        </w:trPr>
        <w:tc>
          <w:tcPr>
            <w:tcW w:w="61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70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29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4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406.29</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111.09</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136.27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28.16</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国内债务付息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134.28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国外债务付息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7.21</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ascii="宋体" w:hAnsi="宋体" w:eastAsia="宋体" w:cs="宋体"/>
                <w:color w:val="000000"/>
                <w:sz w:val="20"/>
                <w:szCs w:val="20"/>
              </w:rPr>
              <w:t>1.99</w:t>
            </w: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10.85</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ascii="宋体" w:hAnsi="宋体" w:eastAsia="宋体" w:cs="宋体"/>
                <w:color w:val="000000"/>
                <w:sz w:val="20"/>
                <w:szCs w:val="20"/>
              </w:rPr>
              <w:t>1.99</w:t>
            </w: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23.67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2.08</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2.10</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基础设施建设</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职工基本医疗保险缴费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46.75</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21.91</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大型修缮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公务员医疗补助缴费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信息网络及软件购置更新</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1.07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2.12</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物资储备</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29.41</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因公出国（境）费用</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土地补偿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1.8</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安置补助</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16.77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0.80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拆迁补偿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0.52</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0.80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无形资产购置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13.51</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赠与</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2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福利费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4.85</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公务用车运行维护费</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7.77</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其他对个人和家庭的补助</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13.92</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税金及附加费用</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6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70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其他商品和服务支出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12.36</w:t>
            </w:r>
          </w:p>
        </w:tc>
        <w:tc>
          <w:tcPr>
            <w:tcW w:w="686"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31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129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r>
              <w:rPr>
                <w:rFonts w:ascii="宋体" w:hAnsi="宋体" w:eastAsia="宋体" w:cs="宋体"/>
                <w:color w:val="000000"/>
                <w:sz w:val="20"/>
                <w:szCs w:val="20"/>
              </w:rPr>
              <w:t>407.10</w:t>
            </w:r>
          </w:p>
        </w:tc>
        <w:tc>
          <w:tcPr>
            <w:tcW w:w="5677"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r>
              <w:rPr>
                <w:rFonts w:ascii="宋体" w:hAnsi="宋体" w:eastAsia="宋体" w:cs="宋体"/>
                <w:color w:val="000000"/>
                <w:sz w:val="20"/>
                <w:szCs w:val="20"/>
              </w:rPr>
              <w:t>113.08</w:t>
            </w:r>
          </w:p>
        </w:tc>
      </w:tr>
    </w:tbl>
    <w:p>
      <w:r>
        <w:br w:type="page"/>
      </w:r>
    </w:p>
    <w:tbl>
      <w:tblPr>
        <w:tblStyle w:val="6"/>
        <w:tblW w:w="9220" w:type="dxa"/>
        <w:jc w:val="center"/>
        <w:tblLayout w:type="autofit"/>
        <w:tblCellMar>
          <w:top w:w="0" w:type="dxa"/>
          <w:left w:w="0" w:type="dxa"/>
          <w:bottom w:w="0" w:type="dxa"/>
          <w:right w:w="0" w:type="dxa"/>
        </w:tblCellMar>
      </w:tblPr>
      <w:tblGrid>
        <w:gridCol w:w="2830"/>
        <w:gridCol w:w="1535"/>
        <w:gridCol w:w="1194"/>
        <w:gridCol w:w="895"/>
        <w:gridCol w:w="1194"/>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12.88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12</w:t>
            </w:r>
          </w:p>
        </w:tc>
        <w:tc>
          <w:tcPr>
            <w:tcW w:w="0" w:type="auto"/>
            <w:tcBorders>
              <w:top w:val="nil"/>
              <w:left w:val="nil"/>
              <w:bottom w:val="single" w:color="000000"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0.52</w:t>
            </w:r>
          </w:p>
        </w:tc>
      </w:tr>
      <w:tr>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8.29</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7.77</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7.77</w:t>
            </w:r>
          </w:p>
        </w:tc>
        <w:tc>
          <w:tcPr>
            <w:tcW w:w="0" w:type="auto"/>
            <w:tcBorders>
              <w:top w:val="nil"/>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r>
              <w:rPr>
                <w:rFonts w:ascii="宋体" w:hAnsi="宋体" w:eastAsia="宋体" w:cs="宋体"/>
                <w:color w:val="000000"/>
                <w:sz w:val="22"/>
              </w:rPr>
              <w:t>0.52</w:t>
            </w:r>
          </w:p>
        </w:tc>
      </w:tr>
    </w:tbl>
    <w:p>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2830"/>
        <w:gridCol w:w="36"/>
        <w:gridCol w:w="36"/>
        <w:gridCol w:w="910"/>
        <w:gridCol w:w="950"/>
        <w:gridCol w:w="950"/>
        <w:gridCol w:w="950"/>
        <w:gridCol w:w="950"/>
        <w:gridCol w:w="950"/>
        <w:gridCol w:w="95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51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CellMar>
            <w:top w:w="0" w:type="dxa"/>
            <w:left w:w="0" w:type="dxa"/>
            <w:bottom w:w="0" w:type="dxa"/>
            <w:right w:w="0" w:type="dxa"/>
          </w:tblCellMar>
        </w:tblPrEx>
        <w:trPr>
          <w:trHeight w:val="312" w:hRule="atLeast"/>
          <w:jc w:val="center"/>
        </w:trPr>
        <w:tc>
          <w:tcPr>
            <w:tcW w:w="99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注：本部门本年度无收支及结转结余情况，以按要求以空表列示。</w:t>
      </w:r>
      <w:r>
        <w:br w:type="page"/>
      </w:r>
    </w:p>
    <w:tbl>
      <w:tblPr>
        <w:tblStyle w:val="6"/>
        <w:tblW w:w="9915" w:type="dxa"/>
        <w:jc w:val="center"/>
        <w:tblLayout w:type="autofit"/>
        <w:tblCellMar>
          <w:top w:w="0" w:type="dxa"/>
          <w:left w:w="0" w:type="dxa"/>
          <w:bottom w:w="0" w:type="dxa"/>
          <w:right w:w="0" w:type="dxa"/>
        </w:tblCellMar>
      </w:tblPr>
      <w:tblGrid>
        <w:gridCol w:w="3980"/>
        <w:gridCol w:w="51"/>
        <w:gridCol w:w="51"/>
        <w:gridCol w:w="2613"/>
        <w:gridCol w:w="661"/>
        <w:gridCol w:w="1280"/>
        <w:gridCol w:w="1279"/>
      </w:tblGrid>
      <w:tr>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部门：遵化市刘备寨乡人民政府</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rPr>
          <w:rFonts w:hint="eastAsia"/>
        </w:rPr>
        <w:t>注：本部门本年度无相关支出情况，按要求以空表列示。</w:t>
      </w:r>
    </w:p>
    <w:p/>
    <w:p/>
    <w:p/>
    <w:p/>
    <w:p/>
    <w:p/>
    <w:p/>
    <w:p/>
    <w:p/>
    <w:p/>
    <w:p/>
    <w:p/>
    <w:p/>
    <w:p/>
    <w:p/>
    <w:p/>
    <w:p/>
    <w:p/>
    <w:p/>
    <w:p/>
    <w:p/>
    <w:p>
      <w:r>
        <w:t xml:space="preserve">                                       </w:t>
      </w:r>
    </w:p>
    <w:p/>
    <w:p/>
    <w:p/>
    <w:p/>
    <w:p>
      <w:r>
        <mc:AlternateContent>
          <mc:Choice Requires="wps">
            <w:drawing>
              <wp:anchor distT="0" distB="0" distL="114300" distR="114300" simplePos="0" relativeHeight="251668480" behindDoc="0" locked="0" layoutInCell="1" allowOverlap="1">
                <wp:simplePos x="0" y="0"/>
                <wp:positionH relativeFrom="column">
                  <wp:posOffset>-895350</wp:posOffset>
                </wp:positionH>
                <wp:positionV relativeFrom="paragraph">
                  <wp:posOffset>-1082675</wp:posOffset>
                </wp:positionV>
                <wp:extent cx="7557770" cy="10682605"/>
                <wp:effectExtent l="0" t="0" r="0" b="0"/>
                <wp:wrapNone/>
                <wp:docPr id="13" name="矩形 18"/>
                <wp:cNvGraphicFramePr/>
                <a:graphic xmlns:a="http://schemas.openxmlformats.org/drawingml/2006/main">
                  <a:graphicData uri="http://schemas.microsoft.com/office/word/2010/wordprocessingShape">
                    <wps:wsp>
                      <wps:cNvSpPr/>
                      <wps:spPr>
                        <a:xfrm>
                          <a:off x="0" y="0"/>
                          <a:ext cx="7557770" cy="10682605"/>
                        </a:xfrm>
                        <a:prstGeom prst="rect">
                          <a:avLst/>
                        </a:prstGeom>
                        <a:noFill/>
                        <a:ln w="12700">
                          <a:noFill/>
                        </a:ln>
                      </wps:spPr>
                      <wps:txbx>
                        <w:txbxContent>
                          <w:p/>
                        </w:txbxContent>
                      </wps:txbx>
                      <wps:bodyPr anchor="ctr" anchorCtr="0" upright="1"/>
                    </wps:wsp>
                  </a:graphicData>
                </a:graphic>
              </wp:anchor>
            </w:drawing>
          </mc:Choice>
          <mc:Fallback>
            <w:pict>
              <v:rect id="矩形 18" o:spid="_x0000_s1026" o:spt="1" style="position:absolute;left:0pt;margin-left:-70.5pt;margin-top:-85.25pt;height:841.15pt;width:595.1pt;z-index:251668480;v-text-anchor:middle;mso-width-relative:page;mso-height-relative:page;" filled="f" stroked="f" coordsize="21600,21600" o:gfxdata="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sOPvjbAAAADwEAAA8AAAAAAAAAAQAgAAAAIgAAAGRycy9kb3ducmV2Lnht&#10;bFBLAQIUABQAAAAIAIdO4kDnhsvpvQEAAGoDAAAOAAAAAAAAAAEAIAAAACoBAABkcnMvZTJvRG9j&#10;LnhtbFBLBQYAAAAABgAGAFkBAABZBQAAAAA=&#10;">
                <v:fill on="f" focussize="0,0"/>
                <v:stroke on="f" weight="1pt"/>
                <v:imagedata o:title=""/>
                <o:lock v:ext="edit" aspectratio="f"/>
                <v:textbox>
                  <w:txbxContent>
                    <w:p/>
                  </w:txbxContent>
                </v:textbox>
              </v:rect>
            </w:pict>
          </mc:Fallback>
        </mc:AlternateConten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attachedTemplate r:id="rId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2YTJiYmI2MjY5M2IzNWQ3NGMzMjliMTJjNDAyMjAifQ=="/>
    <w:docVar w:name="KSO_WPS_MARK_KEY" w:val="1feddc3e-6468-4855-bacd-985c2cc3a24f"/>
  </w:docVars>
  <w:rsids>
    <w:rsidRoot w:val="6AAF1C96"/>
    <w:rsid w:val="00011BBA"/>
    <w:rsid w:val="00015029"/>
    <w:rsid w:val="00026F97"/>
    <w:rsid w:val="00041C68"/>
    <w:rsid w:val="00045556"/>
    <w:rsid w:val="00046B2B"/>
    <w:rsid w:val="00065778"/>
    <w:rsid w:val="00067629"/>
    <w:rsid w:val="0007063E"/>
    <w:rsid w:val="00071557"/>
    <w:rsid w:val="00073392"/>
    <w:rsid w:val="00073F4E"/>
    <w:rsid w:val="00086C89"/>
    <w:rsid w:val="000A2845"/>
    <w:rsid w:val="000A39FB"/>
    <w:rsid w:val="000C6989"/>
    <w:rsid w:val="000E04C9"/>
    <w:rsid w:val="000E592E"/>
    <w:rsid w:val="001063D1"/>
    <w:rsid w:val="00117746"/>
    <w:rsid w:val="00140474"/>
    <w:rsid w:val="00144AD0"/>
    <w:rsid w:val="001500BE"/>
    <w:rsid w:val="00163F95"/>
    <w:rsid w:val="00171672"/>
    <w:rsid w:val="00174E89"/>
    <w:rsid w:val="001751B3"/>
    <w:rsid w:val="00180A9A"/>
    <w:rsid w:val="001829C0"/>
    <w:rsid w:val="00184809"/>
    <w:rsid w:val="001903E7"/>
    <w:rsid w:val="00192112"/>
    <w:rsid w:val="001A19D8"/>
    <w:rsid w:val="001A6183"/>
    <w:rsid w:val="001B0127"/>
    <w:rsid w:val="001B244F"/>
    <w:rsid w:val="001B26E2"/>
    <w:rsid w:val="001C12D5"/>
    <w:rsid w:val="001C69F7"/>
    <w:rsid w:val="001C75A6"/>
    <w:rsid w:val="001C7DE0"/>
    <w:rsid w:val="001E1D9F"/>
    <w:rsid w:val="001E3C12"/>
    <w:rsid w:val="002014C2"/>
    <w:rsid w:val="00210477"/>
    <w:rsid w:val="00212A02"/>
    <w:rsid w:val="00234F2D"/>
    <w:rsid w:val="00247E5C"/>
    <w:rsid w:val="002650EC"/>
    <w:rsid w:val="002667E8"/>
    <w:rsid w:val="00275446"/>
    <w:rsid w:val="00276B49"/>
    <w:rsid w:val="00293312"/>
    <w:rsid w:val="00296A31"/>
    <w:rsid w:val="002A5482"/>
    <w:rsid w:val="002A6C46"/>
    <w:rsid w:val="002C027D"/>
    <w:rsid w:val="002C19B5"/>
    <w:rsid w:val="002C36EE"/>
    <w:rsid w:val="002D42F0"/>
    <w:rsid w:val="002E2006"/>
    <w:rsid w:val="002F7D91"/>
    <w:rsid w:val="00301D0A"/>
    <w:rsid w:val="0032142B"/>
    <w:rsid w:val="00333589"/>
    <w:rsid w:val="00340FFC"/>
    <w:rsid w:val="00344155"/>
    <w:rsid w:val="00362852"/>
    <w:rsid w:val="00386536"/>
    <w:rsid w:val="003A4EE8"/>
    <w:rsid w:val="003B6466"/>
    <w:rsid w:val="003B6913"/>
    <w:rsid w:val="003D6298"/>
    <w:rsid w:val="003E16D8"/>
    <w:rsid w:val="003E28B7"/>
    <w:rsid w:val="003E6C53"/>
    <w:rsid w:val="0040040C"/>
    <w:rsid w:val="004017B6"/>
    <w:rsid w:val="0042571F"/>
    <w:rsid w:val="00431372"/>
    <w:rsid w:val="004429FA"/>
    <w:rsid w:val="00442CC2"/>
    <w:rsid w:val="0044311E"/>
    <w:rsid w:val="00446244"/>
    <w:rsid w:val="00473C20"/>
    <w:rsid w:val="004B0A35"/>
    <w:rsid w:val="004B4BAC"/>
    <w:rsid w:val="004D0EC9"/>
    <w:rsid w:val="004D61CB"/>
    <w:rsid w:val="005011D6"/>
    <w:rsid w:val="00503F2E"/>
    <w:rsid w:val="00521A74"/>
    <w:rsid w:val="00521BC0"/>
    <w:rsid w:val="0053224B"/>
    <w:rsid w:val="00534B52"/>
    <w:rsid w:val="00541D41"/>
    <w:rsid w:val="00543CBA"/>
    <w:rsid w:val="00552226"/>
    <w:rsid w:val="00557101"/>
    <w:rsid w:val="0056358B"/>
    <w:rsid w:val="00564889"/>
    <w:rsid w:val="00566120"/>
    <w:rsid w:val="0056700E"/>
    <w:rsid w:val="005677C5"/>
    <w:rsid w:val="00575C1F"/>
    <w:rsid w:val="005822E9"/>
    <w:rsid w:val="00582E6D"/>
    <w:rsid w:val="00584C43"/>
    <w:rsid w:val="00592668"/>
    <w:rsid w:val="005954D5"/>
    <w:rsid w:val="005957D3"/>
    <w:rsid w:val="00595939"/>
    <w:rsid w:val="00596F8F"/>
    <w:rsid w:val="005A53FA"/>
    <w:rsid w:val="005A742D"/>
    <w:rsid w:val="005C1143"/>
    <w:rsid w:val="005C47BF"/>
    <w:rsid w:val="005D1293"/>
    <w:rsid w:val="005E6BC8"/>
    <w:rsid w:val="006069EF"/>
    <w:rsid w:val="00621648"/>
    <w:rsid w:val="0062397C"/>
    <w:rsid w:val="00624924"/>
    <w:rsid w:val="006346CD"/>
    <w:rsid w:val="00644CDF"/>
    <w:rsid w:val="00644D5F"/>
    <w:rsid w:val="00645DD1"/>
    <w:rsid w:val="00665692"/>
    <w:rsid w:val="006727AD"/>
    <w:rsid w:val="006750EE"/>
    <w:rsid w:val="00676688"/>
    <w:rsid w:val="00691425"/>
    <w:rsid w:val="00693169"/>
    <w:rsid w:val="00694893"/>
    <w:rsid w:val="006A516E"/>
    <w:rsid w:val="006A6635"/>
    <w:rsid w:val="006B0830"/>
    <w:rsid w:val="006B4D31"/>
    <w:rsid w:val="006D164E"/>
    <w:rsid w:val="006E127C"/>
    <w:rsid w:val="006F1FB8"/>
    <w:rsid w:val="006F2F5A"/>
    <w:rsid w:val="00704E3E"/>
    <w:rsid w:val="007106EC"/>
    <w:rsid w:val="00716434"/>
    <w:rsid w:val="00716E2B"/>
    <w:rsid w:val="00717993"/>
    <w:rsid w:val="007319D3"/>
    <w:rsid w:val="00732F4D"/>
    <w:rsid w:val="0073570F"/>
    <w:rsid w:val="00744A50"/>
    <w:rsid w:val="00750766"/>
    <w:rsid w:val="00753C5B"/>
    <w:rsid w:val="00756CC7"/>
    <w:rsid w:val="00770F18"/>
    <w:rsid w:val="00773B74"/>
    <w:rsid w:val="00781D06"/>
    <w:rsid w:val="0078290C"/>
    <w:rsid w:val="007A0C79"/>
    <w:rsid w:val="007A12B5"/>
    <w:rsid w:val="007A397D"/>
    <w:rsid w:val="007A3D66"/>
    <w:rsid w:val="007A7966"/>
    <w:rsid w:val="007B60FA"/>
    <w:rsid w:val="007C06CA"/>
    <w:rsid w:val="007C2232"/>
    <w:rsid w:val="007D0D72"/>
    <w:rsid w:val="007D53AC"/>
    <w:rsid w:val="007D6F90"/>
    <w:rsid w:val="007E2724"/>
    <w:rsid w:val="007F36FC"/>
    <w:rsid w:val="008030EF"/>
    <w:rsid w:val="00803C9D"/>
    <w:rsid w:val="00813CB4"/>
    <w:rsid w:val="008163FB"/>
    <w:rsid w:val="0081696B"/>
    <w:rsid w:val="0082281B"/>
    <w:rsid w:val="00824B9E"/>
    <w:rsid w:val="0082605B"/>
    <w:rsid w:val="008361C3"/>
    <w:rsid w:val="00844297"/>
    <w:rsid w:val="00855C36"/>
    <w:rsid w:val="00857DBE"/>
    <w:rsid w:val="008701BC"/>
    <w:rsid w:val="00883AD3"/>
    <w:rsid w:val="00883D92"/>
    <w:rsid w:val="0089774D"/>
    <w:rsid w:val="008A5362"/>
    <w:rsid w:val="008B30C6"/>
    <w:rsid w:val="008B50AC"/>
    <w:rsid w:val="008D062A"/>
    <w:rsid w:val="008D2268"/>
    <w:rsid w:val="008E3C5C"/>
    <w:rsid w:val="008E54A8"/>
    <w:rsid w:val="008F0054"/>
    <w:rsid w:val="008F21F1"/>
    <w:rsid w:val="008F221B"/>
    <w:rsid w:val="008F5A2D"/>
    <w:rsid w:val="00916614"/>
    <w:rsid w:val="00921602"/>
    <w:rsid w:val="00921E90"/>
    <w:rsid w:val="00922623"/>
    <w:rsid w:val="00944397"/>
    <w:rsid w:val="009448B4"/>
    <w:rsid w:val="00944F3A"/>
    <w:rsid w:val="00955402"/>
    <w:rsid w:val="00957EA1"/>
    <w:rsid w:val="009610D4"/>
    <w:rsid w:val="00963A18"/>
    <w:rsid w:val="00966595"/>
    <w:rsid w:val="00966E5B"/>
    <w:rsid w:val="00971FA9"/>
    <w:rsid w:val="0097234C"/>
    <w:rsid w:val="0097241F"/>
    <w:rsid w:val="009A0977"/>
    <w:rsid w:val="009A1D3C"/>
    <w:rsid w:val="009A3362"/>
    <w:rsid w:val="009B17D9"/>
    <w:rsid w:val="009B4EF0"/>
    <w:rsid w:val="009C095F"/>
    <w:rsid w:val="009C6CDC"/>
    <w:rsid w:val="009C7F05"/>
    <w:rsid w:val="009D104D"/>
    <w:rsid w:val="009D271F"/>
    <w:rsid w:val="009D3769"/>
    <w:rsid w:val="009F160C"/>
    <w:rsid w:val="009F5219"/>
    <w:rsid w:val="00A053E0"/>
    <w:rsid w:val="00A15B84"/>
    <w:rsid w:val="00A26277"/>
    <w:rsid w:val="00A30E36"/>
    <w:rsid w:val="00A31DEB"/>
    <w:rsid w:val="00A341B8"/>
    <w:rsid w:val="00A57A4D"/>
    <w:rsid w:val="00A64625"/>
    <w:rsid w:val="00A703DC"/>
    <w:rsid w:val="00A80FAC"/>
    <w:rsid w:val="00A84A2D"/>
    <w:rsid w:val="00A86124"/>
    <w:rsid w:val="00A929C2"/>
    <w:rsid w:val="00AB0538"/>
    <w:rsid w:val="00AD097F"/>
    <w:rsid w:val="00AF1E3F"/>
    <w:rsid w:val="00AF4F6D"/>
    <w:rsid w:val="00AF56A3"/>
    <w:rsid w:val="00B064D3"/>
    <w:rsid w:val="00B07DF4"/>
    <w:rsid w:val="00B14581"/>
    <w:rsid w:val="00B14A35"/>
    <w:rsid w:val="00B15A4B"/>
    <w:rsid w:val="00B21B93"/>
    <w:rsid w:val="00B42AB4"/>
    <w:rsid w:val="00B4689C"/>
    <w:rsid w:val="00B51F66"/>
    <w:rsid w:val="00B57490"/>
    <w:rsid w:val="00B6060C"/>
    <w:rsid w:val="00B72507"/>
    <w:rsid w:val="00B76EAB"/>
    <w:rsid w:val="00B844F4"/>
    <w:rsid w:val="00B84EE1"/>
    <w:rsid w:val="00BA06A1"/>
    <w:rsid w:val="00BA770A"/>
    <w:rsid w:val="00BC1F12"/>
    <w:rsid w:val="00BC7D8B"/>
    <w:rsid w:val="00C003D9"/>
    <w:rsid w:val="00C054DE"/>
    <w:rsid w:val="00C123CB"/>
    <w:rsid w:val="00C21116"/>
    <w:rsid w:val="00C32E9D"/>
    <w:rsid w:val="00C4188B"/>
    <w:rsid w:val="00C45032"/>
    <w:rsid w:val="00C679A9"/>
    <w:rsid w:val="00C7541C"/>
    <w:rsid w:val="00C8481E"/>
    <w:rsid w:val="00CA1D94"/>
    <w:rsid w:val="00CC0FAA"/>
    <w:rsid w:val="00CD0736"/>
    <w:rsid w:val="00CD4163"/>
    <w:rsid w:val="00D00ADC"/>
    <w:rsid w:val="00D1570F"/>
    <w:rsid w:val="00D213A7"/>
    <w:rsid w:val="00D21CAB"/>
    <w:rsid w:val="00D23D05"/>
    <w:rsid w:val="00D24398"/>
    <w:rsid w:val="00D25FD7"/>
    <w:rsid w:val="00D3105D"/>
    <w:rsid w:val="00D32830"/>
    <w:rsid w:val="00D43887"/>
    <w:rsid w:val="00D46160"/>
    <w:rsid w:val="00D50FEA"/>
    <w:rsid w:val="00D51A26"/>
    <w:rsid w:val="00D70526"/>
    <w:rsid w:val="00D85C12"/>
    <w:rsid w:val="00D91515"/>
    <w:rsid w:val="00D945FD"/>
    <w:rsid w:val="00DA31CD"/>
    <w:rsid w:val="00DB0B6D"/>
    <w:rsid w:val="00DB7153"/>
    <w:rsid w:val="00DB7F05"/>
    <w:rsid w:val="00DC0507"/>
    <w:rsid w:val="00DE2B04"/>
    <w:rsid w:val="00E028C3"/>
    <w:rsid w:val="00E123CA"/>
    <w:rsid w:val="00E14F77"/>
    <w:rsid w:val="00E3076B"/>
    <w:rsid w:val="00E3176E"/>
    <w:rsid w:val="00E36978"/>
    <w:rsid w:val="00E45981"/>
    <w:rsid w:val="00E64159"/>
    <w:rsid w:val="00E72360"/>
    <w:rsid w:val="00E82A1E"/>
    <w:rsid w:val="00E84B62"/>
    <w:rsid w:val="00EA146F"/>
    <w:rsid w:val="00EB0F29"/>
    <w:rsid w:val="00EB58F8"/>
    <w:rsid w:val="00EC06F4"/>
    <w:rsid w:val="00ED08B4"/>
    <w:rsid w:val="00ED5379"/>
    <w:rsid w:val="00ED6C8B"/>
    <w:rsid w:val="00EE4E36"/>
    <w:rsid w:val="00EF2997"/>
    <w:rsid w:val="00EF6428"/>
    <w:rsid w:val="00F03B82"/>
    <w:rsid w:val="00F053EC"/>
    <w:rsid w:val="00F13BA1"/>
    <w:rsid w:val="00F2522B"/>
    <w:rsid w:val="00F60BF4"/>
    <w:rsid w:val="00F6525A"/>
    <w:rsid w:val="00F665F4"/>
    <w:rsid w:val="00F70934"/>
    <w:rsid w:val="00FA0DB2"/>
    <w:rsid w:val="00FA2EF4"/>
    <w:rsid w:val="00FC05E7"/>
    <w:rsid w:val="00FD225F"/>
    <w:rsid w:val="00FD3557"/>
    <w:rsid w:val="01031D3E"/>
    <w:rsid w:val="04D075DF"/>
    <w:rsid w:val="0963071A"/>
    <w:rsid w:val="09694ABD"/>
    <w:rsid w:val="0A407E28"/>
    <w:rsid w:val="0C9B12EE"/>
    <w:rsid w:val="1B710F83"/>
    <w:rsid w:val="21E10C54"/>
    <w:rsid w:val="228620FA"/>
    <w:rsid w:val="24A615E9"/>
    <w:rsid w:val="2B13685A"/>
    <w:rsid w:val="2FFE0311"/>
    <w:rsid w:val="3164509D"/>
    <w:rsid w:val="31C2036A"/>
    <w:rsid w:val="31EE335F"/>
    <w:rsid w:val="320C2C41"/>
    <w:rsid w:val="320D02A5"/>
    <w:rsid w:val="33CD3459"/>
    <w:rsid w:val="344075D8"/>
    <w:rsid w:val="348E566F"/>
    <w:rsid w:val="35BA6898"/>
    <w:rsid w:val="36621C5C"/>
    <w:rsid w:val="3A226944"/>
    <w:rsid w:val="3AEE6A48"/>
    <w:rsid w:val="3C1620AA"/>
    <w:rsid w:val="3D8F080F"/>
    <w:rsid w:val="3E406712"/>
    <w:rsid w:val="3EEB17A8"/>
    <w:rsid w:val="40AD615F"/>
    <w:rsid w:val="410411D0"/>
    <w:rsid w:val="44CE1FA4"/>
    <w:rsid w:val="4772366D"/>
    <w:rsid w:val="487F73ED"/>
    <w:rsid w:val="4A347EAE"/>
    <w:rsid w:val="4A82495E"/>
    <w:rsid w:val="4C885811"/>
    <w:rsid w:val="4D4406B0"/>
    <w:rsid w:val="52600405"/>
    <w:rsid w:val="529B4319"/>
    <w:rsid w:val="5448202F"/>
    <w:rsid w:val="56D97643"/>
    <w:rsid w:val="57773DD6"/>
    <w:rsid w:val="578B79AB"/>
    <w:rsid w:val="587D7536"/>
    <w:rsid w:val="58D3735A"/>
    <w:rsid w:val="5BCE6A2B"/>
    <w:rsid w:val="5CCD3FD5"/>
    <w:rsid w:val="6165789E"/>
    <w:rsid w:val="61FA5F9D"/>
    <w:rsid w:val="629B6FB0"/>
    <w:rsid w:val="638D2F58"/>
    <w:rsid w:val="64002A47"/>
    <w:rsid w:val="64CD6910"/>
    <w:rsid w:val="66586191"/>
    <w:rsid w:val="67372E3C"/>
    <w:rsid w:val="6789158D"/>
    <w:rsid w:val="67D81BA4"/>
    <w:rsid w:val="6A65302E"/>
    <w:rsid w:val="6A8E2606"/>
    <w:rsid w:val="6AAF1C96"/>
    <w:rsid w:val="716344E9"/>
    <w:rsid w:val="75681757"/>
    <w:rsid w:val="75A346A8"/>
    <w:rsid w:val="76400733"/>
    <w:rsid w:val="79B9382C"/>
    <w:rsid w:val="7A0F72FF"/>
    <w:rsid w:val="7B043B76"/>
    <w:rsid w:val="7C041A6A"/>
    <w:rsid w:val="7E327570"/>
    <w:rsid w:val="7E997DBA"/>
    <w:rsid w:val="7EDB476F"/>
    <w:rsid w:val="7FA2526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qFormat/>
    <w:uiPriority w:val="99"/>
    <w:rPr>
      <w:rFonts w:ascii="仿宋_GB2312" w:hAnsi="仿宋_GB2312" w:eastAsia="仿宋_GB2312" w:cs="仿宋_GB2312"/>
      <w:sz w:val="32"/>
      <w:szCs w:val="32"/>
      <w:lang w:val="zh-CN"/>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标题 1 Char"/>
    <w:basedOn w:val="8"/>
    <w:link w:val="2"/>
    <w:qFormat/>
    <w:locked/>
    <w:uiPriority w:val="99"/>
    <w:rPr>
      <w:rFonts w:ascii="等线" w:hAnsi="等线" w:eastAsia="等线" w:cs="Times New Roman"/>
      <w:b/>
      <w:bCs/>
      <w:kern w:val="44"/>
      <w:sz w:val="44"/>
      <w:szCs w:val="44"/>
    </w:rPr>
  </w:style>
  <w:style w:type="character" w:customStyle="1" w:styleId="10">
    <w:name w:val="正文文本 Char"/>
    <w:basedOn w:val="8"/>
    <w:link w:val="3"/>
    <w:semiHidden/>
    <w:qFormat/>
    <w:locked/>
    <w:uiPriority w:val="99"/>
    <w:rPr>
      <w:rFonts w:ascii="等线" w:hAnsi="等线" w:eastAsia="等线" w:cs="Times New Roman"/>
    </w:rPr>
  </w:style>
  <w:style w:type="character" w:customStyle="1" w:styleId="11">
    <w:name w:val="页脚 Char"/>
    <w:basedOn w:val="8"/>
    <w:link w:val="4"/>
    <w:qFormat/>
    <w:locked/>
    <w:uiPriority w:val="99"/>
    <w:rPr>
      <w:rFonts w:cs="Times New Roman"/>
      <w:sz w:val="18"/>
      <w:szCs w:val="18"/>
    </w:rPr>
  </w:style>
  <w:style w:type="character" w:customStyle="1" w:styleId="12">
    <w:name w:val="页眉 Char"/>
    <w:basedOn w:val="8"/>
    <w:link w:val="5"/>
    <w:qFormat/>
    <w:locked/>
    <w:uiPriority w:val="99"/>
    <w:rPr>
      <w:rFonts w:ascii="等线" w:hAnsi="等线" w:eastAsia="等线" w:cs="Times New Roman"/>
      <w:sz w:val="18"/>
      <w:szCs w:val="18"/>
    </w:rPr>
  </w:style>
  <w:style w:type="paragraph" w:customStyle="1" w:styleId="13">
    <w:name w:val="List Paragraph1"/>
    <w:basedOn w:val="1"/>
    <w:qFormat/>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bmp"/><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30</Pages>
  <Words>8612</Words>
  <Characters>10328</Characters>
  <Lines>33</Lines>
  <Paragraphs>25</Paragraphs>
  <TotalTime>204</TotalTime>
  <ScaleCrop>false</ScaleCrop>
  <LinksUpToDate>false</LinksUpToDate>
  <CharactersWithSpaces>10665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HP</cp:lastModifiedBy>
  <cp:lastPrinted>2020-07-30T02:37:00Z</cp:lastPrinted>
  <dcterms:modified xsi:type="dcterms:W3CDTF">2024-03-20T02:39:27Z</dcterms:modified>
  <cp:revision>214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6634F09E7D5541A6BAA361C17C2EB776</vt:lpwstr>
  </property>
</Properties>
</file>