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b w:val="0"/>
          <w:bCs/>
          <w:color w:val="auto"/>
          <w:sz w:val="44"/>
        </w:rPr>
      </w:pPr>
    </w:p>
    <w:p>
      <w:pPr>
        <w:jc w:val="center"/>
        <w:outlineLvl w:val="0"/>
        <w:rPr>
          <w:rFonts w:hAnsi="宋体"/>
          <w:b w:val="0"/>
          <w:bCs/>
          <w:color w:val="auto"/>
          <w:sz w:val="30"/>
        </w:rPr>
      </w:pPr>
      <w:r>
        <w:rPr>
          <w:rFonts w:hint="eastAsia" w:ascii="黑体" w:hAnsi="Calibri" w:eastAsia="黑体" w:cs="Times New Roman"/>
          <w:b/>
          <w:sz w:val="44"/>
        </w:rPr>
        <w:t>2022年部门预算信息公开目录</w:t>
      </w:r>
      <w:r>
        <w:rPr>
          <w:rFonts w:hint="eastAsia" w:ascii="方正小标宋简体" w:hAnsi="方正小标宋简体" w:eastAsia="方正小标宋简体" w:cs="方正小标宋简体"/>
          <w:b w:val="0"/>
          <w:bCs/>
          <w:color w:val="auto"/>
          <w:sz w:val="44"/>
          <w:szCs w:val="44"/>
        </w:rPr>
        <w:t xml:space="preserve"> </w:t>
      </w:r>
    </w:p>
    <w:p>
      <w:pPr>
        <w:jc w:val="left"/>
        <w:rPr>
          <w:rFonts w:hint="eastAsia" w:ascii="方正黑体" w:hAnsi="方正黑体" w:eastAsia="方正黑体" w:cs="方正黑体"/>
          <w:b w:val="0"/>
          <w:bCs/>
          <w:color w:val="auto"/>
          <w:sz w:val="32"/>
          <w:szCs w:val="32"/>
        </w:rPr>
      </w:pPr>
      <w:r>
        <w:rPr>
          <w:rFonts w:hint="eastAsia" w:ascii="方正黑体" w:hAnsi="方正黑体" w:eastAsia="方正黑体" w:cs="方正黑体"/>
          <w:b w:val="0"/>
          <w:bCs/>
          <w:color w:val="auto"/>
          <w:sz w:val="32"/>
          <w:szCs w:val="32"/>
        </w:rPr>
        <w:t>部门预算公开表</w:t>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rPr>
        <w:fldChar w:fldCharType="begin"/>
      </w:r>
      <w:r>
        <w:rPr>
          <w:rFonts w:hint="eastAsia" w:ascii="方正楷体" w:hAnsi="方正楷体" w:eastAsia="方正楷体" w:cs="方正楷体"/>
          <w:b w:val="0"/>
          <w:bCs/>
          <w:color w:val="auto"/>
          <w:sz w:val="32"/>
          <w:szCs w:val="32"/>
        </w:rPr>
        <w:instrText xml:space="preserve"> TOC \o "2-2" \h \z \u \t "-1" </w:instrText>
      </w:r>
      <w:r>
        <w:rPr>
          <w:rFonts w:hint="eastAsia" w:ascii="方正楷体" w:hAnsi="方正楷体" w:eastAsia="方正楷体" w:cs="方正楷体"/>
          <w:b w:val="0"/>
          <w:bCs/>
          <w:color w:val="auto"/>
          <w:sz w:val="32"/>
          <w:szCs w:val="32"/>
        </w:rPr>
        <w:fldChar w:fldCharType="separate"/>
      </w: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"_Toc68791536"</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部门预算收支总表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"_Toc68791537"</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部门预算收入总表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4</w:t>
      </w:r>
      <w:r>
        <w:rPr>
          <w:rFonts w:hint="eastAsia" w:ascii="方正楷体" w:hAnsi="方正楷体" w:eastAsia="方正楷体" w:cs="方正楷体"/>
          <w:b w:val="0"/>
          <w:bCs/>
          <w:color w:val="auto"/>
          <w:sz w:val="32"/>
          <w:szCs w:val="32"/>
          <w:u w:val="none"/>
        </w:rPr>
        <w:fldChar w:fldCharType="end"/>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"_Toc68791538"</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部门预算支出总表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6</w:t>
      </w:r>
      <w:r>
        <w:rPr>
          <w:rFonts w:hint="eastAsia" w:ascii="方正楷体" w:hAnsi="方正楷体" w:eastAsia="方正楷体" w:cs="方正楷体"/>
          <w:b w:val="0"/>
          <w:bCs/>
          <w:color w:val="auto"/>
          <w:sz w:val="32"/>
          <w:szCs w:val="32"/>
          <w:u w:val="none"/>
        </w:rPr>
        <w:fldChar w:fldCharType="end"/>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"_Toc68791539"</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部门预算财政拨款收支总表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8</w:t>
      </w:r>
      <w:r>
        <w:rPr>
          <w:rFonts w:hint="eastAsia" w:ascii="方正楷体" w:hAnsi="方正楷体" w:eastAsia="方正楷体" w:cs="方正楷体"/>
          <w:b w:val="0"/>
          <w:bCs/>
          <w:color w:val="auto"/>
          <w:sz w:val="32"/>
          <w:szCs w:val="32"/>
          <w:u w:val="none"/>
        </w:rPr>
        <w:fldChar w:fldCharType="end"/>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"_Toc68791540"</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部门预算一般公共预算财政拨款支出表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2</w:t>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"_Toc68791541"</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部门预算一般公共预算财政拨款基本支出表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4</w:t>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"_Toc68791542"</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部门预算政府基金预算财政拨款支出表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7</w:t>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"_Toc68791543"</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部门预算国有资本经营预算财政拨款支出表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8</w:t>
      </w:r>
    </w:p>
    <w:p>
      <w:pPr>
        <w:pStyle w:val="9"/>
        <w:tabs>
          <w:tab w:val="right" w:leader="dot" w:pos="14789"/>
        </w:tabs>
        <w:jc w:val="center"/>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"_Toc68791544"</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部门预算财政拨款“三公”经费支出表</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1</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9</w:t>
      </w:r>
    </w:p>
    <w:p>
      <w:pPr>
        <w:ind w:left="420" w:leftChars="200"/>
        <w:jc w:val="center"/>
        <w:rPr>
          <w:rFonts w:hAnsi="宋体"/>
          <w:b w:val="0"/>
          <w:bCs/>
          <w:color w:val="auto"/>
        </w:rPr>
      </w:pPr>
      <w:r>
        <w:rPr>
          <w:rFonts w:hint="eastAsia" w:ascii="方正楷体" w:hAnsi="方正楷体" w:eastAsia="方正楷体" w:cs="方正楷体"/>
          <w:b w:val="0"/>
          <w:bCs/>
          <w:color w:val="auto"/>
          <w:sz w:val="32"/>
          <w:szCs w:val="32"/>
        </w:rPr>
        <w:fldChar w:fldCharType="end"/>
      </w:r>
    </w:p>
    <w:p>
      <w:pPr>
        <w:jc w:val="left"/>
        <w:rPr>
          <w:rFonts w:hint="eastAsia" w:ascii="方正黑体" w:hAnsi="方正黑体" w:eastAsia="方正黑体" w:cs="方正黑体"/>
          <w:b w:val="0"/>
          <w:bCs/>
          <w:color w:val="auto"/>
          <w:sz w:val="32"/>
          <w:szCs w:val="32"/>
        </w:rPr>
      </w:pPr>
      <w:r>
        <w:rPr>
          <w:rFonts w:hint="eastAsia" w:ascii="方正黑体" w:hAnsi="方正黑体" w:eastAsia="方正黑体" w:cs="方正黑体"/>
          <w:b w:val="0"/>
          <w:bCs/>
          <w:color w:val="auto"/>
          <w:sz w:val="32"/>
          <w:szCs w:val="32"/>
        </w:rPr>
        <w:t>部门预算信息公开情况说明</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rPr>
      </w:pPr>
      <w:r>
        <w:rPr>
          <w:rFonts w:eastAsia="方正仿宋_GBK"/>
          <w:b w:val="0"/>
          <w:bCs/>
          <w:color w:val="auto"/>
          <w:sz w:val="28"/>
        </w:rPr>
        <w:fldChar w:fldCharType="begin"/>
      </w:r>
      <w:r>
        <w:rPr>
          <w:rFonts w:eastAsia="方正仿宋_GBK"/>
          <w:b w:val="0"/>
          <w:bCs/>
          <w:color w:val="auto"/>
          <w:sz w:val="28"/>
        </w:rPr>
        <w:instrText xml:space="preserve"> TOC \o "3-3" \h \z \u \t "-1" </w:instrText>
      </w:r>
      <w:r>
        <w:rPr>
          <w:rFonts w:eastAsia="方正仿宋_GBK"/>
          <w:b w:val="0"/>
          <w:bCs/>
          <w:color w:val="auto"/>
          <w:sz w:val="28"/>
        </w:rPr>
        <w:fldChar w:fldCharType="separate"/>
      </w: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"_Toc68791545"</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一、部门职责及机构设置情况</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2</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rPr>
        <w:t>0</w:t>
      </w:r>
    </w:p>
    <w:p>
      <w:pPr>
        <w:pStyle w:val="5"/>
        <w:tabs>
          <w:tab w:val="right" w:leader="dot" w:pos="14789"/>
        </w:tabs>
        <w:ind w:left="420" w:leftChars="200"/>
        <w:jc w:val="center"/>
        <w:rPr>
          <w:rStyle w:val="14"/>
          <w:rFonts w:hint="eastAsia" w:ascii="方正楷体" w:hAnsi="方正楷体" w:eastAsia="方正楷体" w:cs="方正楷体"/>
          <w:b w:val="0"/>
          <w:bCs/>
          <w:color w:val="auto"/>
          <w:sz w:val="32"/>
          <w:szCs w:val="32"/>
          <w:u w:val="none"/>
          <w:lang w:val="en-US" w:eastAsia="zh-CN"/>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cols w:space="720" w:num="1"/>
          <w:docGrid w:type="lines" w:linePitch="312" w:charSpace="0"/>
        </w:sect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"_Toc68791546"</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二、部门预算安排的总体情况</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lang w:val="en-US" w:eastAsia="zh-CN"/>
        </w:rPr>
        <w:t>2</w:t>
      </w:r>
      <w:r>
        <w:rPr>
          <w:rFonts w:hint="eastAsia" w:ascii="方正楷体" w:hAnsi="方正楷体" w:eastAsia="方正楷体" w:cs="方正楷体"/>
          <w:b w:val="0"/>
          <w:bCs/>
          <w:color w:val="auto"/>
          <w:sz w:val="32"/>
          <w:szCs w:val="32"/>
          <w:u w:val="none"/>
        </w:rPr>
        <w:fldChar w:fldCharType="end"/>
      </w:r>
      <w:r>
        <w:rPr>
          <w:rFonts w:hint="eastAsia" w:ascii="方正楷体" w:hAnsi="方正楷体" w:eastAsia="方正楷体" w:cs="方正楷体"/>
          <w:b w:val="0"/>
          <w:bCs/>
          <w:color w:val="auto"/>
          <w:sz w:val="32"/>
          <w:szCs w:val="32"/>
          <w:u w:val="none"/>
          <w:lang w:val="en-US" w:eastAsia="zh-CN"/>
        </w:rPr>
        <w:t>8</w:t>
      </w:r>
    </w:p>
    <w:p>
      <w:pPr>
        <w:pStyle w:val="5"/>
        <w:tabs>
          <w:tab w:val="right" w:leader="dot" w:pos="14789"/>
        </w:tabs>
        <w:jc w:val="both"/>
        <w:rPr>
          <w:rStyle w:val="14"/>
          <w:rFonts w:hint="eastAsia" w:ascii="方正楷体" w:hAnsi="方正楷体" w:eastAsia="方正楷体" w:cs="方正楷体"/>
          <w:b w:val="0"/>
          <w:bCs/>
          <w:color w:val="auto"/>
          <w:sz w:val="32"/>
          <w:szCs w:val="32"/>
          <w:u w:val="none"/>
        </w:rPr>
      </w:pPr>
    </w:p>
    <w:p>
      <w:pPr>
        <w:pStyle w:val="5"/>
        <w:tabs>
          <w:tab w:val="right" w:leader="dot" w:pos="14789"/>
        </w:tabs>
        <w:jc w:val="both"/>
        <w:rPr>
          <w:rStyle w:val="14"/>
          <w:rFonts w:hint="eastAsia" w:ascii="方正楷体" w:hAnsi="方正楷体" w:eastAsia="方正楷体" w:cs="方正楷体"/>
          <w:b w:val="0"/>
          <w:bCs/>
          <w:color w:val="auto"/>
          <w:sz w:val="32"/>
          <w:szCs w:val="32"/>
          <w:u w:val="none"/>
        </w:rPr>
      </w:pPr>
    </w:p>
    <w:p>
      <w:pPr>
        <w:pStyle w:val="5"/>
        <w:tabs>
          <w:tab w:val="right" w:leader="dot" w:pos="14789"/>
        </w:tabs>
        <w:ind w:left="0" w:leftChars="0" w:firstLine="0" w:firstLineChars="0"/>
        <w:jc w:val="both"/>
        <w:rPr>
          <w:rFonts w:hint="eastAsia" w:ascii="方正楷体" w:hAnsi="方正楷体" w:eastAsia="方正楷体" w:cs="方正楷体"/>
          <w:b w:val="0"/>
          <w:bCs/>
          <w:color w:val="auto"/>
          <w:sz w:val="32"/>
          <w:szCs w:val="32"/>
          <w:lang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"_Toc68791547"</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三、机关运行经费安排情况</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2</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lang w:val="en-US" w:eastAsia="zh-CN"/>
        </w:rPr>
        <w:t>9</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lang w:val="en-US"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"_Toc68791548"</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四、财政拨款“三公”经费预算情况及增减变化原因</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2</w:t>
      </w:r>
      <w:r>
        <w:rPr>
          <w:rFonts w:hint="eastAsia" w:ascii="方正楷体" w:hAnsi="方正楷体" w:eastAsia="方正楷体" w:cs="方正楷体"/>
          <w:b w:val="0"/>
          <w:bCs/>
          <w:color w:val="auto"/>
          <w:sz w:val="32"/>
          <w:szCs w:val="32"/>
          <w:u w:val="none"/>
        </w:rPr>
        <w:fldChar w:fldCharType="end"/>
      </w:r>
      <w:r>
        <w:rPr>
          <w:rFonts w:hint="eastAsia" w:ascii="方正楷体" w:hAnsi="方正楷体" w:eastAsia="方正楷体" w:cs="方正楷体"/>
          <w:b w:val="0"/>
          <w:bCs/>
          <w:color w:val="auto"/>
          <w:sz w:val="32"/>
          <w:szCs w:val="32"/>
          <w:u w:val="none"/>
          <w:lang w:val="en-US" w:eastAsia="zh-CN"/>
        </w:rPr>
        <w:t>9</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lang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"_Toc68791549"</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五、预算绩效信息</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2</w:t>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lang w:val="en-US" w:eastAsia="zh-CN"/>
        </w:rPr>
        <w:t>9</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lang w:val="en-US"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"_Toc68791550"</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六、政府采购预算情况</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lang w:val="en-US" w:eastAsia="zh-CN"/>
        </w:rPr>
        <w:t>3</w:t>
      </w:r>
      <w:r>
        <w:rPr>
          <w:rFonts w:hint="eastAsia" w:ascii="方正楷体" w:hAnsi="方正楷体" w:eastAsia="方正楷体" w:cs="方正楷体"/>
          <w:b w:val="0"/>
          <w:bCs/>
          <w:color w:val="auto"/>
          <w:sz w:val="32"/>
          <w:szCs w:val="32"/>
          <w:u w:val="none"/>
        </w:rPr>
        <w:fldChar w:fldCharType="end"/>
      </w:r>
      <w:r>
        <w:rPr>
          <w:rFonts w:hint="eastAsia" w:ascii="方正楷体" w:hAnsi="方正楷体" w:eastAsia="方正楷体" w:cs="方正楷体"/>
          <w:b w:val="0"/>
          <w:bCs/>
          <w:color w:val="auto"/>
          <w:sz w:val="32"/>
          <w:szCs w:val="32"/>
          <w:u w:val="none"/>
          <w:lang w:val="en-US" w:eastAsia="zh-CN"/>
        </w:rPr>
        <w:t>4</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lang w:val="en-US"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"_Toc68791551"</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七、国有资产信息</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lang w:val="en-US" w:eastAsia="zh-CN"/>
        </w:rPr>
        <w:t>3</w:t>
      </w:r>
      <w:r>
        <w:rPr>
          <w:rFonts w:hint="eastAsia" w:ascii="方正楷体" w:hAnsi="方正楷体" w:eastAsia="方正楷体" w:cs="方正楷体"/>
          <w:b w:val="0"/>
          <w:bCs/>
          <w:color w:val="auto"/>
          <w:sz w:val="32"/>
          <w:szCs w:val="32"/>
          <w:u w:val="none"/>
        </w:rPr>
        <w:fldChar w:fldCharType="end"/>
      </w:r>
      <w:r>
        <w:rPr>
          <w:rFonts w:hint="eastAsia" w:ascii="方正楷体" w:hAnsi="方正楷体" w:eastAsia="方正楷体" w:cs="方正楷体"/>
          <w:b w:val="0"/>
          <w:bCs/>
          <w:color w:val="auto"/>
          <w:sz w:val="32"/>
          <w:szCs w:val="32"/>
          <w:u w:val="none"/>
          <w:lang w:val="en-US" w:eastAsia="zh-CN"/>
        </w:rPr>
        <w:t>5</w:t>
      </w:r>
    </w:p>
    <w:p>
      <w:pPr>
        <w:pStyle w:val="5"/>
        <w:tabs>
          <w:tab w:val="right" w:leader="dot" w:pos="14789"/>
        </w:tabs>
        <w:ind w:left="420" w:leftChars="200"/>
        <w:jc w:val="center"/>
        <w:rPr>
          <w:rFonts w:hint="default" w:ascii="方正楷体" w:hAnsi="方正楷体" w:eastAsia="方正楷体" w:cs="方正楷体"/>
          <w:b w:val="0"/>
          <w:bCs/>
          <w:color w:val="auto"/>
          <w:sz w:val="32"/>
          <w:szCs w:val="32"/>
          <w:lang w:val="en-US"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"_Toc68791552"</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八、名词解释</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u w:val="none"/>
        </w:rPr>
        <w:fldChar w:fldCharType="end"/>
      </w:r>
      <w:r>
        <w:rPr>
          <w:rStyle w:val="14"/>
          <w:rFonts w:hint="eastAsia" w:ascii="方正楷体" w:hAnsi="方正楷体" w:eastAsia="方正楷体" w:cs="方正楷体"/>
          <w:b w:val="0"/>
          <w:bCs/>
          <w:color w:val="auto"/>
          <w:sz w:val="32"/>
          <w:szCs w:val="32"/>
          <w:u w:val="none"/>
          <w:lang w:val="en-US" w:eastAsia="zh-CN"/>
        </w:rPr>
        <w:t>36</w:t>
      </w:r>
    </w:p>
    <w:p>
      <w:pPr>
        <w:pStyle w:val="5"/>
        <w:tabs>
          <w:tab w:val="right" w:leader="dot" w:pos="14789"/>
        </w:tabs>
        <w:ind w:left="420" w:leftChars="200"/>
        <w:jc w:val="center"/>
        <w:rPr>
          <w:rFonts w:hint="eastAsia" w:ascii="方正楷体" w:hAnsi="方正楷体" w:eastAsia="方正楷体" w:cs="方正楷体"/>
          <w:b w:val="0"/>
          <w:bCs/>
          <w:color w:val="auto"/>
          <w:sz w:val="32"/>
          <w:szCs w:val="32"/>
          <w:lang w:val="en-US" w:eastAsia="zh-CN"/>
        </w:rPr>
      </w:pPr>
      <w:r>
        <w:rPr>
          <w:rFonts w:hint="eastAsia" w:ascii="方正楷体" w:hAnsi="方正楷体" w:eastAsia="方正楷体" w:cs="方正楷体"/>
          <w:b w:val="0"/>
          <w:bCs/>
          <w:color w:val="auto"/>
          <w:sz w:val="32"/>
          <w:szCs w:val="32"/>
          <w:u w:val="none"/>
        </w:rPr>
        <w:fldChar w:fldCharType="begin"/>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rPr>
        <w:instrText xml:space="preserve">HYPERLINK \l "_Toc68791553"</w:instrText>
      </w:r>
      <w:r>
        <w:rPr>
          <w:rStyle w:val="14"/>
          <w:rFonts w:hint="eastAsia" w:ascii="方正楷体" w:hAnsi="方正楷体" w:eastAsia="方正楷体" w:cs="方正楷体"/>
          <w:b w:val="0"/>
          <w:bCs/>
          <w:color w:val="auto"/>
          <w:sz w:val="32"/>
          <w:szCs w:val="32"/>
          <w:u w:val="none"/>
        </w:rPr>
        <w:instrText xml:space="preserve"> </w:instrText>
      </w:r>
      <w:r>
        <w:rPr>
          <w:rFonts w:hint="eastAsia" w:ascii="方正楷体" w:hAnsi="方正楷体" w:eastAsia="方正楷体" w:cs="方正楷体"/>
          <w:b w:val="0"/>
          <w:bCs/>
          <w:color w:val="auto"/>
          <w:sz w:val="32"/>
          <w:szCs w:val="32"/>
          <w:u w:val="none"/>
        </w:rPr>
        <w:fldChar w:fldCharType="separate"/>
      </w:r>
      <w:r>
        <w:rPr>
          <w:rStyle w:val="14"/>
          <w:rFonts w:hint="eastAsia" w:ascii="方正楷体" w:hAnsi="方正楷体" w:eastAsia="方正楷体" w:cs="方正楷体"/>
          <w:b w:val="0"/>
          <w:bCs/>
          <w:color w:val="auto"/>
          <w:sz w:val="32"/>
          <w:szCs w:val="32"/>
          <w:u w:val="none"/>
        </w:rPr>
        <w:t>九、其他需要说明的事项</w:t>
      </w:r>
      <w:r>
        <w:rPr>
          <w:rFonts w:hint="eastAsia" w:ascii="方正楷体" w:hAnsi="方正楷体" w:eastAsia="方正楷体" w:cs="方正楷体"/>
          <w:b w:val="0"/>
          <w:bCs/>
          <w:color w:val="auto"/>
          <w:sz w:val="32"/>
          <w:szCs w:val="32"/>
        </w:rPr>
        <w:tab/>
      </w:r>
      <w:r>
        <w:rPr>
          <w:rFonts w:hint="eastAsia" w:ascii="方正楷体" w:hAnsi="方正楷体" w:eastAsia="方正楷体" w:cs="方正楷体"/>
          <w:b w:val="0"/>
          <w:bCs/>
          <w:color w:val="auto"/>
          <w:sz w:val="32"/>
          <w:szCs w:val="32"/>
        </w:rPr>
        <w:t>3</w:t>
      </w:r>
      <w:r>
        <w:rPr>
          <w:rFonts w:hint="eastAsia" w:ascii="方正楷体" w:hAnsi="方正楷体" w:eastAsia="方正楷体" w:cs="方正楷体"/>
          <w:b w:val="0"/>
          <w:bCs/>
          <w:color w:val="auto"/>
          <w:sz w:val="32"/>
          <w:szCs w:val="32"/>
          <w:u w:val="none"/>
        </w:rPr>
        <w:fldChar w:fldCharType="end"/>
      </w:r>
      <w:r>
        <w:rPr>
          <w:rFonts w:hint="eastAsia" w:ascii="方正楷体" w:hAnsi="方正楷体" w:eastAsia="方正楷体" w:cs="方正楷体"/>
          <w:b w:val="0"/>
          <w:bCs/>
          <w:color w:val="auto"/>
          <w:sz w:val="32"/>
          <w:szCs w:val="32"/>
          <w:u w:val="none"/>
          <w:lang w:val="en-US" w:eastAsia="zh-CN"/>
        </w:rPr>
        <w:t>7</w:t>
      </w:r>
    </w:p>
    <w:p>
      <w:pPr>
        <w:ind w:left="420" w:leftChars="200"/>
        <w:jc w:val="center"/>
        <w:rPr>
          <w:rFonts w:hAnsi="宋体"/>
          <w:b w:val="0"/>
          <w:bCs/>
          <w:color w:val="auto"/>
        </w:rPr>
      </w:pPr>
      <w:r>
        <w:rPr>
          <w:rFonts w:eastAsia="方正仿宋_GBK"/>
          <w:b w:val="0"/>
          <w:bCs/>
          <w:color w:val="auto"/>
          <w:sz w:val="28"/>
        </w:rPr>
        <w:fldChar w:fldCharType="end"/>
      </w:r>
    </w:p>
    <w:p>
      <w:pPr>
        <w:jc w:val="center"/>
        <w:rPr>
          <w:b w:val="0"/>
          <w:bCs/>
          <w:color w:val="auto"/>
        </w:rPr>
      </w:pPr>
      <w:r>
        <w:rPr>
          <w:rFonts w:ascii="方正小标宋_GBK" w:eastAsia="方正小标宋_GBK"/>
          <w:b w:val="0"/>
          <w:bCs/>
          <w:color w:val="auto"/>
          <w:sz w:val="44"/>
        </w:rPr>
        <w:t xml:space="preserve"> </w:t>
      </w:r>
    </w:p>
    <w:p>
      <w:pPr>
        <w:ind w:firstLine="560" w:firstLineChars="200"/>
        <w:jc w:val="left"/>
        <w:rPr>
          <w:rFonts w:eastAsia="方正仿宋_GBK"/>
          <w:b w:val="0"/>
          <w:bCs/>
          <w:color w:val="auto"/>
          <w:sz w:val="28"/>
        </w:rPr>
      </w:pPr>
    </w:p>
    <w:p>
      <w:pPr>
        <w:spacing w:line="560" w:lineRule="exact"/>
        <w:jc w:val="left"/>
        <w:rPr>
          <w:rStyle w:val="14"/>
          <w:rFonts w:hint="eastAsia" w:ascii="宋体" w:hAnsi="宋体" w:cs="宋体"/>
          <w:b w:val="0"/>
          <w:bCs/>
          <w:color w:val="auto"/>
          <w:sz w:val="28"/>
          <w:u w:val="none"/>
        </w:rPr>
      </w:pPr>
    </w:p>
    <w:p>
      <w:pPr>
        <w:spacing w:line="560" w:lineRule="exact"/>
        <w:jc w:val="left"/>
        <w:rPr>
          <w:rStyle w:val="14"/>
          <w:rFonts w:hint="eastAsia" w:ascii="宋体" w:hAnsi="宋体" w:cs="宋体"/>
          <w:b w:val="0"/>
          <w:bCs/>
          <w:color w:val="auto"/>
          <w:sz w:val="28"/>
          <w:u w:val="none"/>
        </w:rPr>
        <w:sectPr>
          <w:footerReference r:id="rId9"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4"/>
          <w:rFonts w:hint="eastAsia" w:ascii="黑体" w:hAnsi="黑体" w:eastAsia="黑体" w:cs="黑体"/>
          <w:b w:val="0"/>
          <w:bCs/>
          <w:color w:val="auto"/>
          <w:sz w:val="24"/>
          <w:szCs w:val="24"/>
          <w:u w:val="none"/>
        </w:rPr>
      </w:pPr>
      <w:r>
        <w:rPr>
          <w:rStyle w:val="14"/>
          <w:rFonts w:hint="eastAsia" w:ascii="黑体" w:hAnsi="黑体" w:eastAsia="黑体" w:cs="黑体"/>
          <w:b w:val="0"/>
          <w:bCs/>
          <w:color w:val="auto"/>
          <w:sz w:val="24"/>
          <w:szCs w:val="24"/>
          <w:u w:val="none"/>
        </w:rPr>
        <w:t>附表1-1</w:t>
      </w:r>
    </w:p>
    <w:p>
      <w:pPr>
        <w:spacing w:line="560" w:lineRule="exact"/>
        <w:jc w:val="center"/>
        <w:rPr>
          <w:rStyle w:val="14"/>
          <w:rFonts w:hint="eastAsia" w:ascii="方正黑体简体" w:hAnsi="方正黑体简体" w:eastAsia="方正黑体简体" w:cs="方正黑体简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rPr>
        <w:t>部门预算收支总表</w:t>
      </w:r>
    </w:p>
    <w:p>
      <w:pPr>
        <w:spacing w:line="560" w:lineRule="exact"/>
        <w:ind w:firstLine="240" w:firstLineChars="100"/>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 xml:space="preserve">641 遵化市刘备寨乡人民政府    </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预算年度：2022</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5790" w:type="dxa"/>
            <w:gridSpan w:val="2"/>
            <w:noWrap w:val="0"/>
            <w:vAlign w:val="center"/>
          </w:tcPr>
          <w:p>
            <w:pPr>
              <w:spacing w:line="560" w:lineRule="exact"/>
              <w:ind w:firstLine="1440" w:firstLineChars="600"/>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收  入</w:t>
            </w:r>
          </w:p>
        </w:tc>
        <w:tc>
          <w:tcPr>
            <w:tcW w:w="7714" w:type="dxa"/>
            <w:gridSpan w:val="2"/>
            <w:noWrap w:val="0"/>
            <w:vAlign w:val="center"/>
          </w:tcPr>
          <w:p>
            <w:pPr>
              <w:spacing w:line="560" w:lineRule="exact"/>
              <w:ind w:firstLine="1920" w:firstLineChars="800"/>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4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  目</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预算数</w:t>
            </w:r>
          </w:p>
        </w:tc>
        <w:tc>
          <w:tcPr>
            <w:tcW w:w="549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  目</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14"/>
                <w:rFonts w:hint="eastAsia" w:ascii="方正仿宋简体" w:hAnsi="方正仿宋简体" w:eastAsia="方正仿宋简体" w:cs="方正仿宋简体"/>
                <w:b w:val="0"/>
                <w:bCs/>
                <w:color w:val="auto"/>
                <w:sz w:val="24"/>
                <w:szCs w:val="24"/>
                <w:u w:val="none"/>
              </w:rPr>
            </w:pPr>
            <w:r>
              <w:rPr>
                <w:rFonts w:hint="eastAsia" w:ascii="方正仿宋简体" w:hAnsi="方正仿宋简体" w:eastAsia="方正仿宋简体" w:cs="方正仿宋简体"/>
                <w:b w:val="0"/>
                <w:bCs/>
                <w:color w:val="auto"/>
                <w:sz w:val="24"/>
                <w:szCs w:val="24"/>
              </w:rPr>
              <w:t>栏</w:t>
            </w:r>
            <w:r>
              <w:rPr>
                <w:rStyle w:val="14"/>
                <w:rFonts w:hint="eastAsia" w:ascii="方正仿宋简体" w:hAnsi="方正仿宋简体" w:eastAsia="方正仿宋简体" w:cs="方正仿宋简体"/>
                <w:b w:val="0"/>
                <w:bCs/>
                <w:color w:val="auto"/>
                <w:sz w:val="24"/>
                <w:szCs w:val="24"/>
                <w:u w:val="none"/>
              </w:rPr>
              <w:t>次</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549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一、一般公共预算拨款收入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一、一般公共服务支出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二、政府性基金预算拨款收入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二、外交支出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三、国有资本经营预算拨款收入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三、国防支出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四、财政专户管理资金收入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四、公共安全支出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五、事业收入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五、教育支出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六、事业单位经营收入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六、科学技术支出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七、上级补助收入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七、文化旅游体育与传媒支出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八、附属单位上缴收入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八、社会保障和就业支出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九、其他收入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九、卫生健康支出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十、节能环保支出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11</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十一、城乡社区支出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12</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十二、农林水支出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14"/>
                <w:rFonts w:hint="eastAsia" w:ascii="方正仿宋简体" w:hAnsi="方正仿宋简体" w:eastAsia="方正仿宋简体" w:cs="方正仿宋简体"/>
                <w:b w:val="0"/>
                <w:bCs/>
                <w:color w:val="auto"/>
                <w:sz w:val="24"/>
                <w:szCs w:val="24"/>
                <w:u w:val="none"/>
              </w:rPr>
            </w:pPr>
            <w:r>
              <w:rPr>
                <w:rFonts w:hint="eastAsia" w:ascii="方正仿宋简体" w:hAnsi="方正仿宋简体" w:eastAsia="方正仿宋简体" w:cs="方正仿宋简体"/>
                <w:b w:val="0"/>
                <w:bCs/>
                <w:color w:val="auto"/>
                <w:sz w:val="24"/>
                <w:szCs w:val="24"/>
              </w:rPr>
              <w:t>栏</w:t>
            </w:r>
            <w:r>
              <w:rPr>
                <w:rStyle w:val="14"/>
                <w:rFonts w:hint="eastAsia" w:ascii="方正仿宋简体" w:hAnsi="方正仿宋简体" w:eastAsia="方正仿宋简体" w:cs="方正仿宋简体"/>
                <w:b w:val="0"/>
                <w:bCs/>
                <w:color w:val="auto"/>
                <w:sz w:val="24"/>
                <w:szCs w:val="24"/>
                <w:u w:val="none"/>
              </w:rPr>
              <w:t>次</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13</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十三、交通运输支出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14</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十四、资源勘探工业信息等支出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15</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十五、商业服务业等支出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16</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十六、金融支出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十七、援助其他地区支出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18</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十八、自然资源海洋气象等支出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十九、住房保障支出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二十、粮油物资储备支出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二十一、国有资本经营预算支出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二十二、灾害防治及应急管理支出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23</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二十三、债务还本支出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24</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二十四、债务付息支出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25</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二十五、债务发行费用支出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26</w:t>
            </w:r>
          </w:p>
        </w:tc>
        <w:tc>
          <w:tcPr>
            <w:tcW w:w="426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二十六、其他支出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27</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本年收入合计</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5495"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本年支出合计</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28</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上年结转结余</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5495"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年终结转结余</w:t>
            </w:r>
          </w:p>
        </w:tc>
        <w:tc>
          <w:tcPr>
            <w:tcW w:w="2219"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29</w:t>
            </w:r>
          </w:p>
        </w:tc>
        <w:tc>
          <w:tcPr>
            <w:tcW w:w="426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收入总计</w:t>
            </w:r>
          </w:p>
        </w:tc>
        <w:tc>
          <w:tcPr>
            <w:tcW w:w="1530"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5495"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支出总计</w:t>
            </w:r>
          </w:p>
        </w:tc>
        <w:tc>
          <w:tcPr>
            <w:tcW w:w="2219" w:type="dxa"/>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r>
    </w:tbl>
    <w:p>
      <w:pPr>
        <w:spacing w:line="560" w:lineRule="exact"/>
        <w:jc w:val="left"/>
        <w:rPr>
          <w:rStyle w:val="14"/>
          <w:rFonts w:hint="eastAsia" w:ascii="仿宋" w:hAnsi="仿宋" w:eastAsia="仿宋" w:cs="仿宋"/>
          <w:b w:val="0"/>
          <w:bCs/>
          <w:color w:val="auto"/>
          <w:sz w:val="24"/>
          <w:szCs w:val="24"/>
          <w:u w:val="none"/>
        </w:rPr>
        <w:sectPr>
          <w:footerReference r:id="rId10"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4"/>
          <w:rFonts w:hint="eastAsia" w:ascii="黑体" w:hAnsi="黑体" w:eastAsia="黑体" w:cs="黑体"/>
          <w:b w:val="0"/>
          <w:bCs/>
          <w:color w:val="auto"/>
          <w:sz w:val="24"/>
          <w:szCs w:val="24"/>
          <w:u w:val="none"/>
        </w:rPr>
      </w:pPr>
      <w:r>
        <w:rPr>
          <w:rStyle w:val="14"/>
          <w:rFonts w:hint="eastAsia" w:ascii="黑体" w:hAnsi="黑体" w:eastAsia="黑体" w:cs="黑体"/>
          <w:b w:val="0"/>
          <w:bCs/>
          <w:color w:val="auto"/>
          <w:sz w:val="24"/>
          <w:szCs w:val="24"/>
          <w:u w:val="none"/>
        </w:rPr>
        <w:t>附表1-2</w:t>
      </w:r>
    </w:p>
    <w:p>
      <w:pPr>
        <w:pStyle w:val="4"/>
        <w:bidi w:val="0"/>
        <w:rPr>
          <w:rStyle w:val="14"/>
          <w:rFonts w:hint="eastAsia" w:ascii="方正黑体简体" w:hAnsi="方正黑体简体" w:eastAsia="方正黑体简体" w:cs="方正黑体简体"/>
          <w:b w:val="0"/>
          <w:bCs/>
          <w:color w:val="auto"/>
          <w:szCs w:val="44"/>
          <w:u w:val="none"/>
        </w:rPr>
      </w:pPr>
      <w:r>
        <w:rPr>
          <w:rStyle w:val="14"/>
          <w:rFonts w:hint="eastAsia" w:ascii="方正黑体简体" w:hAnsi="方正黑体简体" w:eastAsia="方正黑体简体" w:cs="方正黑体简体"/>
          <w:b w:val="0"/>
          <w:bCs/>
          <w:color w:val="auto"/>
          <w:szCs w:val="44"/>
          <w:u w:val="none"/>
        </w:rPr>
        <w:t>部门预算收入总表</w:t>
      </w:r>
    </w:p>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 xml:space="preserve">641 遵化市刘备寨乡人民政府          </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预算年度：2022</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单位：万元</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225"/>
        <w:gridCol w:w="3740"/>
        <w:gridCol w:w="900"/>
        <w:gridCol w:w="860"/>
        <w:gridCol w:w="860"/>
        <w:gridCol w:w="565"/>
        <w:gridCol w:w="851"/>
        <w:gridCol w:w="851"/>
        <w:gridCol w:w="1088"/>
        <w:gridCol w:w="1435"/>
        <w:gridCol w:w="82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tabs>
                <w:tab w:val="left" w:pos="243"/>
              </w:tabs>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4965"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90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7338" w:type="dxa"/>
            <w:gridSpan w:val="8"/>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本年收入</w:t>
            </w:r>
          </w:p>
        </w:tc>
        <w:tc>
          <w:tcPr>
            <w:tcW w:w="87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5" w:hRule="exact"/>
          <w:tblHeader/>
          <w:jc w:val="center"/>
        </w:trPr>
        <w:tc>
          <w:tcPr>
            <w:tcW w:w="938"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2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功能科目编码</w:t>
            </w:r>
          </w:p>
        </w:tc>
        <w:tc>
          <w:tcPr>
            <w:tcW w:w="3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90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小计</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财政拨款收入</w:t>
            </w:r>
          </w:p>
        </w:tc>
        <w:tc>
          <w:tcPr>
            <w:tcW w:w="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财政专户收入</w:t>
            </w: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事业收入</w:t>
            </w: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经营收入</w:t>
            </w:r>
          </w:p>
        </w:tc>
        <w:tc>
          <w:tcPr>
            <w:tcW w:w="108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上级补助收入</w:t>
            </w:r>
          </w:p>
        </w:tc>
        <w:tc>
          <w:tcPr>
            <w:tcW w:w="143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附属单位上缴收入</w:t>
            </w:r>
          </w:p>
        </w:tc>
        <w:tc>
          <w:tcPr>
            <w:tcW w:w="82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其他收入</w:t>
            </w:r>
          </w:p>
        </w:tc>
        <w:tc>
          <w:tcPr>
            <w:tcW w:w="874"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12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3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108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143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82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11</w:t>
            </w:r>
          </w:p>
        </w:tc>
        <w:tc>
          <w:tcPr>
            <w:tcW w:w="87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2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  计</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一般公共服务支出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20103</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政府办公厅（室）及相关机构事务</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2010301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行政运行</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社会保障和就业支出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行政事业单位养老支出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机关事业单位基本养老保险缴费支出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2080506</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机关事业单位职业年金缴费支出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卫生健康支出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行政事业单位医疗保险缴费支出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11</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行政单位医疗</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12</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农林水支出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13</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农村综合改革</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14</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对村民委员会和村党支部的补助</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15</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住房保障支出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16</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住房改革支出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住房公积金</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附表1-3</w:t>
      </w:r>
    </w:p>
    <w:p>
      <w:pPr>
        <w:pStyle w:val="4"/>
        <w:bidi w:val="0"/>
        <w:rPr>
          <w:rStyle w:val="14"/>
          <w:rFonts w:hint="eastAsia" w:ascii="方正黑体简体" w:hAnsi="方正黑体简体" w:eastAsia="方正黑体简体" w:cs="方正黑体简体"/>
          <w:b w:val="0"/>
          <w:bCs/>
          <w:color w:val="auto"/>
          <w:szCs w:val="32"/>
          <w:u w:val="none"/>
        </w:rPr>
      </w:pPr>
      <w:r>
        <w:rPr>
          <w:rStyle w:val="14"/>
          <w:rFonts w:hint="eastAsia" w:ascii="方正黑体简体" w:hAnsi="方正黑体简体" w:eastAsia="方正黑体简体" w:cs="方正黑体简体"/>
          <w:b w:val="0"/>
          <w:bCs/>
          <w:color w:val="auto"/>
          <w:szCs w:val="44"/>
          <w:u w:val="none"/>
        </w:rPr>
        <w:t>部门预算支出总表</w:t>
      </w:r>
    </w:p>
    <w:p>
      <w:pPr>
        <w:spacing w:line="560" w:lineRule="exact"/>
        <w:ind w:firstLine="240" w:firstLineChars="100"/>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6210"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1455"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本年支出合计</w:t>
            </w:r>
          </w:p>
        </w:tc>
        <w:tc>
          <w:tcPr>
            <w:tcW w:w="141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基本支出</w:t>
            </w:r>
          </w:p>
        </w:tc>
        <w:tc>
          <w:tcPr>
            <w:tcW w:w="138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项目支出</w:t>
            </w:r>
          </w:p>
        </w:tc>
        <w:tc>
          <w:tcPr>
            <w:tcW w:w="96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经营支出</w:t>
            </w:r>
          </w:p>
        </w:tc>
        <w:tc>
          <w:tcPr>
            <w:tcW w:w="90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上缴上级支出</w:t>
            </w:r>
          </w:p>
        </w:tc>
        <w:tc>
          <w:tcPr>
            <w:tcW w:w="135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功能分类科目编码</w:t>
            </w:r>
          </w:p>
        </w:tc>
        <w:tc>
          <w:tcPr>
            <w:tcW w:w="484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1455"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1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8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0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54"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13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484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9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135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3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484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666.37</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9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一般公共服务支出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20103</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政府办公厅（室）及相关机构事务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380"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2010301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行政运行</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208</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社会保障和就业支出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380"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20805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行政事业单位养老支出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380"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2080505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机关事业单位基本养老保险缴费支出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2080506</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机关事业单位职业年金缴费支出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210</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卫生健康支出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行政事业单位医疗保险缴费支出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11</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行政单位医疗</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12</w:t>
            </w:r>
          </w:p>
        </w:tc>
        <w:tc>
          <w:tcPr>
            <w:tcW w:w="136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213</w:t>
            </w:r>
          </w:p>
        </w:tc>
        <w:tc>
          <w:tcPr>
            <w:tcW w:w="484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农林水支出</w:t>
            </w:r>
          </w:p>
        </w:tc>
        <w:tc>
          <w:tcPr>
            <w:tcW w:w="145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95.00</w:t>
            </w:r>
          </w:p>
        </w:tc>
        <w:tc>
          <w:tcPr>
            <w:tcW w:w="141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138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95.00</w:t>
            </w:r>
          </w:p>
        </w:tc>
        <w:tc>
          <w:tcPr>
            <w:tcW w:w="96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p>
        </w:tc>
        <w:tc>
          <w:tcPr>
            <w:tcW w:w="90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p>
        </w:tc>
        <w:tc>
          <w:tcPr>
            <w:tcW w:w="1354"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13</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农村综合改革</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410"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14</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对村民委员会和村党支部的补助</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15</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住房保障支出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38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16</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住房改革支出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38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住房公积金</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38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仿宋" w:hAnsi="仿宋" w:eastAsia="仿宋" w:cs="仿宋"/>
          <w:b w:val="0"/>
          <w:bCs/>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b w:val="0"/>
          <w:bCs/>
          <w:color w:val="auto"/>
          <w:sz w:val="28"/>
          <w:u w:val="none"/>
        </w:rPr>
      </w:pPr>
      <w:r>
        <w:rPr>
          <w:rStyle w:val="14"/>
          <w:rFonts w:hint="eastAsia" w:ascii="方正仿宋简体" w:hAnsi="方正仿宋简体" w:eastAsia="方正仿宋简体" w:cs="方正仿宋简体"/>
          <w:b w:val="0"/>
          <w:bCs/>
          <w:color w:val="auto"/>
          <w:sz w:val="28"/>
          <w:u w:val="none"/>
        </w:rPr>
        <w:t>附表1-4</w:t>
      </w:r>
    </w:p>
    <w:p>
      <w:pPr>
        <w:spacing w:line="560" w:lineRule="exact"/>
        <w:jc w:val="center"/>
        <w:rPr>
          <w:rStyle w:val="14"/>
          <w:rFonts w:hint="eastAsia" w:ascii="方正黑体简体" w:hAnsi="方正黑体简体" w:eastAsia="方正黑体简体" w:cs="方正黑体简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rPr>
        <w:t>部门预算财政拨款收支总表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60"/>
        <w:gridCol w:w="98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4785"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收  入</w:t>
            </w:r>
          </w:p>
        </w:tc>
        <w:tc>
          <w:tcPr>
            <w:tcW w:w="8854" w:type="dxa"/>
            <w:gridSpan w:val="5"/>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5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  目</w:t>
            </w:r>
          </w:p>
        </w:tc>
        <w:tc>
          <w:tcPr>
            <w:tcW w:w="1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金额</w:t>
            </w:r>
          </w:p>
        </w:tc>
        <w:tc>
          <w:tcPr>
            <w:tcW w:w="42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  目</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一般公共预算财政拨款</w:t>
            </w:r>
          </w:p>
        </w:tc>
        <w:tc>
          <w:tcPr>
            <w:tcW w:w="9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政府性基金预算财政拨款</w:t>
            </w:r>
          </w:p>
        </w:tc>
        <w:tc>
          <w:tcPr>
            <w:tcW w:w="133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35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42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9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133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一、一般公共预算拨款</w:t>
            </w:r>
          </w:p>
        </w:tc>
        <w:tc>
          <w:tcPr>
            <w:tcW w:w="1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一、一般公共服务支出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二、政府性基金预算拨款</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二、外交支出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三、国有资本经营预算拨款</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三、国防支出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四、公共安全支出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五、教育支出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六、科学技术支出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七、文化旅游体育与传媒支出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八、社会保障和就业支出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 xml:space="preserve"> </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九、卫生健康支出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十、节能环保支出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十一、城乡社区支出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12</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十二、农林水支出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13</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十三、交通运输支出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14</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十四、资源勘探工业信息等支出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15</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十五、商业服务业等支出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16</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十六、金融支出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十七、援助其他地区支出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18</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十八、自然资源海洋气象等支出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十九、住房保障支出</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二十、粮油物资储备支出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二十一、国有资本经营预算支出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二十二、灾害防治及应急管理支出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23</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二十三、债务还本支出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24</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二十四、债务付息支出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25</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二十五、债务发行费用支出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26</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top"/>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二十六、其他支出</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27</w:t>
            </w:r>
          </w:p>
        </w:tc>
        <w:tc>
          <w:tcPr>
            <w:tcW w:w="35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本年收入合计</w:t>
            </w:r>
          </w:p>
        </w:tc>
        <w:tc>
          <w:tcPr>
            <w:tcW w:w="1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42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本年支出合计</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28</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年初财政拨款结转和结余</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年末财政拨款结转和结余</w:t>
            </w: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 xml:space="preserve">  </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29</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一、一般公共预算拨款</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二、政府性基金预算拨款</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31</w:t>
            </w:r>
          </w:p>
        </w:tc>
        <w:tc>
          <w:tcPr>
            <w:tcW w:w="352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三、国有资本经营预算拨款</w:t>
            </w:r>
          </w:p>
        </w:tc>
        <w:tc>
          <w:tcPr>
            <w:tcW w:w="126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420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7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98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exact"/>
          <w:jc w:val="center"/>
        </w:trPr>
        <w:tc>
          <w:tcPr>
            <w:tcW w:w="1101"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32</w:t>
            </w:r>
          </w:p>
        </w:tc>
        <w:tc>
          <w:tcPr>
            <w:tcW w:w="35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总计</w:t>
            </w:r>
          </w:p>
        </w:tc>
        <w:tc>
          <w:tcPr>
            <w:tcW w:w="12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420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总计</w:t>
            </w:r>
          </w:p>
        </w:tc>
        <w:tc>
          <w:tcPr>
            <w:tcW w:w="11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11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9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宋体" w:hAnsi="宋体" w:cs="宋体"/>
          <w:b w:val="0"/>
          <w:bCs/>
          <w:color w:val="auto"/>
          <w:sz w:val="24"/>
          <w:szCs w:val="24"/>
        </w:rPr>
      </w:pPr>
      <w:r>
        <w:rPr>
          <w:rStyle w:val="14"/>
          <w:rFonts w:hint="eastAsia" w:ascii="方正仿宋简体" w:hAnsi="方正仿宋简体" w:eastAsia="方正仿宋简体" w:cs="方正仿宋简体"/>
          <w:b w:val="0"/>
          <w:bCs/>
          <w:color w:val="auto"/>
          <w:sz w:val="28"/>
          <w:u w:val="none"/>
        </w:rPr>
        <w:t>附表1-5</w:t>
      </w:r>
    </w:p>
    <w:p>
      <w:pPr>
        <w:spacing w:line="560" w:lineRule="exact"/>
        <w:jc w:val="center"/>
        <w:rPr>
          <w:rStyle w:val="14"/>
          <w:rFonts w:hint="eastAsia" w:ascii="方正黑体简体" w:hAnsi="方正黑体简体" w:eastAsia="方正黑体简体" w:cs="方正黑体简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rPr>
        <w:t>部门预算一般公共预算财政拨款支出表</w:t>
      </w:r>
    </w:p>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                                    单位：万元</w:t>
      </w:r>
      <w:r>
        <w:rPr>
          <w:rStyle w:val="14"/>
          <w:rFonts w:hint="eastAsia" w:ascii="方正仿宋简体" w:hAnsi="方正仿宋简体" w:eastAsia="方正仿宋简体" w:cs="方正仿宋简体"/>
          <w:b w:val="0"/>
          <w:bCs/>
          <w:color w:val="auto"/>
          <w:sz w:val="24"/>
          <w:szCs w:val="24"/>
          <w:u w:val="none"/>
        </w:rPr>
        <w:tab/>
      </w:r>
      <w:r>
        <w:rPr>
          <w:rStyle w:val="14"/>
          <w:rFonts w:hint="eastAsia" w:ascii="方正仿宋简体" w:hAnsi="方正仿宋简体" w:eastAsia="方正仿宋简体" w:cs="方正仿宋简体"/>
          <w:b w:val="0"/>
          <w:bCs/>
          <w:color w:val="auto"/>
          <w:sz w:val="24"/>
          <w:szCs w:val="24"/>
          <w:u w:val="none"/>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6315" w:type="dxa"/>
            <w:gridSpan w:val="2"/>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1515"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4500" w:type="dxa"/>
            <w:gridSpan w:val="3"/>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基本支出</w:t>
            </w:r>
          </w:p>
        </w:tc>
        <w:tc>
          <w:tcPr>
            <w:tcW w:w="153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6315" w:type="dxa"/>
            <w:gridSpan w:val="2"/>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15"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6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小计</w:t>
            </w:r>
          </w:p>
        </w:tc>
        <w:tc>
          <w:tcPr>
            <w:tcW w:w="1485"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人员经费</w:t>
            </w:r>
          </w:p>
        </w:tc>
        <w:tc>
          <w:tcPr>
            <w:tcW w:w="1455"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公用经费</w:t>
            </w:r>
          </w:p>
        </w:tc>
        <w:tc>
          <w:tcPr>
            <w:tcW w:w="1534"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功能分类科目编码</w:t>
            </w:r>
          </w:p>
        </w:tc>
        <w:tc>
          <w:tcPr>
            <w:tcW w:w="4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1515"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60"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85"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455"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c>
          <w:tcPr>
            <w:tcW w:w="1534" w:type="dxa"/>
            <w:vMerge w:val="continue"/>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157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4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w:t>
            </w:r>
          </w:p>
        </w:tc>
        <w:tc>
          <w:tcPr>
            <w:tcW w:w="157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47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  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761.37</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666.37</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581.05</w:t>
            </w:r>
          </w:p>
        </w:tc>
        <w:tc>
          <w:tcPr>
            <w:tcW w:w="1455" w:type="dxa"/>
            <w:noWrap w:val="0"/>
            <w:vAlign w:val="center"/>
          </w:tcPr>
          <w:p>
            <w:pPr>
              <w:tabs>
                <w:tab w:val="left" w:pos="447"/>
              </w:tabs>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85.32</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一般公共服务支出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425.55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85.32</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20103</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政府办公厅（室）及相关机构事务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425.55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85.32</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2010301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行政运行</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510.87</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425.55</w:t>
            </w:r>
          </w:p>
        </w:tc>
        <w:tc>
          <w:tcPr>
            <w:tcW w:w="1455" w:type="dxa"/>
            <w:noWrap w:val="0"/>
            <w:vAlign w:val="top"/>
          </w:tcPr>
          <w:p>
            <w:pPr>
              <w:spacing w:line="560" w:lineRule="exact"/>
              <w:ind w:firstLine="240" w:firstLineChars="100"/>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 xml:space="preserve"> 85.32</w:t>
            </w:r>
          </w:p>
        </w:tc>
        <w:tc>
          <w:tcPr>
            <w:tcW w:w="1534"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5</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社会保障和就业支出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6</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行政事业单位养老支出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58.61</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7</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机关事业单位基本养老保险缴费支出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8</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2080506</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机关事业单位职业年金缴费支出出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卫生健康支出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栏次</w:t>
            </w:r>
          </w:p>
        </w:tc>
        <w:tc>
          <w:tcPr>
            <w:tcW w:w="157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w:t>
            </w:r>
          </w:p>
        </w:tc>
        <w:tc>
          <w:tcPr>
            <w:tcW w:w="47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w:t>
            </w:r>
          </w:p>
        </w:tc>
        <w:tc>
          <w:tcPr>
            <w:tcW w:w="151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w:t>
            </w:r>
          </w:p>
        </w:tc>
        <w:tc>
          <w:tcPr>
            <w:tcW w:w="156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w:t>
            </w:r>
          </w:p>
        </w:tc>
        <w:tc>
          <w:tcPr>
            <w:tcW w:w="148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5</w:t>
            </w:r>
          </w:p>
        </w:tc>
        <w:tc>
          <w:tcPr>
            <w:tcW w:w="145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6</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10</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行政事业单位医疗保险缴费支出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11</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2101101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行政单位医疗</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59.49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12</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农林水支出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13</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农村综合改革</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14</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2130705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对村民委员会和村党支部的补助</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15</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住房保障支出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3"/>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16</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住房改革支出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3"/>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2210201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住房公积金</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b w:val="0"/>
          <w:bCs/>
          <w:color w:val="auto"/>
          <w:sz w:val="28"/>
          <w:u w:val="none"/>
        </w:rPr>
      </w:pPr>
      <w:r>
        <w:rPr>
          <w:rStyle w:val="14"/>
          <w:rFonts w:hint="eastAsia" w:ascii="方正仿宋简体" w:hAnsi="方正仿宋简体" w:eastAsia="方正仿宋简体" w:cs="方正仿宋简体"/>
          <w:b w:val="0"/>
          <w:bCs/>
          <w:color w:val="auto"/>
          <w:sz w:val="28"/>
          <w:u w:val="none"/>
        </w:rPr>
        <w:t>附表1-6</w:t>
      </w:r>
    </w:p>
    <w:p>
      <w:pPr>
        <w:spacing w:line="560" w:lineRule="exact"/>
        <w:jc w:val="center"/>
        <w:rPr>
          <w:rStyle w:val="14"/>
          <w:rFonts w:hint="eastAsia" w:ascii="方正黑体简体" w:hAnsi="方正黑体简体" w:eastAsia="方正黑体简体" w:cs="方正黑体简体"/>
          <w:b w:val="0"/>
          <w:bCs/>
          <w:color w:val="auto"/>
          <w:sz w:val="44"/>
          <w:szCs w:val="44"/>
          <w:u w:val="none"/>
        </w:rPr>
      </w:pPr>
      <w:r>
        <w:rPr>
          <w:rStyle w:val="14"/>
          <w:rFonts w:hint="eastAsia" w:ascii="方正黑体简体" w:hAnsi="方正黑体简体" w:eastAsia="方正黑体简体" w:cs="方正黑体简体"/>
          <w:b w:val="0"/>
          <w:bCs/>
          <w:color w:val="auto"/>
          <w:sz w:val="32"/>
          <w:szCs w:val="32"/>
          <w:u w:val="none"/>
        </w:rPr>
        <w:t>部门预算一般公共预算财政拨款基本支出表</w:t>
      </w:r>
    </w:p>
    <w:p>
      <w:pPr>
        <w:spacing w:line="560" w:lineRule="exact"/>
        <w:ind w:firstLine="240" w:firstLineChars="100"/>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6165"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7534" w:type="dxa"/>
            <w:gridSpan w:val="3"/>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经济分类科目编码</w:t>
            </w:r>
          </w:p>
        </w:tc>
        <w:tc>
          <w:tcPr>
            <w:tcW w:w="465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人员经费</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465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4650" w:type="dxa"/>
            <w:noWrap w:val="0"/>
            <w:vAlign w:val="center"/>
          </w:tcPr>
          <w:p>
            <w:pPr>
              <w:spacing w:line="560" w:lineRule="exact"/>
              <w:ind w:firstLine="1200" w:firstLineChars="500"/>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  计</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666.37</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581.05</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工资福利支出</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559.92</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559.92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基本工资</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175.96</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175.96</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30102</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津贴补贴</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166.03</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166.03</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奖金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6.02</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6.02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30107</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绩效工资</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62.14</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62.14</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30108</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机关事业单位基本养老保险缴费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51.26</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51.26</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30109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职业年金缴费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7.35</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7.35</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30110</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职工基本医疗保险缴费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25.97</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25.97</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30111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公务员医疗补助缴费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23.62</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23.62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栏次</w:t>
            </w:r>
          </w:p>
        </w:tc>
        <w:tc>
          <w:tcPr>
            <w:tcW w:w="151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w:t>
            </w:r>
          </w:p>
        </w:tc>
        <w:tc>
          <w:tcPr>
            <w:tcW w:w="465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w:t>
            </w: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11</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30112</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其他社会保障缴费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4.17</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4.17</w:t>
            </w:r>
          </w:p>
        </w:tc>
        <w:tc>
          <w:tcPr>
            <w:tcW w:w="2329"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12</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30113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住房公积金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37.40</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13</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商品和服务支出</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85.32</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85.32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14</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30201</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办公费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9.20</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15</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30206</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电费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2.30</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16</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30207</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邮电费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1.71</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17</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30208</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取暖费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15.00</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18</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30211</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差旅费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1.84</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30213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维修（护）费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0.92</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20</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30215</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会议费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0.23</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21</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30216</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培训费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0.23</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22</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30217</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公务接待费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0.51</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23</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30228</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工会经费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3.81</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24</w:t>
            </w:r>
          </w:p>
        </w:tc>
        <w:tc>
          <w:tcPr>
            <w:tcW w:w="1515"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30229</w:t>
            </w:r>
          </w:p>
        </w:tc>
        <w:tc>
          <w:tcPr>
            <w:tcW w:w="4650" w:type="dxa"/>
            <w:noWrap w:val="0"/>
            <w:vAlign w:val="center"/>
          </w:tcPr>
          <w:p>
            <w:pPr>
              <w:spacing w:line="560" w:lineRule="exact"/>
              <w:jc w:val="left"/>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福利费</w:t>
            </w:r>
          </w:p>
        </w:tc>
        <w:tc>
          <w:tcPr>
            <w:tcW w:w="2640"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4.28</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r>
              <w:rPr>
                <w:rStyle w:val="14"/>
                <w:rFonts w:hint="eastAsia" w:ascii="方正仿宋简体" w:hAnsi="方正仿宋简体" w:eastAsia="方正仿宋简体" w:cs="方正仿宋简体"/>
                <w:b w:val="0"/>
                <w:bCs/>
                <w:color w:val="auto"/>
                <w:sz w:val="24"/>
                <w:szCs w:val="24"/>
                <w:u w:val="none"/>
              </w:rP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25</w:t>
            </w:r>
          </w:p>
        </w:tc>
        <w:tc>
          <w:tcPr>
            <w:tcW w:w="1515" w:type="dxa"/>
            <w:noWrap w:val="0"/>
            <w:vAlign w:val="center"/>
          </w:tcPr>
          <w:p>
            <w:pPr>
              <w:spacing w:line="560" w:lineRule="exac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30231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公务用车运行维护费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c>
          <w:tcPr>
            <w:tcW w:w="2565" w:type="dxa"/>
            <w:noWrap w:val="0"/>
            <w:vAlign w:val="center"/>
          </w:tcPr>
          <w:p>
            <w:pPr>
              <w:spacing w:line="560" w:lineRule="exact"/>
              <w:jc w:val="center"/>
              <w:rPr>
                <w:rFonts w:hint="eastAsia" w:ascii="方正仿宋简体" w:hAnsi="方正仿宋简体" w:eastAsia="方正仿宋简体" w:cs="方正仿宋简体"/>
                <w:b w:val="0"/>
                <w:bCs/>
                <w:color w:val="auto"/>
                <w:sz w:val="24"/>
                <w:szCs w:val="24"/>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26</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30239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其他交通费用</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20.64</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27</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30299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其他商品和服务支出</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5.45</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28</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对个人和家庭的补助</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21.13</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21.13</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30302</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退休费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10.31</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10.31</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30304</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抚恤金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0.92</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0.92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31</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30307</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医疗费补助</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9.90</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9.90</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附表1-7</w:t>
      </w:r>
    </w:p>
    <w:p>
      <w:pPr>
        <w:spacing w:line="560" w:lineRule="exact"/>
        <w:jc w:val="center"/>
        <w:rPr>
          <w:rStyle w:val="14"/>
          <w:rFonts w:hint="eastAsia" w:ascii="方正黑体简体" w:hAnsi="方正黑体简体" w:eastAsia="方正黑体简体" w:cs="方正黑体简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rPr>
        <w:t>部门预算政府基金预算财政拨款支出表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5956" w:type="dxa"/>
            <w:gridSpan w:val="2"/>
            <w:noWrap w:val="0"/>
            <w:vAlign w:val="top"/>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2747"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2473"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基本支出</w:t>
            </w:r>
          </w:p>
        </w:tc>
        <w:tc>
          <w:tcPr>
            <w:tcW w:w="249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功能分类科目编码</w:t>
            </w: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2747"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5956"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  计</w:t>
            </w: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注：无政府基金预算财政拨款预算，空表列示。</w:t>
      </w:r>
    </w:p>
    <w:p>
      <w:pPr>
        <w:spacing w:line="560" w:lineRule="exact"/>
        <w:jc w:val="left"/>
        <w:rPr>
          <w:rStyle w:val="14"/>
          <w:rFonts w:hint="eastAsia" w:ascii="仿宋" w:hAnsi="仿宋" w:eastAsia="仿宋" w:cs="仿宋"/>
          <w:b w:val="0"/>
          <w:bCs/>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14"/>
          <w:rFonts w:hint="eastAsia" w:ascii="方正小标宋简体" w:hAnsi="方正小标宋简体" w:eastAsia="方正小标宋简体" w:cs="方正小标宋简体"/>
          <w:b w:val="0"/>
          <w:bCs/>
          <w:color w:val="auto"/>
          <w:sz w:val="44"/>
          <w:szCs w:val="44"/>
          <w:u w:val="none"/>
        </w:rPr>
      </w:pPr>
      <w:r>
        <w:rPr>
          <w:rStyle w:val="14"/>
          <w:rFonts w:hint="eastAsia" w:ascii="仿宋" w:hAnsi="仿宋" w:eastAsia="仿宋" w:cs="仿宋"/>
          <w:b w:val="0"/>
          <w:bCs/>
          <w:color w:val="auto"/>
          <w:sz w:val="28"/>
          <w:u w:val="none"/>
        </w:rPr>
        <w:t>附表1-8</w:t>
      </w:r>
    </w:p>
    <w:p>
      <w:pPr>
        <w:spacing w:line="560" w:lineRule="exact"/>
        <w:jc w:val="center"/>
        <w:rPr>
          <w:rStyle w:val="14"/>
          <w:rFonts w:hint="eastAsia" w:ascii="方正黑体简体" w:hAnsi="方正黑体简体" w:eastAsia="方正黑体简体" w:cs="方正黑体简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rPr>
        <w:t>部门预算国有资本经营预算财政拨款支出表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5535" w:type="dxa"/>
            <w:gridSpan w:val="2"/>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  目</w:t>
            </w:r>
          </w:p>
        </w:tc>
        <w:tc>
          <w:tcPr>
            <w:tcW w:w="264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258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基本支出</w:t>
            </w:r>
          </w:p>
        </w:tc>
        <w:tc>
          <w:tcPr>
            <w:tcW w:w="2659"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功能分类科目编码</w:t>
            </w: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科目名称</w:t>
            </w:r>
          </w:p>
        </w:tc>
        <w:tc>
          <w:tcPr>
            <w:tcW w:w="264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7</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8</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9</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color w:val="auto"/>
          <w:sz w:val="28"/>
          <w:u w:val="none"/>
        </w:rPr>
        <w:sectPr>
          <w:footerReference r:id="rId11" w:type="default"/>
          <w:pgSz w:w="16840" w:h="11900" w:orient="landscape"/>
          <w:pgMar w:top="1304" w:right="1984" w:bottom="1304" w:left="1134" w:header="720" w:footer="720" w:gutter="0"/>
          <w:pgNumType w:fmt="decimal"/>
          <w:cols w:space="720" w:num="1"/>
        </w:sectPr>
      </w:pPr>
      <w:r>
        <w:rPr>
          <w:rStyle w:val="14"/>
          <w:rFonts w:hint="eastAsia" w:ascii="方正仿宋简体" w:hAnsi="方正仿宋简体" w:eastAsia="方正仿宋简体" w:cs="方正仿宋简体"/>
          <w:b w:val="0"/>
          <w:bCs/>
          <w:color w:val="auto"/>
          <w:sz w:val="24"/>
          <w:szCs w:val="24"/>
          <w:u w:val="none"/>
        </w:rPr>
        <w:t>注：无国有资本经营预算财政拨款预算，空表列示。</w:t>
      </w:r>
    </w:p>
    <w:p>
      <w:pPr>
        <w:spacing w:line="560" w:lineRule="exact"/>
        <w:rPr>
          <w:rStyle w:val="14"/>
          <w:rFonts w:hint="eastAsia" w:ascii="方正小标宋简体" w:hAnsi="方正小标宋简体" w:eastAsia="方正小标宋简体" w:cs="方正小标宋简体"/>
          <w:b w:val="0"/>
          <w:bCs/>
          <w:color w:val="auto"/>
          <w:sz w:val="44"/>
          <w:szCs w:val="44"/>
          <w:u w:val="none"/>
        </w:rPr>
      </w:pPr>
      <w:r>
        <w:rPr>
          <w:rStyle w:val="14"/>
          <w:rFonts w:hint="eastAsia" w:ascii="方正仿宋简体" w:hAnsi="方正仿宋简体" w:eastAsia="方正仿宋简体" w:cs="方正仿宋简体"/>
          <w:b w:val="0"/>
          <w:bCs/>
          <w:color w:val="auto"/>
          <w:sz w:val="28"/>
          <w:u w:val="none"/>
        </w:rPr>
        <w:t>附表1-9</w:t>
      </w:r>
    </w:p>
    <w:p>
      <w:pPr>
        <w:spacing w:line="560" w:lineRule="exact"/>
        <w:jc w:val="center"/>
        <w:rPr>
          <w:rStyle w:val="14"/>
          <w:rFonts w:hint="eastAsia" w:ascii="方正黑体" w:hAnsi="方正黑体" w:eastAsia="方正黑体" w:cs="方正黑体"/>
          <w:b w:val="0"/>
          <w:bCs/>
          <w:color w:val="auto"/>
          <w:sz w:val="32"/>
          <w:szCs w:val="32"/>
          <w:u w:val="none"/>
        </w:rPr>
      </w:pPr>
      <w:r>
        <w:rPr>
          <w:rStyle w:val="14"/>
          <w:rFonts w:hint="eastAsia" w:ascii="方正黑体简体" w:hAnsi="方正黑体简体" w:eastAsia="方正黑体简体" w:cs="方正黑体简体"/>
          <w:b w:val="0"/>
          <w:bCs/>
          <w:color w:val="auto"/>
          <w:sz w:val="32"/>
          <w:szCs w:val="32"/>
          <w:u w:val="none"/>
        </w:rPr>
        <w:t>部门预算财政拨款“三公”经费支出表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641 遵化市刘备寨乡人民政府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序号</w:t>
            </w:r>
          </w:p>
        </w:tc>
        <w:tc>
          <w:tcPr>
            <w:tcW w:w="3950"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项   目</w:t>
            </w:r>
          </w:p>
        </w:tc>
        <w:tc>
          <w:tcPr>
            <w:tcW w:w="9906" w:type="dxa"/>
            <w:gridSpan w:val="4"/>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395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合计</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一般公共预算       财政拨款</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政府性基金         预算拨款</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栏次</w:t>
            </w:r>
          </w:p>
        </w:tc>
        <w:tc>
          <w:tcPr>
            <w:tcW w:w="395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w:t>
            </w:r>
          </w:p>
        </w:tc>
        <w:tc>
          <w:tcPr>
            <w:tcW w:w="3950"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合  计</w:t>
            </w:r>
          </w:p>
        </w:tc>
        <w:tc>
          <w:tcPr>
            <w:tcW w:w="2476" w:type="dxa"/>
            <w:noWrap w:val="0"/>
            <w:vAlign w:val="center"/>
          </w:tcPr>
          <w:p>
            <w:pPr>
              <w:spacing w:line="560" w:lineRule="exact"/>
              <w:jc w:val="center"/>
              <w:rPr>
                <w:rStyle w:val="14"/>
                <w:rFonts w:hint="default" w:ascii="方正仿宋简体" w:hAnsi="方正仿宋简体" w:eastAsia="方正仿宋简体" w:cs="方正仿宋简体"/>
                <w:b w:val="0"/>
                <w:bCs/>
                <w:color w:val="auto"/>
                <w:sz w:val="24"/>
                <w:szCs w:val="24"/>
                <w:u w:val="none"/>
                <w:lang w:val="en-US" w:eastAsia="zh-CN"/>
              </w:rPr>
            </w:pPr>
            <w:r>
              <w:rPr>
                <w:rStyle w:val="14"/>
                <w:rFonts w:hint="eastAsia" w:ascii="方正仿宋简体" w:hAnsi="方正仿宋简体" w:eastAsia="方正仿宋简体" w:cs="方正仿宋简体"/>
                <w:b w:val="0"/>
                <w:bCs/>
                <w:color w:val="auto"/>
                <w:sz w:val="24"/>
                <w:szCs w:val="24"/>
                <w:u w:val="none"/>
                <w:lang w:val="en-US" w:eastAsia="zh-CN"/>
              </w:rPr>
              <w:t>19.71</w:t>
            </w:r>
          </w:p>
        </w:tc>
        <w:tc>
          <w:tcPr>
            <w:tcW w:w="2476" w:type="dxa"/>
            <w:noWrap w:val="0"/>
            <w:vAlign w:val="center"/>
          </w:tcPr>
          <w:p>
            <w:pPr>
              <w:spacing w:line="560" w:lineRule="exact"/>
              <w:jc w:val="center"/>
              <w:rPr>
                <w:rStyle w:val="14"/>
                <w:rFonts w:hint="default" w:ascii="方正仿宋简体" w:hAnsi="方正仿宋简体" w:eastAsia="方正仿宋简体" w:cs="方正仿宋简体"/>
                <w:b w:val="0"/>
                <w:bCs/>
                <w:color w:val="auto"/>
                <w:sz w:val="24"/>
                <w:szCs w:val="24"/>
                <w:u w:val="none"/>
                <w:lang w:val="en-US" w:eastAsia="zh-CN"/>
              </w:rPr>
            </w:pPr>
            <w:r>
              <w:rPr>
                <w:rStyle w:val="14"/>
                <w:rFonts w:hint="eastAsia" w:ascii="方正仿宋简体" w:hAnsi="方正仿宋简体" w:eastAsia="方正仿宋简体" w:cs="方正仿宋简体"/>
                <w:b w:val="0"/>
                <w:bCs/>
                <w:color w:val="auto"/>
                <w:sz w:val="24"/>
                <w:szCs w:val="24"/>
                <w:u w:val="none"/>
                <w:lang w:val="en-US" w:eastAsia="zh-CN"/>
              </w:rPr>
              <w:t>19.71</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2</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一、因公出国（境）费</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0.00</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0.00</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3</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二、公务用车购置及运维费</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4</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其中：公务用车购置费</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0.00</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0.00</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5</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公务用车运行维护费</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19.20</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6</w:t>
            </w:r>
          </w:p>
        </w:tc>
        <w:tc>
          <w:tcPr>
            <w:tcW w:w="3950" w:type="dxa"/>
            <w:noWrap w:val="0"/>
            <w:vAlign w:val="center"/>
          </w:tcPr>
          <w:p>
            <w:pPr>
              <w:spacing w:line="560" w:lineRule="exact"/>
              <w:jc w:val="left"/>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三、公务接待费</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0.51</w:t>
            </w:r>
          </w:p>
        </w:tc>
        <w:tc>
          <w:tcPr>
            <w:tcW w:w="2476"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r>
              <w:rPr>
                <w:rStyle w:val="14"/>
                <w:rFonts w:hint="eastAsia" w:ascii="方正仿宋简体" w:hAnsi="方正仿宋简体" w:eastAsia="方正仿宋简体" w:cs="方正仿宋简体"/>
                <w:b w:val="0"/>
                <w:bCs/>
                <w:color w:val="auto"/>
                <w:sz w:val="24"/>
                <w:szCs w:val="24"/>
                <w:u w:val="none"/>
              </w:rPr>
              <w:t>0.51</w:t>
            </w: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c>
          <w:tcPr>
            <w:tcW w:w="2477" w:type="dxa"/>
            <w:noWrap w:val="0"/>
            <w:vAlign w:val="center"/>
          </w:tcPr>
          <w:p>
            <w:pPr>
              <w:spacing w:line="560" w:lineRule="exact"/>
              <w:jc w:val="center"/>
              <w:rPr>
                <w:rStyle w:val="14"/>
                <w:rFonts w:hint="eastAsia" w:ascii="方正仿宋简体" w:hAnsi="方正仿宋简体" w:eastAsia="方正仿宋简体" w:cs="方正仿宋简体"/>
                <w:b w:val="0"/>
                <w:bCs/>
                <w:color w:val="auto"/>
                <w:sz w:val="24"/>
                <w:szCs w:val="24"/>
                <w:u w:val="none"/>
              </w:rPr>
            </w:pPr>
          </w:p>
        </w:tc>
      </w:tr>
    </w:tbl>
    <w:p>
      <w:pPr>
        <w:spacing w:line="560" w:lineRule="exact"/>
        <w:jc w:val="center"/>
        <w:rPr>
          <w:rFonts w:hint="eastAsia" w:ascii="方正仿宋简体" w:hAnsi="方正仿宋简体" w:eastAsia="方正仿宋简体" w:cs="方正仿宋简体"/>
          <w:b w:val="0"/>
          <w:bCs/>
          <w:color w:val="auto"/>
          <w:sz w:val="32"/>
          <w:szCs w:val="32"/>
        </w:r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center"/>
        <w:textAlignment w:val="auto"/>
        <w:rPr>
          <w:rFonts w:hint="eastAsia" w:ascii="黑体" w:hAnsi="Calibri" w:eastAsia="黑体" w:cs="Times New Roman"/>
          <w:b/>
          <w:sz w:val="44"/>
        </w:rPr>
        <w:sectPr>
          <w:footerReference r:id="rId12" w:type="default"/>
          <w:pgSz w:w="16840" w:h="11900" w:orient="landscape"/>
          <w:pgMar w:top="1304" w:right="1984" w:bottom="1304" w:left="1134" w:header="720" w:footer="720" w:gutter="0"/>
          <w:pgNumType w:fmt="decimal"/>
          <w:cols w:space="720" w:num="1"/>
        </w:sect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黑体" w:hAnsi="Calibri" w:eastAsia="黑体" w:cs="Times New Roman"/>
          <w:b/>
          <w:sz w:val="44"/>
        </w:rPr>
        <w:t>遵化市刘备寨乡人民政府2022年度预算信息公开情况说明</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left="92" w:leftChars="44"/>
        <w:jc w:val="center"/>
        <w:textAlignment w:val="auto"/>
        <w:rPr>
          <w:rFonts w:hint="eastAsia" w:ascii="黑体" w:hAnsi="黑体" w:eastAsia="黑体" w:cs="黑体"/>
          <w:b w:val="0"/>
          <w:bCs/>
          <w:color w:val="auto"/>
          <w:kern w:val="0"/>
          <w:sz w:val="32"/>
          <w:szCs w:val="32"/>
        </w:rPr>
      </w:pP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sz w:val="32"/>
          <w:szCs w:val="32"/>
        </w:rPr>
        <w:t>按照</w:t>
      </w:r>
      <w:r>
        <w:rPr>
          <w:rFonts w:hint="eastAsia" w:ascii="方正仿宋简体" w:hAnsi="方正仿宋简体" w:eastAsia="方正仿宋简体" w:cs="方正仿宋简体"/>
          <w:b w:val="0"/>
          <w:bCs/>
          <w:color w:val="auto"/>
          <w:sz w:val="32"/>
          <w:szCs w:val="32"/>
          <w:lang w:eastAsia="zh-CN"/>
        </w:rPr>
        <w:t>《中华人民共和国预算法》</w:t>
      </w:r>
      <w:r>
        <w:rPr>
          <w:rFonts w:hint="eastAsia" w:ascii="方正仿宋简体" w:hAnsi="方正仿宋简体" w:eastAsia="方正仿宋简体" w:cs="方正仿宋简体"/>
          <w:b w:val="0"/>
          <w:bCs/>
          <w:color w:val="auto"/>
          <w:sz w:val="32"/>
          <w:szCs w:val="32"/>
        </w:rPr>
        <w:t>、《地方预决算公开操作规程》和《河北省省级预算公开办法》规定，现将遵化市刘备寨乡人民政府2022年部门预算公开如下：</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（一）部门职责</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1</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2</w:t>
      </w:r>
      <w:r>
        <w:rPr>
          <w:rFonts w:hint="eastAsia" w:ascii="方正仿宋简体" w:hAnsi="方正仿宋简体" w:eastAsia="方正仿宋简体" w:cs="方正仿宋简体"/>
          <w:b w:val="0"/>
          <w:bCs/>
          <w:color w:val="auto"/>
          <w:sz w:val="32"/>
          <w:szCs w:val="32"/>
        </w:rPr>
        <w:t>）讨论和决定本乡经济建设、政治建设、文</w:t>
      </w:r>
      <w:bookmarkStart w:id="2" w:name="_GoBack"/>
      <w:bookmarkEnd w:id="2"/>
      <w:r>
        <w:rPr>
          <w:rFonts w:hint="eastAsia" w:ascii="方正仿宋简体" w:hAnsi="方正仿宋简体" w:eastAsia="方正仿宋简体" w:cs="方正仿宋简体"/>
          <w:b w:val="0"/>
          <w:bCs/>
          <w:color w:val="auto"/>
          <w:sz w:val="32"/>
          <w:szCs w:val="32"/>
        </w:rPr>
        <w:t>化建设、社会建设、生态文明建设和党的建设以及乡村振兴中的重大问题。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3</w:t>
      </w:r>
      <w:r>
        <w:rPr>
          <w:rFonts w:hint="eastAsia" w:ascii="方正仿宋简体" w:hAnsi="方正仿宋简体" w:eastAsia="方正仿宋简体" w:cs="方正仿宋简体"/>
          <w:b w:val="0"/>
          <w:bCs/>
          <w:color w:val="auto"/>
          <w:sz w:val="32"/>
          <w:szCs w:val="32"/>
        </w:rPr>
        <w:t>）组织召开本级人民代表大会，充分行使重大事项决定权、监督权和任免权，做好人大代表工作，联系选民、反映群众意见和要求。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4</w:t>
      </w:r>
      <w:r>
        <w:rPr>
          <w:rFonts w:hint="eastAsia" w:ascii="方正仿宋简体" w:hAnsi="方正仿宋简体" w:eastAsia="方正仿宋简体" w:cs="方正仿宋简体"/>
          <w:b w:val="0"/>
          <w:bCs/>
          <w:color w:val="auto"/>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5</w:t>
      </w:r>
      <w:r>
        <w:rPr>
          <w:rFonts w:hint="eastAsia" w:ascii="方正仿宋简体" w:hAnsi="方正仿宋简体" w:eastAsia="方正仿宋简体" w:cs="方正仿宋简体"/>
          <w:b w:val="0"/>
          <w:bCs/>
          <w:color w:val="auto"/>
          <w:sz w:val="32"/>
          <w:szCs w:val="32"/>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6</w:t>
      </w:r>
      <w:r>
        <w:rPr>
          <w:rFonts w:hint="eastAsia" w:ascii="方正仿宋简体" w:hAnsi="方正仿宋简体" w:eastAsia="方正仿宋简体" w:cs="方正仿宋简体"/>
          <w:b w:val="0"/>
          <w:bCs/>
          <w:color w:val="auto"/>
          <w:sz w:val="32"/>
          <w:szCs w:val="32"/>
        </w:rPr>
        <w:t>）加强乡党委自身建设和村党组织建设，以及其他隶属乡党委的党组织建设，抓好发展党员工作，加强党员队伍建设。维护和执行党的纪律，监督党员干部和其他任何工作人员严格遵守国家法律法规。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7</w:t>
      </w:r>
      <w:r>
        <w:rPr>
          <w:rFonts w:hint="eastAsia" w:ascii="方正仿宋简体" w:hAnsi="方正仿宋简体" w:eastAsia="方正仿宋简体" w:cs="方正仿宋简体"/>
          <w:b w:val="0"/>
          <w:bCs/>
          <w:color w:val="auto"/>
          <w:sz w:val="32"/>
          <w:szCs w:val="32"/>
        </w:rPr>
        <w:t>）按照干部管理权限，负责对干部的教育、培训、选拔、考核和监督工作。协助管理上级有关部门驻乡单位的干部。做好人才服务工作。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8</w:t>
      </w:r>
      <w:r>
        <w:rPr>
          <w:rFonts w:hint="eastAsia" w:ascii="方正仿宋简体" w:hAnsi="方正仿宋简体" w:eastAsia="方正仿宋简体" w:cs="方正仿宋简体"/>
          <w:b w:val="0"/>
          <w:bCs/>
          <w:color w:val="auto"/>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9</w:t>
      </w:r>
      <w:r>
        <w:rPr>
          <w:rFonts w:hint="eastAsia" w:ascii="方正仿宋简体" w:hAnsi="方正仿宋简体" w:eastAsia="方正仿宋简体" w:cs="方正仿宋简体"/>
          <w:b w:val="0"/>
          <w:bCs/>
          <w:color w:val="auto"/>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val="en-US" w:eastAsia="zh-CN"/>
        </w:rPr>
        <w:t>10</w:t>
      </w:r>
      <w:r>
        <w:rPr>
          <w:rFonts w:hint="eastAsia" w:ascii="方正仿宋简体" w:hAnsi="方正仿宋简体" w:eastAsia="方正仿宋简体" w:cs="方正仿宋简体"/>
          <w:b w:val="0"/>
          <w:bCs/>
          <w:color w:val="auto"/>
          <w:sz w:val="32"/>
          <w:szCs w:val="32"/>
        </w:rPr>
        <w:t>）承办上级党委、人大、政府交办的其他事项。</w:t>
      </w:r>
    </w:p>
    <w:p>
      <w:pPr>
        <w:keepNext w:val="0"/>
        <w:keepLines w:val="0"/>
        <w:pageBreakBefore w:val="0"/>
        <w:kinsoku/>
        <w:wordWrap/>
        <w:overflowPunct/>
        <w:topLinePunct w:val="0"/>
        <w:autoSpaceDE/>
        <w:autoSpaceDN/>
        <w:bidi w:val="0"/>
        <w:adjustRightInd/>
        <w:spacing w:line="570" w:lineRule="exact"/>
        <w:ind w:firstLine="643" w:firstLineChars="200"/>
        <w:textAlignment w:val="auto"/>
        <w:rPr>
          <w:rFonts w:hint="eastAsia"/>
        </w:rPr>
      </w:pPr>
      <w:r>
        <w:rPr>
          <w:rFonts w:hint="eastAsia" w:ascii="宋体" w:hAnsi="宋体" w:cs="宋体"/>
          <w:b/>
          <w:sz w:val="32"/>
          <w:szCs w:val="32"/>
        </w:rPr>
        <w:t>机构设置：</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六</w:t>
      </w:r>
      <w:r>
        <w:rPr>
          <w:rFonts w:hint="eastAsia" w:ascii="方正仿宋简体" w:hAnsi="方正仿宋简体" w:eastAsia="方正仿宋简体" w:cs="方正仿宋简体"/>
          <w:sz w:val="32"/>
          <w:szCs w:val="32"/>
          <w:lang w:eastAsia="zh-CN"/>
        </w:rPr>
        <w:t>）行政综合服务中心（综合文化服务站）</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320" w:firstLineChars="1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七</w:t>
      </w:r>
      <w:r>
        <w:rPr>
          <w:rFonts w:hint="eastAsia" w:ascii="方正仿宋简体" w:hAnsi="方正仿宋简体" w:eastAsia="方正仿宋简体" w:cs="方正仿宋简体"/>
          <w:sz w:val="32"/>
          <w:szCs w:val="32"/>
          <w:lang w:eastAsia="zh-CN"/>
        </w:rPr>
        <w:t>）农业综合服务中心</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退役军人服务站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遵化市刘备寨乡人民政府编制人数51名（行政编制24名、全额事业编制27名）。实有行政人数21名，全额事业人数20名。</w:t>
      </w:r>
    </w:p>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部门机构设置情况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单位名称</w:t>
            </w:r>
          </w:p>
        </w:tc>
        <w:tc>
          <w:tcPr>
            <w:tcW w:w="225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单位性质</w:t>
            </w:r>
          </w:p>
        </w:tc>
        <w:tc>
          <w:tcPr>
            <w:tcW w:w="2385"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单位规格</w:t>
            </w:r>
          </w:p>
        </w:tc>
        <w:tc>
          <w:tcPr>
            <w:tcW w:w="3345"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遵化市遵化市刘备寨乡人民政府本级</w:t>
            </w:r>
          </w:p>
        </w:tc>
        <w:tc>
          <w:tcPr>
            <w:tcW w:w="225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行政</w:t>
            </w:r>
          </w:p>
        </w:tc>
        <w:tc>
          <w:tcPr>
            <w:tcW w:w="2385"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正科级</w:t>
            </w:r>
          </w:p>
        </w:tc>
        <w:tc>
          <w:tcPr>
            <w:tcW w:w="3345"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财政拨款</w:t>
            </w:r>
          </w:p>
        </w:tc>
      </w:tr>
    </w:tbl>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黑体" w:hAnsi="方正黑体" w:eastAsia="方正黑体" w:cs="方正黑体"/>
          <w:b w:val="0"/>
          <w:bCs/>
          <w:color w:val="auto"/>
          <w:sz w:val="32"/>
          <w:szCs w:val="32"/>
        </w:rPr>
      </w:pPr>
      <w:bookmarkStart w:id="1" w:name="_Toc68791549"/>
      <w:r>
        <w:rPr>
          <w:rFonts w:hint="eastAsia" w:ascii="方正黑体" w:hAnsi="方正黑体" w:eastAsia="方正黑体" w:cs="方正黑体"/>
          <w:b w:val="0"/>
          <w:bCs/>
          <w:color w:val="auto"/>
          <w:sz w:val="32"/>
          <w:szCs w:val="32"/>
        </w:rPr>
        <w:t>二、部门预算安排的总体情况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按照预算管理有关规定，目前我市部门预算的编制实行综合预算制度，即全部收入和支出都反映在预算中。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rPr>
        <w:t>1、收入说明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反映本部门当年全部收入。2022年预算收入761.37万元，其中：一般公共预算收入761.37万元，基金预算收入0万元，财政专户核拨收入0万元，其他来源收入0万元。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楷体" w:hAnsi="方正楷体" w:eastAsia="方正楷体" w:cs="方正楷体"/>
          <w:b w:val="0"/>
          <w:bCs/>
          <w:color w:val="auto"/>
          <w:sz w:val="32"/>
          <w:szCs w:val="32"/>
        </w:rPr>
        <w:t>2、支出说明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收支预算总表支出栏、基本支出表、项目支出表按经济分类和支出功能分类科目编制，反映遵化市刘备寨乡人民政府2022年度部门预算中支出预算的总体情况。2022年支出预算761.37万元，其中基本支出666.37万元，包括人员经费581.05万元和日常公用经费85.32万元；项目支出95万元</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sz w:val="32"/>
          <w:szCs w:val="32"/>
          <w:lang w:val="en-US" w:eastAsia="zh-CN"/>
        </w:rPr>
        <w:t>包括本级支出，主要是服务群众专项经费。</w:t>
      </w:r>
    </w:p>
    <w:p>
      <w:pPr>
        <w:keepNext w:val="0"/>
        <w:keepLines w:val="0"/>
        <w:pageBreakBefore w:val="0"/>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楷体" w:hAnsi="方正楷体" w:eastAsia="方正楷体" w:cs="方正楷体"/>
          <w:b w:val="0"/>
          <w:bCs/>
          <w:color w:val="auto"/>
          <w:sz w:val="32"/>
          <w:szCs w:val="32"/>
        </w:rPr>
      </w:pPr>
      <w:r>
        <w:rPr>
          <w:rFonts w:hint="eastAsia" w:ascii="方正楷体" w:hAnsi="方正楷体" w:eastAsia="方正楷体" w:cs="方正楷体"/>
          <w:b w:val="0"/>
          <w:bCs/>
          <w:color w:val="auto"/>
          <w:sz w:val="32"/>
          <w:szCs w:val="32"/>
        </w:rPr>
        <w:t>比上年增减情况</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2022年预算收支安排761.37万元，较2021年预算增加135.9万元，其中：基本支出增加62.83万元，主要为增加人员经费支出62.83万元；（增加的主要原因为人员调入工资、保险及乡镇补贴等相应增加）；日常公用经费增加5.07万元（增加的主要原因为人员调入各项公用经费都相应增加）。项目支出95万元，比上年度增加68万元（增加的主要原因为加大对服务群众专项经费的投入）。</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黑体简体" w:hAnsi="方正黑体简体" w:eastAsia="方正黑体简体" w:cs="方正黑体简体"/>
          <w:b w:val="0"/>
          <w:bCs/>
          <w:color w:val="auto"/>
          <w:sz w:val="32"/>
          <w:szCs w:val="32"/>
        </w:rPr>
        <w:t>三、机关运行经费安排情况</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2022年，我乡机关运行经费共计安排85.32万元，主要用于：机关办公费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电费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邮电费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取暖费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差旅费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维修(护)费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会议费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培训费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公务用车运行维护费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公务接待费</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其他商品和服务支出</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工会经费</w:t>
      </w:r>
      <w:r>
        <w:rPr>
          <w:rFonts w:hint="eastAsia" w:ascii="方正仿宋简体" w:hAnsi="方正仿宋简体" w:eastAsia="方正仿宋简体" w:cs="方正仿宋简体"/>
          <w:b w:val="0"/>
          <w:bCs/>
          <w:color w:val="auto"/>
          <w:sz w:val="32"/>
          <w:szCs w:val="32"/>
          <w:lang w:val="en-US" w:eastAsia="zh-CN"/>
        </w:rPr>
        <w:t>和</w:t>
      </w:r>
      <w:r>
        <w:rPr>
          <w:rFonts w:hint="eastAsia" w:ascii="方正仿宋简体" w:hAnsi="方正仿宋简体" w:eastAsia="方正仿宋简体" w:cs="方正仿宋简体"/>
          <w:b w:val="0"/>
          <w:bCs/>
          <w:color w:val="auto"/>
          <w:sz w:val="32"/>
          <w:szCs w:val="32"/>
        </w:rPr>
        <w:t>福利费</w:t>
      </w:r>
      <w:r>
        <w:rPr>
          <w:rFonts w:hint="eastAsia" w:ascii="方正仿宋简体" w:hAnsi="方正仿宋简体" w:eastAsia="方正仿宋简体" w:cs="方正仿宋简体"/>
          <w:b w:val="0"/>
          <w:bCs/>
          <w:color w:val="auto"/>
          <w:sz w:val="32"/>
          <w:szCs w:val="32"/>
          <w:lang w:val="en-US" w:eastAsia="zh-CN"/>
        </w:rPr>
        <w:t>等支出</w:t>
      </w:r>
      <w:r>
        <w:rPr>
          <w:rFonts w:hint="eastAsia" w:ascii="方正仿宋简体" w:hAnsi="方正仿宋简体" w:eastAsia="方正仿宋简体" w:cs="方正仿宋简体"/>
          <w:b w:val="0"/>
          <w:bCs/>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四、</w:t>
      </w:r>
      <w:r>
        <w:rPr>
          <w:rFonts w:hint="eastAsia" w:ascii="方正黑体简体" w:hAnsi="方正黑体简体" w:eastAsia="方正黑体简体" w:cs="方正黑体简体"/>
          <w:b w:val="0"/>
          <w:bCs/>
          <w:color w:val="auto"/>
          <w:sz w:val="32"/>
          <w:szCs w:val="32"/>
          <w:highlight w:val="none"/>
        </w:rPr>
        <w:t>财政拨款“三公”经费预算情况及增减变化原因</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2022年我乡“三公”经费预算安排</w:t>
      </w:r>
      <w:r>
        <w:rPr>
          <w:rFonts w:hint="eastAsia" w:ascii="方正仿宋简体" w:hAnsi="方正仿宋简体" w:eastAsia="方正仿宋简体" w:cs="方正仿宋简体"/>
          <w:b w:val="0"/>
          <w:bCs/>
          <w:color w:val="auto"/>
          <w:sz w:val="32"/>
          <w:szCs w:val="32"/>
          <w:lang w:val="en-US" w:eastAsia="zh-CN"/>
        </w:rPr>
        <w:t>19.71</w:t>
      </w:r>
      <w:r>
        <w:rPr>
          <w:rFonts w:hint="eastAsia" w:ascii="方正仿宋简体" w:hAnsi="方正仿宋简体" w:eastAsia="方正仿宋简体" w:cs="方正仿宋简体"/>
          <w:b w:val="0"/>
          <w:bCs/>
          <w:color w:val="auto"/>
          <w:sz w:val="32"/>
          <w:szCs w:val="32"/>
        </w:rPr>
        <w:t>万元，</w:t>
      </w:r>
      <w:r>
        <w:rPr>
          <w:rFonts w:hint="eastAsia" w:ascii="方正仿宋简体" w:hAnsi="方正仿宋简体" w:eastAsia="方正仿宋简体" w:cs="方正仿宋简体"/>
          <w:b w:val="0"/>
          <w:bCs/>
          <w:color w:val="auto"/>
          <w:sz w:val="32"/>
          <w:szCs w:val="32"/>
          <w:lang w:val="en-US" w:eastAsia="zh-CN"/>
        </w:rPr>
        <w:t>与2021年持平，</w:t>
      </w:r>
      <w:r>
        <w:rPr>
          <w:rFonts w:hint="eastAsia" w:ascii="方正仿宋简体" w:hAnsi="方正仿宋简体" w:eastAsia="方正仿宋简体" w:cs="方正仿宋简体"/>
          <w:b w:val="0"/>
          <w:bCs/>
          <w:color w:val="auto"/>
          <w:sz w:val="32"/>
          <w:szCs w:val="32"/>
        </w:rPr>
        <w:t xml:space="preserve">具体安排情况为： </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 xml:space="preserve"> （一）公务用车购置及运行费。共计安排19.</w:t>
      </w:r>
      <w:r>
        <w:rPr>
          <w:rFonts w:hint="eastAsia" w:ascii="方正仿宋简体" w:hAnsi="方正仿宋简体" w:eastAsia="方正仿宋简体" w:cs="方正仿宋简体"/>
          <w:b w:val="0"/>
          <w:bCs/>
          <w:color w:val="auto"/>
          <w:sz w:val="32"/>
          <w:szCs w:val="32"/>
          <w:lang w:val="en-US" w:eastAsia="zh-CN"/>
        </w:rPr>
        <w:t>2</w:t>
      </w:r>
      <w:r>
        <w:rPr>
          <w:rFonts w:hint="eastAsia" w:ascii="方正仿宋简体" w:hAnsi="方正仿宋简体" w:eastAsia="方正仿宋简体" w:cs="方正仿宋简体"/>
          <w:b w:val="0"/>
          <w:bCs/>
          <w:color w:val="auto"/>
          <w:sz w:val="32"/>
          <w:szCs w:val="32"/>
        </w:rPr>
        <w:t>万元，比2021年减少0.1万元，减少原因为厉行节约，压缩开支。其中①公务用车购置安排0万元，与2021年持平，无增减变化。②公车运行维护经费安排19.20万元，比2021年减少0.1万元。减少原因为厉行节约，压缩开支。</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（二）公务接待费。安排0.51万元，与2021年持平，无增减变化。</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color w:val="auto"/>
          <w:sz w:val="32"/>
          <w:szCs w:val="32"/>
        </w:rPr>
        <w:t>（三）因公出国（境）费。安排0万元，与2021年持平，无增减变化。</w:t>
      </w:r>
      <w:r>
        <w:rPr>
          <w:rFonts w:hint="eastAsia" w:ascii="方正仿宋简体" w:hAnsi="方正仿宋简体" w:eastAsia="方正仿宋简体" w:cs="方正仿宋简体"/>
          <w:sz w:val="32"/>
          <w:szCs w:val="32"/>
        </w:rPr>
        <w:t>没有因公出国安排，所以未安排因公出国费。</w:t>
      </w:r>
    </w:p>
    <w:bookmarkEnd w:id="1"/>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pStyle w:val="24"/>
        <w:keepNext w:val="0"/>
        <w:keepLines w:val="0"/>
        <w:pageBreakBefore w:val="0"/>
        <w:widowControl/>
        <w:kinsoku/>
        <w:wordWrap/>
        <w:overflowPunct/>
        <w:topLinePunct w:val="0"/>
        <w:autoSpaceDE/>
        <w:autoSpaceDN/>
        <w:bidi w:val="0"/>
        <w:adjustRightInd/>
        <w:snapToGrid/>
        <w:spacing w:line="570" w:lineRule="exact"/>
        <w:ind w:firstLine="1065" w:firstLineChars="33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刘备寨乡</w:t>
      </w:r>
      <w:r>
        <w:rPr>
          <w:rFonts w:hint="eastAsia" w:ascii="方正仿宋简体" w:hAnsi="方正仿宋简体" w:eastAsia="方正仿宋简体" w:cs="方正仿宋简体"/>
          <w:sz w:val="32"/>
          <w:szCs w:val="32"/>
        </w:rPr>
        <w:t>人民政府绩效预算信息情况</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）负责政务信息的收集、整理、反馈工作；组织对市政府重要工作、重大决策的调查研究，及时向市政府领导提出建议，当好参谋。</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乡政府</w:t>
      </w:r>
      <w:r>
        <w:rPr>
          <w:rFonts w:hint="eastAsia" w:ascii="方正仿宋简体" w:hAnsi="方正仿宋简体" w:eastAsia="方正仿宋简体" w:cs="方正仿宋简体"/>
          <w:sz w:val="32"/>
          <w:szCs w:val="32"/>
        </w:rPr>
        <w:t>各种会议及活动的准备和服务工作以及议定事项的落实。</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乡政府</w:t>
      </w:r>
      <w:r>
        <w:rPr>
          <w:rFonts w:hint="eastAsia" w:ascii="方正仿宋简体" w:hAnsi="方正仿宋简体" w:eastAsia="方正仿宋简体" w:cs="方正仿宋简体"/>
          <w:sz w:val="32"/>
          <w:szCs w:val="32"/>
        </w:rPr>
        <w:t>机关的档案、印章、信件管理和机要保密工作。</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）围绕</w:t>
      </w:r>
      <w:r>
        <w:rPr>
          <w:rFonts w:hint="eastAsia" w:ascii="方正仿宋简体" w:hAnsi="方正仿宋简体" w:eastAsia="方正仿宋简体" w:cs="方正仿宋简体"/>
          <w:sz w:val="32"/>
          <w:szCs w:val="32"/>
          <w:lang w:eastAsia="zh-CN"/>
        </w:rPr>
        <w:t>乡政府</w:t>
      </w:r>
      <w:r>
        <w:rPr>
          <w:rFonts w:hint="eastAsia" w:ascii="方正仿宋简体" w:hAnsi="方正仿宋简体" w:eastAsia="方正仿宋简体" w:cs="方正仿宋简体"/>
          <w:sz w:val="32"/>
          <w:szCs w:val="32"/>
        </w:rPr>
        <w:t>中心工作和上级政府经济社会发展的重要问题，开展调查研究，为领导决策提供有针对性、实用性、可操作性和超前性的对策和建议，并对决策执行情况进行跟踪调查和反馈。</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）协调</w:t>
      </w:r>
      <w:r>
        <w:rPr>
          <w:rFonts w:hint="eastAsia" w:ascii="方正仿宋简体" w:hAnsi="方正仿宋简体" w:eastAsia="方正仿宋简体" w:cs="方正仿宋简体"/>
          <w:sz w:val="32"/>
          <w:szCs w:val="32"/>
          <w:lang w:eastAsia="zh-CN"/>
        </w:rPr>
        <w:t>乡政府</w:t>
      </w:r>
      <w:r>
        <w:rPr>
          <w:rFonts w:hint="eastAsia" w:ascii="方正仿宋简体" w:hAnsi="方正仿宋简体" w:eastAsia="方正仿宋简体" w:cs="方正仿宋简体"/>
          <w:sz w:val="32"/>
          <w:szCs w:val="32"/>
        </w:rPr>
        <w:t>各部门之间的关系。负责对上级重要文件、市政府会议精神传达、决定事项及市政府领导批示的执行落实情况。</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乡政府</w:t>
      </w:r>
      <w:r>
        <w:rPr>
          <w:rFonts w:hint="eastAsia" w:ascii="方正仿宋简体" w:hAnsi="方正仿宋简体" w:eastAsia="方正仿宋简体" w:cs="方正仿宋简体"/>
          <w:sz w:val="32"/>
          <w:szCs w:val="32"/>
        </w:rPr>
        <w:t>机关值班和处理群众来信、来访的接待及应急管理工作，处理突发事件、重大灾情和重大事故，并负责向上级报告。</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）负责行政审批上报服务工作。</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全乡</w:t>
      </w:r>
      <w:r>
        <w:rPr>
          <w:rFonts w:hint="eastAsia" w:ascii="方正仿宋简体" w:hAnsi="方正仿宋简体" w:eastAsia="方正仿宋简体" w:cs="方正仿宋简体"/>
          <w:sz w:val="32"/>
          <w:szCs w:val="32"/>
        </w:rPr>
        <w:t>农业和农村工作的综合、协调、指导。</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全乡</w:t>
      </w:r>
      <w:r>
        <w:rPr>
          <w:rFonts w:hint="eastAsia" w:ascii="方正仿宋简体" w:hAnsi="方正仿宋简体" w:eastAsia="方正仿宋简体" w:cs="方正仿宋简体"/>
          <w:sz w:val="32"/>
          <w:szCs w:val="32"/>
        </w:rPr>
        <w:t>小城镇建设、工业发展、环保、交通、拆迁等工作的综合、协调、督导。</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全乡</w:t>
      </w:r>
      <w:r>
        <w:rPr>
          <w:rFonts w:hint="eastAsia" w:ascii="方正仿宋简体" w:hAnsi="方正仿宋简体" w:eastAsia="方正仿宋简体" w:cs="方正仿宋简体"/>
          <w:sz w:val="32"/>
          <w:szCs w:val="32"/>
        </w:rPr>
        <w:t>财税、流通、市场建设、金融等工作的综合、协调、督导。</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）负责档案行政管理工作。</w:t>
      </w:r>
    </w:p>
    <w:p>
      <w:pPr>
        <w:pStyle w:val="24"/>
        <w:keepNext w:val="0"/>
        <w:keepLines w:val="0"/>
        <w:pageBreakBefore w:val="0"/>
        <w:widowControl/>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）做好市政府领导交办的其它工作任务。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pStyle w:val="25"/>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完成乡镇服务群众专项经费（</w:t>
      </w:r>
      <w:r>
        <w:rPr>
          <w:rFonts w:hint="eastAsia" w:ascii="方正仿宋简体" w:hAnsi="方正仿宋简体" w:eastAsia="方正仿宋简体" w:cs="方正仿宋简体"/>
          <w:sz w:val="32"/>
          <w:szCs w:val="32"/>
          <w:lang w:eastAsia="zh-CN"/>
        </w:rPr>
        <w:t>刘备寨乡</w:t>
      </w:r>
      <w:r>
        <w:rPr>
          <w:rFonts w:hint="eastAsia" w:ascii="方正仿宋简体" w:hAnsi="方正仿宋简体" w:eastAsia="方正仿宋简体" w:cs="方正仿宋简体"/>
          <w:sz w:val="32"/>
          <w:szCs w:val="32"/>
        </w:rPr>
        <w:t xml:space="preserve">）项目，主要用于乡镇服务群众工作。   </w:t>
      </w:r>
    </w:p>
    <w:p>
      <w:pPr>
        <w:pStyle w:val="25"/>
        <w:keepNext w:val="0"/>
        <w:keepLines w:val="0"/>
        <w:pageBreakBefore w:val="0"/>
        <w:widowControl/>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主干道等区域配齐环卫设施，推进户分类、组收集、村运转、乡镇处理垃圾集中收集，防止病毒蔓延，保障环境质量提升，改善我</w:t>
      </w:r>
      <w:r>
        <w:rPr>
          <w:rFonts w:hint="eastAsia" w:ascii="方正仿宋简体" w:hAnsi="方正仿宋简体" w:eastAsia="方正仿宋简体" w:cs="方正仿宋简体"/>
          <w:sz w:val="32"/>
          <w:szCs w:val="32"/>
          <w:lang w:eastAsia="zh-CN"/>
        </w:rPr>
        <w:t>乡19</w:t>
      </w:r>
      <w:r>
        <w:rPr>
          <w:rFonts w:hint="eastAsia" w:ascii="方正仿宋简体" w:hAnsi="方正仿宋简体" w:eastAsia="方正仿宋简体" w:cs="方正仿宋简体"/>
          <w:sz w:val="32"/>
          <w:szCs w:val="32"/>
        </w:rPr>
        <w:t>个村生态环境。</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绩效指标：生活垃圾无害化处理及受益群众满意度的提升率≥95%</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）规范财务资产管理。完善财务管理制度，严格审批程序，加强固定资产登记、使用和报废处置管理工作，做到支出合理，物尽其用。</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sectPr>
          <w:footerReference r:id="rId13" w:type="default"/>
          <w:pgSz w:w="16840" w:h="11900" w:orient="landscape"/>
          <w:pgMar w:top="1304" w:right="1984" w:bottom="1304" w:left="1134" w:header="720" w:footer="720" w:gutter="0"/>
          <w:pgNumType w:fmt="decimal"/>
          <w:cols w:space="720" w:num="1"/>
        </w:sect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firstLineChars="200"/>
        <w:jc w:val="left"/>
        <w:outlineLvl w:val="3"/>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服务群众专项经费绩效目标表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5"/>
        <w:gridCol w:w="1437"/>
        <w:gridCol w:w="1460"/>
        <w:gridCol w:w="1990"/>
        <w:gridCol w:w="1260"/>
        <w:gridCol w:w="1995"/>
        <w:gridCol w:w="21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497" w:type="dxa"/>
            <w:gridSpan w:val="6"/>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641遵化市刘备寨乡人民政府本级</w:t>
            </w:r>
          </w:p>
        </w:tc>
        <w:tc>
          <w:tcPr>
            <w:tcW w:w="2122" w:type="dxa"/>
            <w:tcBorders>
              <w:top w:val="single" w:color="FFFFFF" w:sz="6" w:space="0"/>
              <w:left w:val="single" w:color="FFFFFF" w:sz="6" w:space="0"/>
              <w:right w:val="single" w:color="FFFFFF" w:sz="6" w:space="0"/>
            </w:tcBorders>
            <w:noWrap w:val="0"/>
            <w:vAlign w:val="center"/>
          </w:tcPr>
          <w:p>
            <w:pPr>
              <w:pStyle w:val="19"/>
              <w:jc w:val="center"/>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355"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项目编码</w:t>
            </w:r>
          </w:p>
        </w:tc>
        <w:tc>
          <w:tcPr>
            <w:tcW w:w="2897" w:type="dxa"/>
            <w:gridSpan w:val="2"/>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13028122P00239110001XXX</w:t>
            </w:r>
          </w:p>
        </w:tc>
        <w:tc>
          <w:tcPr>
            <w:tcW w:w="1990"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项目名称</w:t>
            </w:r>
          </w:p>
        </w:tc>
        <w:tc>
          <w:tcPr>
            <w:tcW w:w="5377" w:type="dxa"/>
            <w:gridSpan w:val="3"/>
            <w:noWrap w:val="0"/>
            <w:vAlign w:val="center"/>
          </w:tcPr>
          <w:p>
            <w:pPr>
              <w:pStyle w:val="22"/>
              <w:jc w:val="center"/>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355" w:type="dxa"/>
            <w:vMerge w:val="restart"/>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预算规模及资金用途</w:t>
            </w:r>
          </w:p>
        </w:tc>
        <w:tc>
          <w:tcPr>
            <w:tcW w:w="1437"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预算数</w:t>
            </w:r>
          </w:p>
        </w:tc>
        <w:tc>
          <w:tcPr>
            <w:tcW w:w="146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95.00</w:t>
            </w:r>
          </w:p>
        </w:tc>
        <w:tc>
          <w:tcPr>
            <w:tcW w:w="1990"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其中：财政资金</w:t>
            </w:r>
          </w:p>
        </w:tc>
        <w:tc>
          <w:tcPr>
            <w:tcW w:w="126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95.00</w:t>
            </w:r>
          </w:p>
        </w:tc>
        <w:tc>
          <w:tcPr>
            <w:tcW w:w="1995"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其他资金</w:t>
            </w:r>
          </w:p>
        </w:tc>
        <w:tc>
          <w:tcPr>
            <w:tcW w:w="2122"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exact"/>
          <w:jc w:val="center"/>
        </w:trPr>
        <w:tc>
          <w:tcPr>
            <w:tcW w:w="3355" w:type="dxa"/>
            <w:vMerge w:val="continue"/>
            <w:noWrap w:val="0"/>
            <w:vAlign w:val="top"/>
          </w:tcPr>
          <w:p>
            <w:pPr>
              <w:rPr>
                <w:rFonts w:hint="eastAsia" w:ascii="方正仿宋简体" w:hAnsi="方正仿宋简体" w:eastAsia="方正仿宋简体" w:cs="方正仿宋简体"/>
                <w:b w:val="0"/>
                <w:bCs/>
                <w:color w:val="auto"/>
                <w:sz w:val="24"/>
                <w:szCs w:val="24"/>
              </w:rPr>
            </w:pPr>
          </w:p>
        </w:tc>
        <w:tc>
          <w:tcPr>
            <w:tcW w:w="10264" w:type="dxa"/>
            <w:gridSpan w:val="6"/>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保障各村集体环境达标</w:t>
            </w:r>
          </w:p>
          <w:p>
            <w:pPr>
              <w:pStyle w:val="22"/>
              <w:rPr>
                <w:rFonts w:hint="eastAsia" w:ascii="方正仿宋简体" w:hAnsi="方正仿宋简体" w:eastAsia="方正仿宋简体" w:cs="方正仿宋简体"/>
                <w:b w:val="0"/>
                <w:bCs/>
                <w:color w:val="auto"/>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355" w:type="dxa"/>
            <w:vMerge w:val="restart"/>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资金支出计划（%）</w:t>
            </w:r>
          </w:p>
        </w:tc>
        <w:tc>
          <w:tcPr>
            <w:tcW w:w="2897" w:type="dxa"/>
            <w:gridSpan w:val="2"/>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3月底</w:t>
            </w:r>
          </w:p>
        </w:tc>
        <w:tc>
          <w:tcPr>
            <w:tcW w:w="1990"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6月底</w:t>
            </w:r>
          </w:p>
        </w:tc>
        <w:tc>
          <w:tcPr>
            <w:tcW w:w="1260"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lang w:val="en-US" w:eastAsia="zh-CN"/>
              </w:rPr>
              <w:t>9</w:t>
            </w:r>
            <w:r>
              <w:rPr>
                <w:rFonts w:hint="eastAsia" w:ascii="方正仿宋简体" w:hAnsi="方正仿宋简体" w:eastAsia="方正仿宋简体" w:cs="方正仿宋简体"/>
                <w:b w:val="0"/>
                <w:bCs/>
                <w:color w:val="auto"/>
                <w:sz w:val="24"/>
                <w:szCs w:val="24"/>
              </w:rPr>
              <w:t>月底</w:t>
            </w:r>
          </w:p>
        </w:tc>
        <w:tc>
          <w:tcPr>
            <w:tcW w:w="4117" w:type="dxa"/>
            <w:gridSpan w:val="2"/>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355" w:type="dxa"/>
            <w:vMerge w:val="continue"/>
            <w:noWrap w:val="0"/>
            <w:vAlign w:val="top"/>
          </w:tcPr>
          <w:p>
            <w:pPr>
              <w:rPr>
                <w:rFonts w:hint="eastAsia" w:ascii="方正仿宋简体" w:hAnsi="方正仿宋简体" w:eastAsia="方正仿宋简体" w:cs="方正仿宋简体"/>
                <w:b w:val="0"/>
                <w:bCs/>
                <w:color w:val="auto"/>
                <w:sz w:val="24"/>
                <w:szCs w:val="24"/>
              </w:rPr>
            </w:pPr>
          </w:p>
        </w:tc>
        <w:tc>
          <w:tcPr>
            <w:tcW w:w="2897" w:type="dxa"/>
            <w:gridSpan w:val="2"/>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30%</w:t>
            </w:r>
          </w:p>
        </w:tc>
        <w:tc>
          <w:tcPr>
            <w:tcW w:w="1990" w:type="dxa"/>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60%</w:t>
            </w:r>
          </w:p>
        </w:tc>
        <w:tc>
          <w:tcPr>
            <w:tcW w:w="1260" w:type="dxa"/>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90%</w:t>
            </w:r>
          </w:p>
        </w:tc>
        <w:tc>
          <w:tcPr>
            <w:tcW w:w="4117" w:type="dxa"/>
            <w:gridSpan w:val="2"/>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exact"/>
          <w:jc w:val="center"/>
        </w:trPr>
        <w:tc>
          <w:tcPr>
            <w:tcW w:w="3355"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绩效目标</w:t>
            </w:r>
          </w:p>
        </w:tc>
        <w:tc>
          <w:tcPr>
            <w:tcW w:w="10264" w:type="dxa"/>
            <w:gridSpan w:val="6"/>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1.保障各村集体环境达标</w:t>
            </w:r>
          </w:p>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2.防止病毒蔓延，保障环境质量提升</w:t>
            </w:r>
          </w:p>
          <w:p>
            <w:pPr>
              <w:pStyle w:val="22"/>
              <w:rPr>
                <w:rFonts w:hint="eastAsia" w:ascii="方正仿宋简体" w:hAnsi="方正仿宋简体" w:eastAsia="方正仿宋简体" w:cs="方正仿宋简体"/>
                <w:b w:val="0"/>
                <w:bCs/>
                <w:color w:val="auto"/>
                <w:sz w:val="24"/>
                <w:szCs w:val="24"/>
              </w:rPr>
            </w:pPr>
          </w:p>
        </w:tc>
      </w:tr>
    </w:tbl>
    <w:p>
      <w:pPr>
        <w:spacing w:line="2" w:lineRule="exact"/>
        <w:jc w:val="center"/>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2268"/>
        <w:gridCol w:w="2268"/>
        <w:gridCol w:w="2386"/>
        <w:gridCol w:w="2150"/>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268"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一级指标</w:t>
            </w:r>
          </w:p>
        </w:tc>
        <w:tc>
          <w:tcPr>
            <w:tcW w:w="2268"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二级指标</w:t>
            </w:r>
          </w:p>
        </w:tc>
        <w:tc>
          <w:tcPr>
            <w:tcW w:w="2268"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三级指标</w:t>
            </w:r>
          </w:p>
        </w:tc>
        <w:tc>
          <w:tcPr>
            <w:tcW w:w="2386"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绩效指标描述</w:t>
            </w:r>
          </w:p>
        </w:tc>
        <w:tc>
          <w:tcPr>
            <w:tcW w:w="2150"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指标值</w:t>
            </w:r>
          </w:p>
        </w:tc>
        <w:tc>
          <w:tcPr>
            <w:tcW w:w="2268" w:type="dxa"/>
            <w:noWrap w:val="0"/>
            <w:vAlign w:val="center"/>
          </w:tcPr>
          <w:p>
            <w:pPr>
              <w:pStyle w:val="18"/>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restart"/>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产出指标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数量指标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村人居环境整治个数</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辖区19个村</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19个</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质量指标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提高环境卫生状况</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环境卫生质量得到提升</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时效指标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设施正常使用率</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垃圾桶正常使用</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成本指标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资金成本</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资金成本</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100%</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restart"/>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效益指标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经济效益指标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经济影响力</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带动经济发展</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社会效益指标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生活垃圾处理</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垃圾收集及运输</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生态效益指标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生态环境质量改善</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生态环境质量改善</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b w:val="0"/>
                <w:bCs/>
                <w:color w:val="auto"/>
                <w:sz w:val="24"/>
                <w:szCs w:val="24"/>
              </w:rPr>
            </w:pP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可持续影响指标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人居环境整体水平</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人居生活环境得到改善</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exact"/>
          <w:jc w:val="center"/>
        </w:trPr>
        <w:tc>
          <w:tcPr>
            <w:tcW w:w="2268" w:type="dxa"/>
            <w:noWrap w:val="0"/>
            <w:vAlign w:val="center"/>
          </w:tcPr>
          <w:p>
            <w:pPr>
              <w:pStyle w:val="23"/>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满意度指标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服务对象满意度指标</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服务对象满意度</w:t>
            </w:r>
          </w:p>
        </w:tc>
        <w:tc>
          <w:tcPr>
            <w:tcW w:w="2386"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服务对象满意度提升</w:t>
            </w:r>
          </w:p>
        </w:tc>
        <w:tc>
          <w:tcPr>
            <w:tcW w:w="2150"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≥95%</w:t>
            </w:r>
          </w:p>
        </w:tc>
        <w:tc>
          <w:tcPr>
            <w:tcW w:w="2268" w:type="dxa"/>
            <w:noWrap w:val="0"/>
            <w:vAlign w:val="center"/>
          </w:tcPr>
          <w:p>
            <w:pPr>
              <w:pStyle w:val="22"/>
              <w:rPr>
                <w:rFonts w:hint="eastAsia" w:ascii="方正仿宋简体" w:hAnsi="方正仿宋简体" w:eastAsia="方正仿宋简体" w:cs="方正仿宋简体"/>
                <w:b w:val="0"/>
                <w:bCs/>
                <w:color w:val="auto"/>
                <w:sz w:val="24"/>
                <w:szCs w:val="24"/>
              </w:rPr>
            </w:pPr>
            <w:r>
              <w:rPr>
                <w:rFonts w:hint="eastAsia" w:ascii="方正仿宋简体" w:hAnsi="方正仿宋简体" w:eastAsia="方正仿宋简体" w:cs="方正仿宋简体"/>
                <w:b w:val="0"/>
                <w:bCs/>
                <w:color w:val="auto"/>
                <w:sz w:val="24"/>
                <w:szCs w:val="24"/>
              </w:rPr>
              <w:t>招投标服务合同</w:t>
            </w:r>
          </w:p>
        </w:tc>
      </w:tr>
    </w:tbl>
    <w:p>
      <w:pPr>
        <w:tabs>
          <w:tab w:val="left" w:pos="1188"/>
        </w:tabs>
        <w:jc w:val="left"/>
        <w:rPr>
          <w:rFonts w:hint="eastAsia" w:ascii="方正仿宋简体" w:hAnsi="方正仿宋简体" w:eastAsia="方正仿宋简体" w:cs="方正仿宋简体"/>
          <w:b w:val="0"/>
          <w:bCs/>
          <w:color w:val="auto"/>
          <w:sz w:val="32"/>
          <w:szCs w:val="32"/>
        </w:rPr>
        <w:sectPr>
          <w:footerReference r:id="rId14" w:type="default"/>
          <w:pgSz w:w="16839" w:h="11907" w:orient="landscape"/>
          <w:pgMar w:top="1134" w:right="1134" w:bottom="1134" w:left="1134" w:header="851" w:footer="992" w:gutter="0"/>
          <w:pgNumType w:fmt="decimal"/>
          <w:cols w:space="720" w:num="1"/>
          <w:docGrid w:type="lines" w:linePitch="312" w:charSpace="0"/>
        </w:sectPr>
      </w:pPr>
    </w:p>
    <w:p>
      <w:pPr>
        <w:keepNext w:val="0"/>
        <w:keepLines w:val="0"/>
        <w:pageBreakBefore w:val="0"/>
        <w:kinsoku/>
        <w:wordWrap/>
        <w:overflowPunct/>
        <w:topLinePunct w:val="0"/>
        <w:bidi w:val="0"/>
        <w:spacing w:line="570" w:lineRule="exact"/>
        <w:ind w:firstLine="640" w:firstLineChars="200"/>
        <w:textAlignment w:val="auto"/>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keepNext w:val="0"/>
        <w:keepLines w:val="0"/>
        <w:pageBreakBefore w:val="0"/>
        <w:widowControl w:val="0"/>
        <w:tabs>
          <w:tab w:val="left" w:pos="4338"/>
        </w:tabs>
        <w:kinsoku/>
        <w:wordWrap/>
        <w:overflowPunct/>
        <w:topLinePunct w:val="0"/>
        <w:autoSpaceDE/>
        <w:autoSpaceDN/>
        <w:bidi w:val="0"/>
        <w:adjustRightInd/>
        <w:snapToGrid/>
        <w:spacing w:line="570" w:lineRule="exact"/>
        <w:ind w:firstLine="635"/>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2022年，遵化市刘备寨乡人民政府安排政府采购预算0.00万元。</w:t>
      </w:r>
    </w:p>
    <w:p>
      <w:pPr>
        <w:pStyle w:val="2"/>
        <w:keepNext w:val="0"/>
        <w:keepLines w:val="0"/>
        <w:pageBreakBefore w:val="0"/>
        <w:kinsoku/>
        <w:wordWrap/>
        <w:overflowPunct/>
        <w:topLinePunct w:val="0"/>
        <w:bidi w:val="0"/>
        <w:spacing w:line="570" w:lineRule="exact"/>
        <w:ind w:firstLine="560"/>
        <w:jc w:val="center"/>
        <w:textAlignment w:val="auto"/>
        <w:rPr>
          <w:rFonts w:hint="eastAsia" w:ascii="方正仿宋简体" w:hAnsi="方正仿宋简体" w:eastAsia="方正仿宋简体" w:cs="方正仿宋简体"/>
          <w:b w:val="0"/>
          <w:bCs/>
          <w:color w:val="auto"/>
          <w:sz w:val="32"/>
          <w:szCs w:val="32"/>
        </w:rPr>
      </w:pPr>
      <w:r>
        <w:rPr>
          <w:rFonts w:hint="eastAsia" w:ascii="方正楷体" w:hAnsi="方正楷体" w:eastAsia="方正楷体" w:cs="方正楷体"/>
          <w:b w:val="0"/>
          <w:bCs/>
          <w:color w:val="auto"/>
          <w:sz w:val="32"/>
          <w:szCs w:val="32"/>
        </w:rPr>
        <w:t>部门政府采购预算</w:t>
      </w:r>
    </w:p>
    <w:tbl>
      <w:tblPr>
        <w:tblStyle w:val="10"/>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641遵化市刘备寨乡人民政府</w:t>
            </w:r>
          </w:p>
        </w:tc>
        <w:tc>
          <w:tcPr>
            <w:tcW w:w="732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政府采购项目来源</w:t>
            </w:r>
          </w:p>
        </w:tc>
        <w:tc>
          <w:tcPr>
            <w:tcW w:w="1110" w:type="dxa"/>
            <w:vMerge w:val="restart"/>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采购物品名称</w:t>
            </w:r>
          </w:p>
        </w:tc>
        <w:tc>
          <w:tcPr>
            <w:tcW w:w="1023" w:type="dxa"/>
            <w:vMerge w:val="restart"/>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政府采购目录序号</w:t>
            </w:r>
          </w:p>
        </w:tc>
        <w:tc>
          <w:tcPr>
            <w:tcW w:w="709" w:type="dxa"/>
            <w:vMerge w:val="restart"/>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计量  单位</w:t>
            </w:r>
          </w:p>
        </w:tc>
        <w:tc>
          <w:tcPr>
            <w:tcW w:w="668" w:type="dxa"/>
            <w:vMerge w:val="restart"/>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数量</w:t>
            </w:r>
          </w:p>
        </w:tc>
        <w:tc>
          <w:tcPr>
            <w:tcW w:w="630" w:type="dxa"/>
            <w:vMerge w:val="restart"/>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单价</w:t>
            </w:r>
          </w:p>
        </w:tc>
        <w:tc>
          <w:tcPr>
            <w:tcW w:w="7320" w:type="dxa"/>
            <w:gridSpan w:val="6"/>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项目名称</w:t>
            </w:r>
          </w:p>
        </w:tc>
        <w:tc>
          <w:tcPr>
            <w:tcW w:w="790"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预算资金</w:t>
            </w:r>
          </w:p>
        </w:tc>
        <w:tc>
          <w:tcPr>
            <w:tcW w:w="1110" w:type="dxa"/>
            <w:vMerge w:val="continue"/>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1023" w:type="dxa"/>
            <w:vMerge w:val="continue"/>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709" w:type="dxa"/>
            <w:vMerge w:val="continue"/>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668" w:type="dxa"/>
            <w:vMerge w:val="continue"/>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630" w:type="dxa"/>
            <w:vMerge w:val="continue"/>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1650"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合计</w:t>
            </w:r>
          </w:p>
        </w:tc>
        <w:tc>
          <w:tcPr>
            <w:tcW w:w="1134"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一般公共预算拨款</w:t>
            </w:r>
          </w:p>
        </w:tc>
        <w:tc>
          <w:tcPr>
            <w:tcW w:w="1134"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基金预算拨款</w:t>
            </w:r>
          </w:p>
        </w:tc>
        <w:tc>
          <w:tcPr>
            <w:tcW w:w="1134"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国有资本经营预算拨款</w:t>
            </w:r>
          </w:p>
        </w:tc>
        <w:tc>
          <w:tcPr>
            <w:tcW w:w="1134"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财政专户核拨</w:t>
            </w:r>
          </w:p>
        </w:tc>
        <w:tc>
          <w:tcPr>
            <w:tcW w:w="1134"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8" w:hRule="atLeast"/>
        </w:trPr>
        <w:tc>
          <w:tcPr>
            <w:tcW w:w="1055"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p>
        </w:tc>
        <w:tc>
          <w:tcPr>
            <w:tcW w:w="790"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10" w:type="dxa"/>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1023" w:type="dxa"/>
            <w:noWrap w:val="0"/>
            <w:vAlign w:val="center"/>
          </w:tcPr>
          <w:p>
            <w:pPr>
              <w:keepNext w:val="0"/>
              <w:keepLines w:val="0"/>
              <w:pageBreakBefore w:val="0"/>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sz w:val="32"/>
                <w:szCs w:val="32"/>
              </w:rPr>
            </w:pPr>
          </w:p>
        </w:tc>
        <w:tc>
          <w:tcPr>
            <w:tcW w:w="709" w:type="dxa"/>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p>
        </w:tc>
        <w:tc>
          <w:tcPr>
            <w:tcW w:w="668"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630"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650"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34"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34"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34"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34"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c>
          <w:tcPr>
            <w:tcW w:w="1134" w:type="dxa"/>
            <w:noWrap w:val="0"/>
            <w:vAlign w:val="center"/>
          </w:tcPr>
          <w:p>
            <w:pPr>
              <w:keepNext w:val="0"/>
              <w:keepLines w:val="0"/>
              <w:pageBreakBefore w:val="0"/>
              <w:kinsoku/>
              <w:wordWrap/>
              <w:overflowPunct/>
              <w:topLinePunct w:val="0"/>
              <w:bidi w:val="0"/>
              <w:spacing w:line="570" w:lineRule="exact"/>
              <w:jc w:val="right"/>
              <w:textAlignment w:val="auto"/>
              <w:rPr>
                <w:rFonts w:hint="eastAsia" w:ascii="方正仿宋简体" w:hAnsi="方正仿宋简体" w:eastAsia="方正仿宋简体" w:cs="方正仿宋简体"/>
                <w:b w:val="0"/>
                <w:bCs/>
                <w:color w:val="auto"/>
                <w:sz w:val="32"/>
                <w:szCs w:val="32"/>
              </w:rPr>
            </w:pPr>
          </w:p>
        </w:tc>
      </w:tr>
    </w:tbl>
    <w:p>
      <w:pPr>
        <w:pStyle w:val="2"/>
        <w:keepNext w:val="0"/>
        <w:keepLines w:val="0"/>
        <w:pageBreakBefore w:val="0"/>
        <w:kinsoku/>
        <w:wordWrap/>
        <w:overflowPunct/>
        <w:topLinePunct w:val="0"/>
        <w:bidi w:val="0"/>
        <w:spacing w:line="570" w:lineRule="exact"/>
        <w:ind w:firstLine="420"/>
        <w:textAlignment w:val="auto"/>
        <w:rPr>
          <w:rFonts w:hint="eastAsia" w:ascii="方正仿宋简体" w:hAnsi="方正仿宋简体" w:eastAsia="方正仿宋简体" w:cs="方正仿宋简体"/>
          <w:b w:val="0"/>
          <w:bCs/>
          <w:color w:val="auto"/>
          <w:sz w:val="32"/>
          <w:szCs w:val="32"/>
        </w:rPr>
      </w:pPr>
    </w:p>
    <w:p>
      <w:pPr>
        <w:keepNext w:val="0"/>
        <w:keepLines w:val="0"/>
        <w:pageBreakBefore w:val="0"/>
        <w:kinsoku/>
        <w:wordWrap/>
        <w:overflowPunct/>
        <w:topLinePunct w:val="0"/>
        <w:bidi w:val="0"/>
        <w:spacing w:line="570" w:lineRule="exact"/>
        <w:ind w:firstLine="1280" w:firstLineChars="4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注：无政府采购预算</w:t>
      </w:r>
      <w:r>
        <w:rPr>
          <w:rFonts w:hint="eastAsia" w:ascii="方正仿宋简体" w:hAnsi="方正仿宋简体" w:eastAsia="方正仿宋简体" w:cs="方正仿宋简体"/>
          <w:b w:val="0"/>
          <w:bCs/>
          <w:color w:val="auto"/>
          <w:sz w:val="32"/>
          <w:szCs w:val="32"/>
          <w:lang w:val="en-US" w:eastAsia="zh-CN"/>
        </w:rPr>
        <w:t>财政拨款预算</w:t>
      </w:r>
      <w:r>
        <w:rPr>
          <w:rFonts w:hint="eastAsia" w:ascii="方正仿宋简体" w:hAnsi="方正仿宋简体" w:eastAsia="方正仿宋简体" w:cs="方正仿宋简体"/>
          <w:b w:val="0"/>
          <w:bCs/>
          <w:color w:val="auto"/>
          <w:sz w:val="32"/>
          <w:szCs w:val="32"/>
        </w:rPr>
        <w:t xml:space="preserve">，空表列示。 </w:t>
      </w:r>
    </w:p>
    <w:p>
      <w:pPr>
        <w:keepNext w:val="0"/>
        <w:keepLines w:val="0"/>
        <w:pageBreakBefore w:val="0"/>
        <w:tabs>
          <w:tab w:val="left" w:pos="7035"/>
        </w:tabs>
        <w:kinsoku/>
        <w:wordWrap/>
        <w:overflowPunct/>
        <w:topLinePunct w:val="0"/>
        <w:autoSpaceDE w:val="0"/>
        <w:autoSpaceDN w:val="0"/>
        <w:bidi w:val="0"/>
        <w:adjustRightInd w:val="0"/>
        <w:spacing w:line="570" w:lineRule="exact"/>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 xml:space="preserve">      </w:t>
      </w:r>
    </w:p>
    <w:p>
      <w:pPr>
        <w:keepNext w:val="0"/>
        <w:keepLines w:val="0"/>
        <w:pageBreakBefore w:val="0"/>
        <w:tabs>
          <w:tab w:val="left" w:pos="7035"/>
        </w:tabs>
        <w:kinsoku/>
        <w:wordWrap/>
        <w:overflowPunct/>
        <w:topLinePunct w:val="0"/>
        <w:autoSpaceDE w:val="0"/>
        <w:autoSpaceDN w:val="0"/>
        <w:bidi w:val="0"/>
        <w:adjustRightInd w:val="0"/>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sectPr>
          <w:footerReference r:id="rId15" w:type="default"/>
          <w:pgSz w:w="16839" w:h="11907" w:orient="landscape"/>
          <w:pgMar w:top="1361" w:right="1020" w:bottom="1361"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pacing w:line="570" w:lineRule="exact"/>
        <w:ind w:firstLine="640" w:firstLineChars="200"/>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七、国有资产信息情况</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 xml:space="preserve">    我乡上年末固定资产金额为207.14万元（详见下表）。本年度拟购置固定资产总额为0.00万元。</w:t>
      </w:r>
    </w:p>
    <w:tbl>
      <w:tblPr>
        <w:tblStyle w:val="10"/>
        <w:tblpPr w:leftFromText="180" w:rightFromText="180" w:vertAnchor="text" w:horzAnchor="page" w:tblpX="1987" w:tblpY="611"/>
        <w:tblOverlap w:val="never"/>
        <w:tblW w:w="0" w:type="auto"/>
        <w:tblInd w:w="0" w:type="dxa"/>
        <w:tblLayout w:type="fixed"/>
        <w:tblCellMar>
          <w:top w:w="0" w:type="dxa"/>
          <w:left w:w="108" w:type="dxa"/>
          <w:bottom w:w="0" w:type="dxa"/>
          <w:right w:w="108" w:type="dxa"/>
        </w:tblCellMar>
      </w:tblPr>
      <w:tblGrid>
        <w:gridCol w:w="5213"/>
        <w:gridCol w:w="3540"/>
        <w:gridCol w:w="4528"/>
      </w:tblGrid>
      <w:tr>
        <w:tblPrEx>
          <w:tblCellMar>
            <w:top w:w="0" w:type="dxa"/>
            <w:left w:w="108" w:type="dxa"/>
            <w:bottom w:w="0" w:type="dxa"/>
            <w:right w:w="108" w:type="dxa"/>
          </w:tblCellMar>
        </w:tblPrEx>
        <w:trPr>
          <w:trHeight w:val="643" w:hRule="atLeast"/>
        </w:trPr>
        <w:tc>
          <w:tcPr>
            <w:tcW w:w="13281" w:type="dxa"/>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ind w:firstLine="320" w:firstLineChars="100"/>
              <w:jc w:val="center"/>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固定资产占用情况表</w:t>
            </w:r>
          </w:p>
        </w:tc>
      </w:tr>
      <w:tr>
        <w:tblPrEx>
          <w:tblCellMar>
            <w:top w:w="0" w:type="dxa"/>
            <w:left w:w="108" w:type="dxa"/>
            <w:bottom w:w="0" w:type="dxa"/>
            <w:right w:w="108" w:type="dxa"/>
          </w:tblCellMar>
        </w:tblPrEx>
        <w:trPr>
          <w:trHeight w:val="1286" w:hRule="atLeast"/>
        </w:trPr>
        <w:tc>
          <w:tcPr>
            <w:tcW w:w="8753"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遵化市刘备寨乡人民政府</w:t>
            </w:r>
          </w:p>
        </w:tc>
        <w:tc>
          <w:tcPr>
            <w:tcW w:w="4528"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 xml:space="preserve">截止时间：2021年12月31日  </w:t>
            </w:r>
          </w:p>
        </w:tc>
      </w:tr>
      <w:tr>
        <w:tblPrEx>
          <w:tblCellMar>
            <w:top w:w="0" w:type="dxa"/>
            <w:left w:w="108" w:type="dxa"/>
            <w:bottom w:w="0" w:type="dxa"/>
            <w:right w:w="108" w:type="dxa"/>
          </w:tblCellMar>
        </w:tblPrEx>
        <w:trPr>
          <w:trHeight w:val="584" w:hRule="exact"/>
        </w:trPr>
        <w:tc>
          <w:tcPr>
            <w:tcW w:w="5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项   目</w:t>
            </w:r>
          </w:p>
        </w:tc>
        <w:tc>
          <w:tcPr>
            <w:tcW w:w="35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数量</w:t>
            </w:r>
          </w:p>
        </w:tc>
        <w:tc>
          <w:tcPr>
            <w:tcW w:w="45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价值（金额单位：万元）</w:t>
            </w:r>
          </w:p>
        </w:tc>
      </w:tr>
      <w:tr>
        <w:tblPrEx>
          <w:tblCellMar>
            <w:top w:w="0" w:type="dxa"/>
            <w:left w:w="108" w:type="dxa"/>
            <w:bottom w:w="0" w:type="dxa"/>
            <w:right w:w="108" w:type="dxa"/>
          </w:tblCellMar>
        </w:tblPrEx>
        <w:trPr>
          <w:trHeight w:val="569"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资产总额</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207.14</w:t>
            </w:r>
          </w:p>
        </w:tc>
      </w:tr>
      <w:tr>
        <w:tblPrEx>
          <w:tblCellMar>
            <w:top w:w="0" w:type="dxa"/>
            <w:left w:w="108" w:type="dxa"/>
            <w:bottom w:w="0" w:type="dxa"/>
            <w:right w:w="108" w:type="dxa"/>
          </w:tblCellMar>
        </w:tblPrEx>
        <w:trPr>
          <w:trHeight w:val="584"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1、房屋（平方米）</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1426</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85.6</w:t>
            </w:r>
          </w:p>
        </w:tc>
      </w:tr>
      <w:tr>
        <w:tblPrEx>
          <w:tblCellMar>
            <w:top w:w="0" w:type="dxa"/>
            <w:left w:w="108" w:type="dxa"/>
            <w:bottom w:w="0" w:type="dxa"/>
            <w:right w:w="108" w:type="dxa"/>
          </w:tblCellMar>
        </w:tblPrEx>
        <w:trPr>
          <w:trHeight w:val="525"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 xml:space="preserve">   其中：办公用房（平方米）</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1426</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85.6</w:t>
            </w:r>
          </w:p>
        </w:tc>
      </w:tr>
      <w:tr>
        <w:tblPrEx>
          <w:tblCellMar>
            <w:top w:w="0" w:type="dxa"/>
            <w:left w:w="108" w:type="dxa"/>
            <w:bottom w:w="0" w:type="dxa"/>
            <w:right w:w="108" w:type="dxa"/>
          </w:tblCellMar>
        </w:tblPrEx>
        <w:trPr>
          <w:trHeight w:val="584"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2、车辆（台、辆）</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7.0</w:t>
            </w:r>
          </w:p>
        </w:tc>
      </w:tr>
      <w:tr>
        <w:tblPrEx>
          <w:tblCellMar>
            <w:top w:w="0" w:type="dxa"/>
            <w:left w:w="108" w:type="dxa"/>
            <w:bottom w:w="0" w:type="dxa"/>
            <w:right w:w="108" w:type="dxa"/>
          </w:tblCellMar>
        </w:tblPrEx>
        <w:trPr>
          <w:trHeight w:val="584"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3、单价在20万元以上的设备</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0　</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0</w:t>
            </w:r>
          </w:p>
        </w:tc>
      </w:tr>
      <w:tr>
        <w:tblPrEx>
          <w:tblCellMar>
            <w:top w:w="0" w:type="dxa"/>
            <w:left w:w="108" w:type="dxa"/>
            <w:bottom w:w="0" w:type="dxa"/>
            <w:right w:w="108" w:type="dxa"/>
          </w:tblCellMar>
        </w:tblPrEx>
        <w:trPr>
          <w:trHeight w:val="503" w:hRule="exact"/>
        </w:trPr>
        <w:tc>
          <w:tcPr>
            <w:tcW w:w="52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方正仿宋简体" w:eastAsia="方正仿宋简体" w:cs="方正仿宋简体"/>
                <w:b w:val="0"/>
                <w:bCs/>
                <w:color w:val="auto"/>
                <w:kern w:val="0"/>
                <w:sz w:val="32"/>
                <w:szCs w:val="32"/>
              </w:rPr>
            </w:pPr>
            <w:r>
              <w:rPr>
                <w:rFonts w:hint="eastAsia" w:ascii="方正仿宋简体" w:hAnsi="方正仿宋简体" w:eastAsia="方正仿宋简体" w:cs="方正仿宋简体"/>
                <w:b w:val="0"/>
                <w:bCs/>
                <w:color w:val="auto"/>
                <w:kern w:val="0"/>
                <w:sz w:val="32"/>
                <w:szCs w:val="32"/>
              </w:rPr>
              <w:t>4、其他固定资产</w:t>
            </w:r>
          </w:p>
        </w:tc>
        <w:tc>
          <w:tcPr>
            <w:tcW w:w="3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420</w:t>
            </w:r>
          </w:p>
        </w:tc>
        <w:tc>
          <w:tcPr>
            <w:tcW w:w="45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114.54</w:t>
            </w:r>
          </w:p>
        </w:tc>
      </w:tr>
    </w:tbl>
    <w:p>
      <w:pPr>
        <w:keepNext w:val="0"/>
        <w:keepLines w:val="0"/>
        <w:pageBreakBefore w:val="0"/>
        <w:kinsoku/>
        <w:wordWrap/>
        <w:overflowPunct/>
        <w:topLinePunct w:val="0"/>
        <w:bidi w:val="0"/>
        <w:spacing w:line="570" w:lineRule="exact"/>
        <w:textAlignment w:val="auto"/>
        <w:rPr>
          <w:rFonts w:hint="eastAsia" w:ascii="方正仿宋简体" w:hAnsi="方正仿宋简体" w:eastAsia="方正仿宋简体" w:cs="方正仿宋简体"/>
          <w:b w:val="0"/>
          <w:bCs/>
          <w:color w:val="auto"/>
          <w:sz w:val="32"/>
          <w:szCs w:val="32"/>
        </w:rPr>
      </w:pPr>
    </w:p>
    <w:p>
      <w:pPr>
        <w:keepNext w:val="0"/>
        <w:keepLines w:val="0"/>
        <w:pageBreakBefore w:val="0"/>
        <w:kinsoku/>
        <w:wordWrap/>
        <w:overflowPunct/>
        <w:topLinePunct w:val="0"/>
        <w:bidi w:val="0"/>
        <w:spacing w:line="570" w:lineRule="exact"/>
        <w:ind w:firstLine="787" w:firstLineChars="246"/>
        <w:textAlignment w:val="auto"/>
        <w:rPr>
          <w:rFonts w:hint="eastAsia" w:ascii="方正仿宋简体" w:hAnsi="方正仿宋简体" w:eastAsia="方正仿宋简体" w:cs="方正仿宋简体"/>
          <w:b w:val="0"/>
          <w:bCs/>
          <w:color w:val="auto"/>
          <w:sz w:val="32"/>
          <w:szCs w:val="32"/>
        </w:rPr>
      </w:pPr>
    </w:p>
    <w:p>
      <w:pPr>
        <w:keepNext w:val="0"/>
        <w:keepLines w:val="0"/>
        <w:pageBreakBefore w:val="0"/>
        <w:kinsoku/>
        <w:wordWrap/>
        <w:overflowPunct/>
        <w:topLinePunct w:val="0"/>
        <w:bidi w:val="0"/>
        <w:spacing w:line="570" w:lineRule="exact"/>
        <w:textAlignment w:val="auto"/>
        <w:rPr>
          <w:rFonts w:hint="eastAsia" w:ascii="方正仿宋简体" w:hAnsi="方正仿宋简体" w:eastAsia="方正仿宋简体" w:cs="方正仿宋简体"/>
          <w:b w:val="0"/>
          <w:bCs/>
          <w:color w:val="auto"/>
          <w:sz w:val="32"/>
          <w:szCs w:val="32"/>
        </w:rPr>
        <w:sectPr>
          <w:footerReference r:id="rId16" w:type="default"/>
          <w:pgSz w:w="16839" w:h="11907" w:orient="landscape"/>
          <w:pgMar w:top="1361" w:right="1020" w:bottom="1361"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pacing w:line="570" w:lineRule="exact"/>
        <w:ind w:firstLine="640" w:firstLineChars="200"/>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八、专业名词解释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1、一般公共预算拨款收入：指省级财政当年拨付的资金。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3、其他收入：指除</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一般公共预算拨款收入</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事业收入</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7、</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三公</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经费：纳入省级财政预算管理的</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三公</w:t>
      </w:r>
      <w:r>
        <w:rPr>
          <w:rFonts w:hint="eastAsia" w:ascii="方正仿宋简体" w:hAnsi="方正仿宋简体" w:eastAsia="方正仿宋简体" w:cs="方正仿宋简体"/>
          <w:b w:val="0"/>
          <w:bCs/>
          <w:color w:val="auto"/>
          <w:sz w:val="32"/>
          <w:szCs w:val="32"/>
          <w:cs/>
        </w:rPr>
        <w:t>”</w:t>
      </w:r>
      <w:r>
        <w:rPr>
          <w:rFonts w:hint="eastAsia" w:ascii="方正仿宋简体" w:hAnsi="方正仿宋简体" w:eastAsia="方正仿宋简体" w:cs="方正仿宋简体"/>
          <w:b w:val="0"/>
          <w:bCs/>
          <w:color w:val="auto"/>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sectPr>
          <w:footerReference r:id="rId17" w:type="default"/>
          <w:pgSz w:w="16839" w:h="11907" w:orient="landscape"/>
          <w:pgMar w:top="1361" w:right="1020" w:bottom="1361" w:left="10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sz w:val="32"/>
          <w:szCs w:val="32"/>
          <w:lang w:val="en-US" w:eastAsia="zh-CN"/>
        </w:rPr>
        <w:t>九、</w:t>
      </w:r>
      <w:r>
        <w:rPr>
          <w:rFonts w:hint="eastAsia" w:ascii="方正黑体简体" w:hAnsi="方正黑体简体" w:eastAsia="方正黑体简体" w:cs="方正黑体简体"/>
          <w:b w:val="0"/>
          <w:bCs/>
          <w:color w:val="auto"/>
          <w:sz w:val="32"/>
          <w:szCs w:val="32"/>
        </w:rPr>
        <w:t>其他需要说明的事项</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 xml:space="preserve">     1、遵化市刘备寨乡政府2022年部门预算中未安排政府性基金预算，故政府性基金预算支出表为空。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2、遵化市刘备寨乡政府2022年部门预算中未安排国有资本经营预算，故国有资本经营预算支出表为空。</w:t>
      </w:r>
    </w:p>
    <w:p>
      <w:pPr>
        <w:pStyle w:val="2"/>
        <w:keepNext w:val="0"/>
        <w:keepLines w:val="0"/>
        <w:pageBreakBefore w:val="0"/>
        <w:widowControl w:val="0"/>
        <w:kinsoku/>
        <w:wordWrap/>
        <w:overflowPunct/>
        <w:topLinePunct w:val="0"/>
        <w:autoSpaceDE/>
        <w:autoSpaceDN/>
        <w:bidi w:val="0"/>
        <w:snapToGrid w:val="0"/>
        <w:spacing w:line="570" w:lineRule="exact"/>
        <w:ind w:firstLine="56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 xml:space="preserve"> 3、由于预算公开表格中金额数值应当保留两位小数，公开数据为四舍五入计算结果，个别数据合计项与分项之和存在小数点后差额，特此说明。</w:t>
      </w:r>
    </w:p>
    <w:p>
      <w:pPr>
        <w:pStyle w:val="2"/>
        <w:keepNext w:val="0"/>
        <w:keepLines w:val="0"/>
        <w:pageBreakBefore w:val="0"/>
        <w:widowControl w:val="0"/>
        <w:kinsoku/>
        <w:wordWrap/>
        <w:overflowPunct/>
        <w:topLinePunct w:val="0"/>
        <w:autoSpaceDE/>
        <w:autoSpaceDN/>
        <w:bidi w:val="0"/>
        <w:spacing w:line="570" w:lineRule="exact"/>
        <w:ind w:firstLine="560"/>
        <w:textAlignment w:val="auto"/>
        <w:rPr>
          <w:rFonts w:hint="eastAsia" w:ascii="方正仿宋简体" w:hAnsi="方正仿宋简体" w:eastAsia="方正仿宋简体" w:cs="方正仿宋简体"/>
          <w:b w:val="0"/>
          <w:bCs/>
          <w:color w:val="auto"/>
          <w:sz w:val="32"/>
          <w:szCs w:val="32"/>
        </w:rPr>
      </w:pPr>
    </w:p>
    <w:p>
      <w:pPr>
        <w:keepNext w:val="0"/>
        <w:keepLines w:val="0"/>
        <w:pageBreakBefore w:val="0"/>
        <w:widowControl w:val="0"/>
        <w:kinsoku/>
        <w:wordWrap/>
        <w:overflowPunct/>
        <w:topLinePunct w:val="0"/>
        <w:autoSpaceDE/>
        <w:autoSpaceDN/>
        <w:bidi w:val="0"/>
        <w:spacing w:line="570" w:lineRule="exact"/>
        <w:jc w:val="left"/>
        <w:textAlignment w:val="auto"/>
        <w:rPr>
          <w:rFonts w:hint="eastAsia" w:ascii="方正仿宋简体" w:hAnsi="方正仿宋简体" w:eastAsia="方正仿宋简体" w:cs="方正仿宋简体"/>
          <w:b w:val="0"/>
          <w:bCs/>
          <w:color w:val="auto"/>
          <w:sz w:val="32"/>
          <w:szCs w:val="32"/>
        </w:rPr>
      </w:pPr>
    </w:p>
    <w:sectPr>
      <w:footerReference r:id="rId18"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roman"/>
    <w:pitch w:val="default"/>
    <w:sig w:usb0="00000000" w:usb1="00000000" w:usb2="00000010" w:usb3="00000000" w:csb0="00040001" w:csb1="00000000"/>
  </w:font>
  <w:font w:name="方正仿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rFonts w:hint="eastAsia"/>
      </w:rPr>
      <w:tab/>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4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KAnNCnQAQAAmgMAAA4AAAAAAAAAAQAgAAAAHwEAAGRy&#10;cy9lMm9Eb2MueG1sUEsFBgAAAAAGAAYAWQEAAGEFA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5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文本框 105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PPXdTjQAQAAmgMAAA4AAAAAAAAAAQAgAAAAHwEAAGRy&#10;cy9lMm9Eb2MueG1sUEsFBgAAAAAGAAYAWQEAAGEFA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7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文本框 107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Lmj3MzQAQAAmwMAAA4AAAAAAAAAAQAgAAAAHwEAAGRy&#10;cy9lMm9Eb2MueG1sUEsFBgAAAAAGAAYAWQEAAGEFA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D4BDF"/>
    <w:multiLevelType w:val="singleLevel"/>
    <w:tmpl w:val="89ED4BDF"/>
    <w:lvl w:ilvl="0" w:tentative="0">
      <w:start w:val="8"/>
      <w:numFmt w:val="chineseCounting"/>
      <w:suff w:val="nothing"/>
      <w:lvlText w:val="（%1）"/>
      <w:lvlJc w:val="left"/>
      <w:rPr>
        <w:rFonts w:hint="eastAsia"/>
      </w:rPr>
    </w:lvl>
  </w:abstractNum>
  <w:abstractNum w:abstractNumId="1">
    <w:nsid w:val="10A44281"/>
    <w:multiLevelType w:val="singleLevel"/>
    <w:tmpl w:val="10A44281"/>
    <w:lvl w:ilvl="0" w:tentative="0">
      <w:start w:val="3"/>
      <w:numFmt w:val="decimal"/>
      <w:suff w:val="nothing"/>
      <w:lvlText w:val="%1、"/>
      <w:lvlJc w:val="left"/>
    </w:lvl>
  </w:abstractNum>
  <w:abstractNum w:abstractNumId="2">
    <w:nsid w:val="6B9DA865"/>
    <w:multiLevelType w:val="singleLevel"/>
    <w:tmpl w:val="6B9DA865"/>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TJiYmI2MjY5M2IzNWQ3NGMzMjliMTJjNDAyMjAifQ=="/>
    <w:docVar w:name="KSO_WPS_MARK_KEY" w:val="558935be-b3e6-439a-9faf-f58cd4ef3cf2"/>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BC758A"/>
    <w:rsid w:val="00C60112"/>
    <w:rsid w:val="00CB4BB6"/>
    <w:rsid w:val="00DC5A62"/>
    <w:rsid w:val="00EF5BA2"/>
    <w:rsid w:val="00F1191B"/>
    <w:rsid w:val="00F8192C"/>
    <w:rsid w:val="00FC307B"/>
    <w:rsid w:val="01401F5A"/>
    <w:rsid w:val="014557C2"/>
    <w:rsid w:val="01C40DDD"/>
    <w:rsid w:val="0233386D"/>
    <w:rsid w:val="024C4CC7"/>
    <w:rsid w:val="024E71FD"/>
    <w:rsid w:val="02A1111E"/>
    <w:rsid w:val="02F40F58"/>
    <w:rsid w:val="031E5023"/>
    <w:rsid w:val="033A6154"/>
    <w:rsid w:val="033C0E47"/>
    <w:rsid w:val="03451AAA"/>
    <w:rsid w:val="034A5312"/>
    <w:rsid w:val="034F401E"/>
    <w:rsid w:val="03685B9C"/>
    <w:rsid w:val="038A4BCB"/>
    <w:rsid w:val="03A01B4F"/>
    <w:rsid w:val="03D424E6"/>
    <w:rsid w:val="044B64F1"/>
    <w:rsid w:val="04796EF9"/>
    <w:rsid w:val="049D7FDE"/>
    <w:rsid w:val="04A853D6"/>
    <w:rsid w:val="04C410F4"/>
    <w:rsid w:val="04C46B07"/>
    <w:rsid w:val="04CE1F73"/>
    <w:rsid w:val="04F63CC6"/>
    <w:rsid w:val="052E656D"/>
    <w:rsid w:val="05DA705A"/>
    <w:rsid w:val="06023C82"/>
    <w:rsid w:val="064E5119"/>
    <w:rsid w:val="069528D3"/>
    <w:rsid w:val="06EE2458"/>
    <w:rsid w:val="06F15AA5"/>
    <w:rsid w:val="07293490"/>
    <w:rsid w:val="07A1465B"/>
    <w:rsid w:val="07CF5EEC"/>
    <w:rsid w:val="07EB0F1A"/>
    <w:rsid w:val="085327BB"/>
    <w:rsid w:val="085C5796"/>
    <w:rsid w:val="08640C24"/>
    <w:rsid w:val="08A52DFF"/>
    <w:rsid w:val="08E73E30"/>
    <w:rsid w:val="08FC3767"/>
    <w:rsid w:val="09031D95"/>
    <w:rsid w:val="090411D3"/>
    <w:rsid w:val="091C42D8"/>
    <w:rsid w:val="096B1B3E"/>
    <w:rsid w:val="09880D6F"/>
    <w:rsid w:val="09A064A3"/>
    <w:rsid w:val="09AE68F1"/>
    <w:rsid w:val="0A310FDA"/>
    <w:rsid w:val="0A564380"/>
    <w:rsid w:val="0A597F3F"/>
    <w:rsid w:val="0AD06346"/>
    <w:rsid w:val="0B5F56D3"/>
    <w:rsid w:val="0B6B6622"/>
    <w:rsid w:val="0B70168E"/>
    <w:rsid w:val="0BA1163E"/>
    <w:rsid w:val="0BF71DAF"/>
    <w:rsid w:val="0C352D96"/>
    <w:rsid w:val="0C472F3C"/>
    <w:rsid w:val="0C79258B"/>
    <w:rsid w:val="0C970098"/>
    <w:rsid w:val="0D280040"/>
    <w:rsid w:val="0D29204B"/>
    <w:rsid w:val="0D2E7A52"/>
    <w:rsid w:val="0D731909"/>
    <w:rsid w:val="0DB937C0"/>
    <w:rsid w:val="0DD61C72"/>
    <w:rsid w:val="0DD8176C"/>
    <w:rsid w:val="0DDD0437"/>
    <w:rsid w:val="0E3804ED"/>
    <w:rsid w:val="0E3F4C6B"/>
    <w:rsid w:val="0E551E27"/>
    <w:rsid w:val="0E662058"/>
    <w:rsid w:val="0ED377A1"/>
    <w:rsid w:val="0EFD592E"/>
    <w:rsid w:val="0F0F013F"/>
    <w:rsid w:val="0F4D1A20"/>
    <w:rsid w:val="0F781459"/>
    <w:rsid w:val="0FFE6D6C"/>
    <w:rsid w:val="1041184B"/>
    <w:rsid w:val="1049404B"/>
    <w:rsid w:val="1054627B"/>
    <w:rsid w:val="106110F0"/>
    <w:rsid w:val="10B14C22"/>
    <w:rsid w:val="11382C4E"/>
    <w:rsid w:val="11A2456B"/>
    <w:rsid w:val="11D434DA"/>
    <w:rsid w:val="11F12DFD"/>
    <w:rsid w:val="11FD5C45"/>
    <w:rsid w:val="121F5BBC"/>
    <w:rsid w:val="12211934"/>
    <w:rsid w:val="123E55EC"/>
    <w:rsid w:val="125F420A"/>
    <w:rsid w:val="12882DE6"/>
    <w:rsid w:val="12A37B9E"/>
    <w:rsid w:val="12C64289"/>
    <w:rsid w:val="12CB7C01"/>
    <w:rsid w:val="12EF4843"/>
    <w:rsid w:val="13054DB2"/>
    <w:rsid w:val="13165E42"/>
    <w:rsid w:val="13182D37"/>
    <w:rsid w:val="134574D3"/>
    <w:rsid w:val="134C5AA1"/>
    <w:rsid w:val="135875D7"/>
    <w:rsid w:val="139412EE"/>
    <w:rsid w:val="1399771D"/>
    <w:rsid w:val="13AC347F"/>
    <w:rsid w:val="14074B59"/>
    <w:rsid w:val="140B289C"/>
    <w:rsid w:val="14863CD0"/>
    <w:rsid w:val="148F6343"/>
    <w:rsid w:val="149A59CD"/>
    <w:rsid w:val="14A66E04"/>
    <w:rsid w:val="14BA13CD"/>
    <w:rsid w:val="154F4A0A"/>
    <w:rsid w:val="15AE1730"/>
    <w:rsid w:val="15FD116F"/>
    <w:rsid w:val="161D23BF"/>
    <w:rsid w:val="165A4AD1"/>
    <w:rsid w:val="165D57B7"/>
    <w:rsid w:val="166F3C6D"/>
    <w:rsid w:val="1690383A"/>
    <w:rsid w:val="16B64572"/>
    <w:rsid w:val="16FF7D6A"/>
    <w:rsid w:val="171659AA"/>
    <w:rsid w:val="173914CE"/>
    <w:rsid w:val="174C1201"/>
    <w:rsid w:val="17606A5A"/>
    <w:rsid w:val="179C7229"/>
    <w:rsid w:val="17A53929"/>
    <w:rsid w:val="180F1313"/>
    <w:rsid w:val="186802BC"/>
    <w:rsid w:val="187668BA"/>
    <w:rsid w:val="18792896"/>
    <w:rsid w:val="19163E45"/>
    <w:rsid w:val="193957B5"/>
    <w:rsid w:val="19457F0B"/>
    <w:rsid w:val="195720DF"/>
    <w:rsid w:val="196D1AD9"/>
    <w:rsid w:val="19AF3B81"/>
    <w:rsid w:val="1A002CFF"/>
    <w:rsid w:val="1A147FD0"/>
    <w:rsid w:val="1A6B4094"/>
    <w:rsid w:val="1A8962C8"/>
    <w:rsid w:val="1AB3725D"/>
    <w:rsid w:val="1ACD6FF8"/>
    <w:rsid w:val="1AD559B1"/>
    <w:rsid w:val="1AE60756"/>
    <w:rsid w:val="1B2F50C2"/>
    <w:rsid w:val="1B3133C8"/>
    <w:rsid w:val="1B423C54"/>
    <w:rsid w:val="1B530684"/>
    <w:rsid w:val="1B5719C0"/>
    <w:rsid w:val="1B6E63C8"/>
    <w:rsid w:val="1B7C341C"/>
    <w:rsid w:val="1B804BBC"/>
    <w:rsid w:val="1C130D1D"/>
    <w:rsid w:val="1C47468D"/>
    <w:rsid w:val="1C7D00AF"/>
    <w:rsid w:val="1CB42258"/>
    <w:rsid w:val="1CB50140"/>
    <w:rsid w:val="1D2B75F3"/>
    <w:rsid w:val="1DC064A5"/>
    <w:rsid w:val="1DD2442A"/>
    <w:rsid w:val="1DFB572F"/>
    <w:rsid w:val="1E1823CB"/>
    <w:rsid w:val="1E1D2B90"/>
    <w:rsid w:val="1E391DB3"/>
    <w:rsid w:val="1E4470D6"/>
    <w:rsid w:val="1E6C2189"/>
    <w:rsid w:val="1E8E32A8"/>
    <w:rsid w:val="1E982F7E"/>
    <w:rsid w:val="1EE95C5B"/>
    <w:rsid w:val="1F3D58D3"/>
    <w:rsid w:val="1F5275D0"/>
    <w:rsid w:val="1F9E2816"/>
    <w:rsid w:val="1FB77434"/>
    <w:rsid w:val="20000DDB"/>
    <w:rsid w:val="205253AE"/>
    <w:rsid w:val="20686980"/>
    <w:rsid w:val="20784CE6"/>
    <w:rsid w:val="207D68CF"/>
    <w:rsid w:val="20DA4897"/>
    <w:rsid w:val="20DD2ECA"/>
    <w:rsid w:val="20E6220C"/>
    <w:rsid w:val="217F591B"/>
    <w:rsid w:val="21925097"/>
    <w:rsid w:val="21A34113"/>
    <w:rsid w:val="21B005DE"/>
    <w:rsid w:val="21CD73E2"/>
    <w:rsid w:val="21D56297"/>
    <w:rsid w:val="22034BB2"/>
    <w:rsid w:val="224127C8"/>
    <w:rsid w:val="229318FF"/>
    <w:rsid w:val="229A1643"/>
    <w:rsid w:val="23152068"/>
    <w:rsid w:val="234C07DB"/>
    <w:rsid w:val="234E1072"/>
    <w:rsid w:val="237D002F"/>
    <w:rsid w:val="23CB4526"/>
    <w:rsid w:val="23D9206E"/>
    <w:rsid w:val="24207C9D"/>
    <w:rsid w:val="2435301D"/>
    <w:rsid w:val="243948BB"/>
    <w:rsid w:val="244A1C72"/>
    <w:rsid w:val="24A3442A"/>
    <w:rsid w:val="24AA7567"/>
    <w:rsid w:val="24AF4B7D"/>
    <w:rsid w:val="24E605D6"/>
    <w:rsid w:val="256F3EB2"/>
    <w:rsid w:val="25965D3D"/>
    <w:rsid w:val="25E33490"/>
    <w:rsid w:val="25F74A2E"/>
    <w:rsid w:val="26864004"/>
    <w:rsid w:val="26BB5A5B"/>
    <w:rsid w:val="26D70594"/>
    <w:rsid w:val="26E919BE"/>
    <w:rsid w:val="26F71062"/>
    <w:rsid w:val="271B0BF0"/>
    <w:rsid w:val="27A47DDD"/>
    <w:rsid w:val="27AC7CC9"/>
    <w:rsid w:val="27EF3DFE"/>
    <w:rsid w:val="27FC643F"/>
    <w:rsid w:val="284B6EB1"/>
    <w:rsid w:val="287700A8"/>
    <w:rsid w:val="287C56BE"/>
    <w:rsid w:val="288464AA"/>
    <w:rsid w:val="28CF521A"/>
    <w:rsid w:val="28E77373"/>
    <w:rsid w:val="29275089"/>
    <w:rsid w:val="292E4C0A"/>
    <w:rsid w:val="29596CB8"/>
    <w:rsid w:val="29B9024C"/>
    <w:rsid w:val="29D829F2"/>
    <w:rsid w:val="2A5F7045"/>
    <w:rsid w:val="2A622692"/>
    <w:rsid w:val="2A7523C5"/>
    <w:rsid w:val="2A832D34"/>
    <w:rsid w:val="2AAE7BE1"/>
    <w:rsid w:val="2B4104F9"/>
    <w:rsid w:val="2BA2472E"/>
    <w:rsid w:val="2BB3459A"/>
    <w:rsid w:val="2BC52ED8"/>
    <w:rsid w:val="2BD4136D"/>
    <w:rsid w:val="2C302A48"/>
    <w:rsid w:val="2C8F26EF"/>
    <w:rsid w:val="2D1C5A9E"/>
    <w:rsid w:val="2D1F6C70"/>
    <w:rsid w:val="2D426ED6"/>
    <w:rsid w:val="2DA34B36"/>
    <w:rsid w:val="2DAF7D99"/>
    <w:rsid w:val="2DD83397"/>
    <w:rsid w:val="2DDD275B"/>
    <w:rsid w:val="2DEB68B1"/>
    <w:rsid w:val="2DF47AA5"/>
    <w:rsid w:val="2E0964AA"/>
    <w:rsid w:val="2EB77450"/>
    <w:rsid w:val="2F1C2DB2"/>
    <w:rsid w:val="2F3E547B"/>
    <w:rsid w:val="2F464330"/>
    <w:rsid w:val="2F592C85"/>
    <w:rsid w:val="2F7215C9"/>
    <w:rsid w:val="2F963509"/>
    <w:rsid w:val="2FC82F97"/>
    <w:rsid w:val="30474652"/>
    <w:rsid w:val="30645A91"/>
    <w:rsid w:val="306E1D90"/>
    <w:rsid w:val="30AF3E6F"/>
    <w:rsid w:val="30B8300C"/>
    <w:rsid w:val="31175F84"/>
    <w:rsid w:val="31541C21"/>
    <w:rsid w:val="31921216"/>
    <w:rsid w:val="319628A3"/>
    <w:rsid w:val="31A101D1"/>
    <w:rsid w:val="31A6555A"/>
    <w:rsid w:val="31B77767"/>
    <w:rsid w:val="31DE2F46"/>
    <w:rsid w:val="31EE13DB"/>
    <w:rsid w:val="31F6028F"/>
    <w:rsid w:val="32513718"/>
    <w:rsid w:val="32670ECF"/>
    <w:rsid w:val="32805A67"/>
    <w:rsid w:val="329155E4"/>
    <w:rsid w:val="32CA62CD"/>
    <w:rsid w:val="32D84F99"/>
    <w:rsid w:val="32E67722"/>
    <w:rsid w:val="3309244E"/>
    <w:rsid w:val="33376D53"/>
    <w:rsid w:val="334B0167"/>
    <w:rsid w:val="336F0F37"/>
    <w:rsid w:val="33AB0573"/>
    <w:rsid w:val="34422BCC"/>
    <w:rsid w:val="34431B52"/>
    <w:rsid w:val="345E4FD0"/>
    <w:rsid w:val="348E0C53"/>
    <w:rsid w:val="34AC4354"/>
    <w:rsid w:val="34C42820"/>
    <w:rsid w:val="34CC7014"/>
    <w:rsid w:val="34E55F43"/>
    <w:rsid w:val="34F27B45"/>
    <w:rsid w:val="34FB4FBA"/>
    <w:rsid w:val="351F5D4F"/>
    <w:rsid w:val="35246EC1"/>
    <w:rsid w:val="35305866"/>
    <w:rsid w:val="35311E43"/>
    <w:rsid w:val="353D7F83"/>
    <w:rsid w:val="356D2DAB"/>
    <w:rsid w:val="35780FBB"/>
    <w:rsid w:val="35CF507F"/>
    <w:rsid w:val="36032EC3"/>
    <w:rsid w:val="362D43E7"/>
    <w:rsid w:val="36A77DAA"/>
    <w:rsid w:val="370276D6"/>
    <w:rsid w:val="370C533A"/>
    <w:rsid w:val="37103BA1"/>
    <w:rsid w:val="37313B18"/>
    <w:rsid w:val="374F5F3F"/>
    <w:rsid w:val="37B3452D"/>
    <w:rsid w:val="37D03331"/>
    <w:rsid w:val="38093A99"/>
    <w:rsid w:val="381E450D"/>
    <w:rsid w:val="38376F0C"/>
    <w:rsid w:val="384C4EA0"/>
    <w:rsid w:val="385601F1"/>
    <w:rsid w:val="38F56B86"/>
    <w:rsid w:val="39704A82"/>
    <w:rsid w:val="39817AC8"/>
    <w:rsid w:val="39970B70"/>
    <w:rsid w:val="39B95739"/>
    <w:rsid w:val="39D72754"/>
    <w:rsid w:val="39DE7F87"/>
    <w:rsid w:val="39E167E7"/>
    <w:rsid w:val="39E44E71"/>
    <w:rsid w:val="39E66E3B"/>
    <w:rsid w:val="39EE27C2"/>
    <w:rsid w:val="39FA28E7"/>
    <w:rsid w:val="3A2D05C6"/>
    <w:rsid w:val="3A847683"/>
    <w:rsid w:val="3A8B3043"/>
    <w:rsid w:val="3B043A1D"/>
    <w:rsid w:val="3B2F2A32"/>
    <w:rsid w:val="3B4E4C98"/>
    <w:rsid w:val="3B616481"/>
    <w:rsid w:val="3B64270E"/>
    <w:rsid w:val="3BAB36B2"/>
    <w:rsid w:val="3BB30F9F"/>
    <w:rsid w:val="3BE92C13"/>
    <w:rsid w:val="3BE93DE9"/>
    <w:rsid w:val="3C0A5017"/>
    <w:rsid w:val="3C700C3E"/>
    <w:rsid w:val="3CA55D04"/>
    <w:rsid w:val="3CCA47F2"/>
    <w:rsid w:val="3CD13DD3"/>
    <w:rsid w:val="3D3D33E9"/>
    <w:rsid w:val="3D624A2B"/>
    <w:rsid w:val="3D874491"/>
    <w:rsid w:val="3D980DE6"/>
    <w:rsid w:val="3D9848F1"/>
    <w:rsid w:val="3D9A2417"/>
    <w:rsid w:val="3DEE62BF"/>
    <w:rsid w:val="3E012D77"/>
    <w:rsid w:val="3E1F46CA"/>
    <w:rsid w:val="3E8B49FC"/>
    <w:rsid w:val="3E8B7CBC"/>
    <w:rsid w:val="3E9739D8"/>
    <w:rsid w:val="3EEA4CD8"/>
    <w:rsid w:val="3F165ACD"/>
    <w:rsid w:val="3F381EE7"/>
    <w:rsid w:val="3F487C50"/>
    <w:rsid w:val="3FC03E23"/>
    <w:rsid w:val="3FC267A5"/>
    <w:rsid w:val="3FD22FC7"/>
    <w:rsid w:val="3FDE78A1"/>
    <w:rsid w:val="40287A5A"/>
    <w:rsid w:val="405A5E8D"/>
    <w:rsid w:val="408D1B8F"/>
    <w:rsid w:val="40DF0E09"/>
    <w:rsid w:val="413961A3"/>
    <w:rsid w:val="41543F25"/>
    <w:rsid w:val="4162081D"/>
    <w:rsid w:val="417B67B7"/>
    <w:rsid w:val="418958EE"/>
    <w:rsid w:val="41D157C2"/>
    <w:rsid w:val="41E53E7C"/>
    <w:rsid w:val="41F97124"/>
    <w:rsid w:val="42297686"/>
    <w:rsid w:val="423F17DF"/>
    <w:rsid w:val="425603E3"/>
    <w:rsid w:val="42734FE4"/>
    <w:rsid w:val="429F45DF"/>
    <w:rsid w:val="42A41642"/>
    <w:rsid w:val="42A81132"/>
    <w:rsid w:val="42A930FC"/>
    <w:rsid w:val="42DA0485"/>
    <w:rsid w:val="42ED4D97"/>
    <w:rsid w:val="42F61625"/>
    <w:rsid w:val="432B58BF"/>
    <w:rsid w:val="43811983"/>
    <w:rsid w:val="43DB72E5"/>
    <w:rsid w:val="43DC73BB"/>
    <w:rsid w:val="442C7B41"/>
    <w:rsid w:val="443B7D84"/>
    <w:rsid w:val="4458751E"/>
    <w:rsid w:val="447C2876"/>
    <w:rsid w:val="44A65B45"/>
    <w:rsid w:val="44D039C3"/>
    <w:rsid w:val="45195FF4"/>
    <w:rsid w:val="455530C7"/>
    <w:rsid w:val="45625FAF"/>
    <w:rsid w:val="4629258A"/>
    <w:rsid w:val="4631143E"/>
    <w:rsid w:val="46726781"/>
    <w:rsid w:val="46BA6D19"/>
    <w:rsid w:val="46C2478C"/>
    <w:rsid w:val="46E82FB1"/>
    <w:rsid w:val="47031780"/>
    <w:rsid w:val="475E77F3"/>
    <w:rsid w:val="475F7374"/>
    <w:rsid w:val="476651DD"/>
    <w:rsid w:val="47680C8F"/>
    <w:rsid w:val="477E4B57"/>
    <w:rsid w:val="479B1265"/>
    <w:rsid w:val="47A264A6"/>
    <w:rsid w:val="47C06F1E"/>
    <w:rsid w:val="47E0136E"/>
    <w:rsid w:val="47ED3A8B"/>
    <w:rsid w:val="48214178"/>
    <w:rsid w:val="48335942"/>
    <w:rsid w:val="483B1E05"/>
    <w:rsid w:val="4870538C"/>
    <w:rsid w:val="488E1E24"/>
    <w:rsid w:val="48A73C3A"/>
    <w:rsid w:val="48CC18F2"/>
    <w:rsid w:val="48F32B1C"/>
    <w:rsid w:val="492F1465"/>
    <w:rsid w:val="494F7FAB"/>
    <w:rsid w:val="4977185E"/>
    <w:rsid w:val="497F0713"/>
    <w:rsid w:val="498854B1"/>
    <w:rsid w:val="498F4DFA"/>
    <w:rsid w:val="49B900C8"/>
    <w:rsid w:val="49C20784"/>
    <w:rsid w:val="49E14F29"/>
    <w:rsid w:val="4A02381D"/>
    <w:rsid w:val="4A20427B"/>
    <w:rsid w:val="4A582670"/>
    <w:rsid w:val="4A653DAC"/>
    <w:rsid w:val="4A657908"/>
    <w:rsid w:val="4A8C30E7"/>
    <w:rsid w:val="4AA35FCC"/>
    <w:rsid w:val="4AAE39BD"/>
    <w:rsid w:val="4AC0100A"/>
    <w:rsid w:val="4AC97E97"/>
    <w:rsid w:val="4AD36F68"/>
    <w:rsid w:val="4B0B3878"/>
    <w:rsid w:val="4B1355B6"/>
    <w:rsid w:val="4B8C4305"/>
    <w:rsid w:val="4BBB1748"/>
    <w:rsid w:val="4BD74836"/>
    <w:rsid w:val="4BE115E5"/>
    <w:rsid w:val="4BF52F0E"/>
    <w:rsid w:val="4C303F46"/>
    <w:rsid w:val="4C3A6B73"/>
    <w:rsid w:val="4C6D6F48"/>
    <w:rsid w:val="4CC50B32"/>
    <w:rsid w:val="4CC528E0"/>
    <w:rsid w:val="4CC72AFC"/>
    <w:rsid w:val="4CEA2D7E"/>
    <w:rsid w:val="4D185106"/>
    <w:rsid w:val="4D3F6B37"/>
    <w:rsid w:val="4D550BCB"/>
    <w:rsid w:val="4D5B1197"/>
    <w:rsid w:val="4D8A180B"/>
    <w:rsid w:val="4DB432F6"/>
    <w:rsid w:val="4DCD5EF0"/>
    <w:rsid w:val="4DD51249"/>
    <w:rsid w:val="4E810A89"/>
    <w:rsid w:val="4E9407BC"/>
    <w:rsid w:val="4E954280"/>
    <w:rsid w:val="4EB57D02"/>
    <w:rsid w:val="4EBB034B"/>
    <w:rsid w:val="4EF349C3"/>
    <w:rsid w:val="4EF37BD9"/>
    <w:rsid w:val="4EFB4CDF"/>
    <w:rsid w:val="4F036E28"/>
    <w:rsid w:val="4F4E0D4C"/>
    <w:rsid w:val="4F500EF7"/>
    <w:rsid w:val="4F6C798B"/>
    <w:rsid w:val="4FA10427"/>
    <w:rsid w:val="4FA233AD"/>
    <w:rsid w:val="4FAD2AFB"/>
    <w:rsid w:val="4FB74CA9"/>
    <w:rsid w:val="4FCD588C"/>
    <w:rsid w:val="4FE319FB"/>
    <w:rsid w:val="4FF3183B"/>
    <w:rsid w:val="4FF56E75"/>
    <w:rsid w:val="4FF7762A"/>
    <w:rsid w:val="4FFE1657"/>
    <w:rsid w:val="5006393C"/>
    <w:rsid w:val="503A0A23"/>
    <w:rsid w:val="50483F54"/>
    <w:rsid w:val="50811178"/>
    <w:rsid w:val="509B122F"/>
    <w:rsid w:val="50C61561"/>
    <w:rsid w:val="50F33EC0"/>
    <w:rsid w:val="51131195"/>
    <w:rsid w:val="511F2F07"/>
    <w:rsid w:val="514E559A"/>
    <w:rsid w:val="515F5C27"/>
    <w:rsid w:val="51687056"/>
    <w:rsid w:val="51752B27"/>
    <w:rsid w:val="51C33170"/>
    <w:rsid w:val="520B5239"/>
    <w:rsid w:val="522E159E"/>
    <w:rsid w:val="52351D3B"/>
    <w:rsid w:val="52477B70"/>
    <w:rsid w:val="528F19C6"/>
    <w:rsid w:val="529439CA"/>
    <w:rsid w:val="52EB5327"/>
    <w:rsid w:val="5329786E"/>
    <w:rsid w:val="538434F5"/>
    <w:rsid w:val="539A4AC7"/>
    <w:rsid w:val="53B10062"/>
    <w:rsid w:val="54525A49"/>
    <w:rsid w:val="54862691"/>
    <w:rsid w:val="54BC5A8C"/>
    <w:rsid w:val="54C120D0"/>
    <w:rsid w:val="54CD4A28"/>
    <w:rsid w:val="54DC46EC"/>
    <w:rsid w:val="55452810"/>
    <w:rsid w:val="555A379D"/>
    <w:rsid w:val="55741347"/>
    <w:rsid w:val="557767D0"/>
    <w:rsid w:val="55EA2A2C"/>
    <w:rsid w:val="5605007D"/>
    <w:rsid w:val="566419AF"/>
    <w:rsid w:val="568B06F7"/>
    <w:rsid w:val="569F23F4"/>
    <w:rsid w:val="56B51C18"/>
    <w:rsid w:val="56B91708"/>
    <w:rsid w:val="56C360E3"/>
    <w:rsid w:val="570225A6"/>
    <w:rsid w:val="571C3A45"/>
    <w:rsid w:val="572A7F10"/>
    <w:rsid w:val="573945F7"/>
    <w:rsid w:val="574879CF"/>
    <w:rsid w:val="57727B09"/>
    <w:rsid w:val="57B750CF"/>
    <w:rsid w:val="57CC2F54"/>
    <w:rsid w:val="582F66DA"/>
    <w:rsid w:val="58357612"/>
    <w:rsid w:val="585B234B"/>
    <w:rsid w:val="588D4BFA"/>
    <w:rsid w:val="588E0985"/>
    <w:rsid w:val="58A837E2"/>
    <w:rsid w:val="58E13A06"/>
    <w:rsid w:val="592B61C1"/>
    <w:rsid w:val="594E241C"/>
    <w:rsid w:val="59A52769"/>
    <w:rsid w:val="5A263E89"/>
    <w:rsid w:val="5A8C2C8F"/>
    <w:rsid w:val="5AA93841"/>
    <w:rsid w:val="5ADE7464"/>
    <w:rsid w:val="5B2E3D47"/>
    <w:rsid w:val="5B514D7F"/>
    <w:rsid w:val="5B5639C9"/>
    <w:rsid w:val="5B694D7F"/>
    <w:rsid w:val="5BDD1C75"/>
    <w:rsid w:val="5C57621D"/>
    <w:rsid w:val="5C6357D3"/>
    <w:rsid w:val="5C76110E"/>
    <w:rsid w:val="5CA2679A"/>
    <w:rsid w:val="5CFF1E3E"/>
    <w:rsid w:val="5D08326C"/>
    <w:rsid w:val="5D3C3B24"/>
    <w:rsid w:val="5D496449"/>
    <w:rsid w:val="5D6967E0"/>
    <w:rsid w:val="5DDF5F69"/>
    <w:rsid w:val="5E4C4C10"/>
    <w:rsid w:val="5E4D2736"/>
    <w:rsid w:val="5E9B7945"/>
    <w:rsid w:val="5ECF75EF"/>
    <w:rsid w:val="5EE27322"/>
    <w:rsid w:val="5EE412EC"/>
    <w:rsid w:val="5F344C46"/>
    <w:rsid w:val="5F351B48"/>
    <w:rsid w:val="5F5175FF"/>
    <w:rsid w:val="5F5875E4"/>
    <w:rsid w:val="5FA56CCD"/>
    <w:rsid w:val="5FD44EBD"/>
    <w:rsid w:val="6014175D"/>
    <w:rsid w:val="60395667"/>
    <w:rsid w:val="60631B06"/>
    <w:rsid w:val="60CC64DC"/>
    <w:rsid w:val="61146A85"/>
    <w:rsid w:val="61215109"/>
    <w:rsid w:val="61B41449"/>
    <w:rsid w:val="61E47B98"/>
    <w:rsid w:val="61FB37DF"/>
    <w:rsid w:val="620E3E48"/>
    <w:rsid w:val="62272621"/>
    <w:rsid w:val="6248439C"/>
    <w:rsid w:val="62500A46"/>
    <w:rsid w:val="62562501"/>
    <w:rsid w:val="62FA30B9"/>
    <w:rsid w:val="6341751D"/>
    <w:rsid w:val="638B4489"/>
    <w:rsid w:val="63B079EF"/>
    <w:rsid w:val="63CD67F3"/>
    <w:rsid w:val="63F20007"/>
    <w:rsid w:val="6461518D"/>
    <w:rsid w:val="646F2F1F"/>
    <w:rsid w:val="64A2308F"/>
    <w:rsid w:val="64B4044D"/>
    <w:rsid w:val="650C7C0D"/>
    <w:rsid w:val="65301304"/>
    <w:rsid w:val="65D5373C"/>
    <w:rsid w:val="662F5543"/>
    <w:rsid w:val="663514F4"/>
    <w:rsid w:val="6659436D"/>
    <w:rsid w:val="66770C98"/>
    <w:rsid w:val="669046A2"/>
    <w:rsid w:val="66F10A4A"/>
    <w:rsid w:val="67344E7C"/>
    <w:rsid w:val="67472418"/>
    <w:rsid w:val="6773320D"/>
    <w:rsid w:val="67807911"/>
    <w:rsid w:val="67B56507"/>
    <w:rsid w:val="67CA0BF8"/>
    <w:rsid w:val="67CA70AF"/>
    <w:rsid w:val="682E182A"/>
    <w:rsid w:val="685C1EF3"/>
    <w:rsid w:val="68807719"/>
    <w:rsid w:val="688C75A5"/>
    <w:rsid w:val="68A85138"/>
    <w:rsid w:val="68D26659"/>
    <w:rsid w:val="699D0A15"/>
    <w:rsid w:val="6A1D02D2"/>
    <w:rsid w:val="6A49357B"/>
    <w:rsid w:val="6A6909B1"/>
    <w:rsid w:val="6A724DC3"/>
    <w:rsid w:val="6B8E4AB9"/>
    <w:rsid w:val="6C270A6A"/>
    <w:rsid w:val="6C3F109E"/>
    <w:rsid w:val="6C49435B"/>
    <w:rsid w:val="6C603669"/>
    <w:rsid w:val="6C6F771A"/>
    <w:rsid w:val="6C997714"/>
    <w:rsid w:val="6CBB3C39"/>
    <w:rsid w:val="6CCC619E"/>
    <w:rsid w:val="6CDA3D2E"/>
    <w:rsid w:val="6CF7668E"/>
    <w:rsid w:val="6D4F0278"/>
    <w:rsid w:val="6D550BB3"/>
    <w:rsid w:val="6D6535F8"/>
    <w:rsid w:val="6D92178B"/>
    <w:rsid w:val="6D9C0FE4"/>
    <w:rsid w:val="6DBC0BB7"/>
    <w:rsid w:val="6E1273C0"/>
    <w:rsid w:val="6E2C680B"/>
    <w:rsid w:val="6E8543EE"/>
    <w:rsid w:val="6E8B0AC9"/>
    <w:rsid w:val="6EAC5256"/>
    <w:rsid w:val="6EB730B1"/>
    <w:rsid w:val="6EC24A7A"/>
    <w:rsid w:val="6F0C4ACF"/>
    <w:rsid w:val="6F2614AD"/>
    <w:rsid w:val="6F40683E"/>
    <w:rsid w:val="6F5C6C7D"/>
    <w:rsid w:val="6F9E1043"/>
    <w:rsid w:val="6FB07263"/>
    <w:rsid w:val="6FBA294A"/>
    <w:rsid w:val="6FDE7692"/>
    <w:rsid w:val="70182BA3"/>
    <w:rsid w:val="705D4A5A"/>
    <w:rsid w:val="70666005"/>
    <w:rsid w:val="71136F71"/>
    <w:rsid w:val="712B2DAA"/>
    <w:rsid w:val="712D27DB"/>
    <w:rsid w:val="71327C95"/>
    <w:rsid w:val="71722787"/>
    <w:rsid w:val="717C1858"/>
    <w:rsid w:val="71A6516C"/>
    <w:rsid w:val="71AA15F1"/>
    <w:rsid w:val="71E96CF5"/>
    <w:rsid w:val="725B146D"/>
    <w:rsid w:val="72D45970"/>
    <w:rsid w:val="7304063B"/>
    <w:rsid w:val="732D765C"/>
    <w:rsid w:val="736A0139"/>
    <w:rsid w:val="73AC7AA8"/>
    <w:rsid w:val="745443C6"/>
    <w:rsid w:val="7460720F"/>
    <w:rsid w:val="74961386"/>
    <w:rsid w:val="74C7147F"/>
    <w:rsid w:val="754A1737"/>
    <w:rsid w:val="75642B86"/>
    <w:rsid w:val="75F27075"/>
    <w:rsid w:val="760A4BBB"/>
    <w:rsid w:val="760D1A5C"/>
    <w:rsid w:val="763444AF"/>
    <w:rsid w:val="76384823"/>
    <w:rsid w:val="7650413B"/>
    <w:rsid w:val="765C762A"/>
    <w:rsid w:val="767E1BCE"/>
    <w:rsid w:val="76AF1D88"/>
    <w:rsid w:val="76C45833"/>
    <w:rsid w:val="76D35717"/>
    <w:rsid w:val="76DD4C70"/>
    <w:rsid w:val="77413779"/>
    <w:rsid w:val="775546DD"/>
    <w:rsid w:val="775D5293"/>
    <w:rsid w:val="77935322"/>
    <w:rsid w:val="77B97ED7"/>
    <w:rsid w:val="77F4039A"/>
    <w:rsid w:val="77F9775E"/>
    <w:rsid w:val="780204DD"/>
    <w:rsid w:val="788646EF"/>
    <w:rsid w:val="788A2AAC"/>
    <w:rsid w:val="78BB4A14"/>
    <w:rsid w:val="79161645"/>
    <w:rsid w:val="792C3B64"/>
    <w:rsid w:val="797160F7"/>
    <w:rsid w:val="79CA7406"/>
    <w:rsid w:val="79DF5D1A"/>
    <w:rsid w:val="7A072F1D"/>
    <w:rsid w:val="7AAF4FDA"/>
    <w:rsid w:val="7AC34438"/>
    <w:rsid w:val="7ACD6C80"/>
    <w:rsid w:val="7ADB314B"/>
    <w:rsid w:val="7AE765B8"/>
    <w:rsid w:val="7B193B0B"/>
    <w:rsid w:val="7B3545DB"/>
    <w:rsid w:val="7B397DEA"/>
    <w:rsid w:val="7B3C22D5"/>
    <w:rsid w:val="7B4E6013"/>
    <w:rsid w:val="7BAA6675"/>
    <w:rsid w:val="7BBB020F"/>
    <w:rsid w:val="7BCC0BC6"/>
    <w:rsid w:val="7C3C7AE6"/>
    <w:rsid w:val="7C427128"/>
    <w:rsid w:val="7C6333F8"/>
    <w:rsid w:val="7C7C0F53"/>
    <w:rsid w:val="7CB8413B"/>
    <w:rsid w:val="7CD95DB0"/>
    <w:rsid w:val="7CDC31AB"/>
    <w:rsid w:val="7CF84488"/>
    <w:rsid w:val="7CFE11C6"/>
    <w:rsid w:val="7D132B0B"/>
    <w:rsid w:val="7D1D1970"/>
    <w:rsid w:val="7D2708CA"/>
    <w:rsid w:val="7D8F07CD"/>
    <w:rsid w:val="7D9834DC"/>
    <w:rsid w:val="7DCA1740"/>
    <w:rsid w:val="7DD329B7"/>
    <w:rsid w:val="7DEB5F33"/>
    <w:rsid w:val="7DF6594F"/>
    <w:rsid w:val="7DFD4F4B"/>
    <w:rsid w:val="7E1352F2"/>
    <w:rsid w:val="7E431733"/>
    <w:rsid w:val="7E611648"/>
    <w:rsid w:val="7E7503C2"/>
    <w:rsid w:val="7ED0697C"/>
    <w:rsid w:val="7EEB5EE0"/>
    <w:rsid w:val="7EED169F"/>
    <w:rsid w:val="7F2D597E"/>
    <w:rsid w:val="7FC805FE"/>
    <w:rsid w:val="7FDA44FC"/>
    <w:rsid w:val="7FE725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jc w:val="center"/>
      <w:outlineLvl w:val="0"/>
    </w:pPr>
    <w:rPr>
      <w:rFonts w:ascii="Times New Roman" w:hAnsi="Times New Roman" w:eastAsia="方正黑体简体"/>
      <w:b/>
      <w:kern w:val="44"/>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5">
    <w:name w:val="toc 3"/>
    <w:basedOn w:val="1"/>
    <w:next w:val="1"/>
    <w:unhideWhenUsed/>
    <w:qFormat/>
    <w:uiPriority w:val="39"/>
    <w:pPr>
      <w:ind w:left="840" w:leftChars="4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4"/>
    <w:basedOn w:val="1"/>
    <w:next w:val="1"/>
    <w:unhideWhenUsed/>
    <w:qFormat/>
    <w:uiPriority w:val="39"/>
    <w:pPr>
      <w:ind w:left="1260" w:leftChars="600"/>
    </w:pPr>
  </w:style>
  <w:style w:type="paragraph" w:styleId="9">
    <w:name w:val="toc 2"/>
    <w:basedOn w:val="1"/>
    <w:next w:val="1"/>
    <w:unhideWhenUsed/>
    <w:qFormat/>
    <w:uiPriority w:val="39"/>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nhideWhenUsed/>
    <w:qFormat/>
    <w:uiPriority w:val="99"/>
  </w:style>
  <w:style w:type="character" w:styleId="14">
    <w:name w:val="Hyperlink"/>
    <w:basedOn w:val="12"/>
    <w:unhideWhenUsed/>
    <w:qFormat/>
    <w:uiPriority w:val="99"/>
    <w:rPr>
      <w:color w:val="0000FF"/>
      <w:u w:val="single"/>
    </w:rPr>
  </w:style>
  <w:style w:type="character" w:customStyle="1" w:styleId="15">
    <w:name w:val="页眉 Char"/>
    <w:basedOn w:val="12"/>
    <w:link w:val="7"/>
    <w:semiHidden/>
    <w:qFormat/>
    <w:uiPriority w:val="99"/>
    <w:rPr>
      <w:kern w:val="2"/>
      <w:sz w:val="18"/>
      <w:szCs w:val="18"/>
    </w:rPr>
  </w:style>
  <w:style w:type="character" w:customStyle="1" w:styleId="16">
    <w:name w:val="页脚 Char"/>
    <w:basedOn w:val="12"/>
    <w:link w:val="6"/>
    <w:semiHidden/>
    <w:qFormat/>
    <w:uiPriority w:val="99"/>
    <w:rPr>
      <w:kern w:val="2"/>
      <w:sz w:val="18"/>
      <w:szCs w:val="18"/>
    </w:rPr>
  </w:style>
  <w:style w:type="paragraph" w:customStyle="1" w:styleId="17">
    <w:name w:val="p0"/>
    <w:basedOn w:val="1"/>
    <w:qFormat/>
    <w:uiPriority w:val="0"/>
    <w:pPr>
      <w:widowControl/>
    </w:pPr>
    <w:rPr>
      <w:rFonts w:ascii="宋体" w:hAnsi="宋体" w:cs="宋体"/>
      <w:kern w:val="0"/>
      <w:sz w:val="32"/>
      <w:szCs w:val="32"/>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11234</Words>
  <Characters>12940</Characters>
  <Lines>90</Lines>
  <Paragraphs>25</Paragraphs>
  <TotalTime>2</TotalTime>
  <ScaleCrop>false</ScaleCrop>
  <LinksUpToDate>false</LinksUpToDate>
  <CharactersWithSpaces>13544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HP</cp:lastModifiedBy>
  <cp:lastPrinted>2022-04-01T02:04:00Z</cp:lastPrinted>
  <dcterms:modified xsi:type="dcterms:W3CDTF">2024-03-20T03:17:43Z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DA963AA37FC8419783E9C8EDF056E5C9</vt:lpwstr>
  </property>
</Properties>
</file>