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预算部门整体绩效自评报告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（2020年度）</w:t>
      </w: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rPr>
          <w:sz w:val="30"/>
          <w:szCs w:val="30"/>
        </w:rPr>
      </w:pPr>
    </w:p>
    <w:p>
      <w:pPr>
        <w:pStyle w:val="3"/>
        <w:spacing w:before="12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评价方式： </w:t>
      </w:r>
      <w:r>
        <w:rPr>
          <w:rFonts w:hint="eastAsia"/>
          <w:sz w:val="36"/>
          <w:szCs w:val="36"/>
        </w:rPr>
        <w:sym w:font="Wingdings" w:char="F0FE"/>
      </w:r>
      <w:r>
        <w:rPr>
          <w:rFonts w:hint="eastAsia"/>
          <w:sz w:val="30"/>
          <w:szCs w:val="30"/>
        </w:rPr>
        <w:t xml:space="preserve">直接组织评价          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30"/>
          <w:szCs w:val="30"/>
        </w:rPr>
        <w:t>委托评价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750" w:firstLineChars="250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部门名称：</w:t>
      </w:r>
      <w:r>
        <w:rPr>
          <w:rFonts w:hint="eastAsia"/>
          <w:sz w:val="30"/>
          <w:szCs w:val="30"/>
          <w:u w:val="single"/>
        </w:rPr>
        <w:t xml:space="preserve">    遵化市交通运输局       （加盖公章）                   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ind w:firstLine="885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  <w:r>
        <w:rPr>
          <w:rFonts w:hint="eastAsia"/>
          <w:color w:val="FFFFFF" w:themeColor="background1"/>
          <w:sz w:val="30"/>
          <w:szCs w:val="30"/>
          <w:u w:val="single"/>
        </w:rPr>
        <w:t xml:space="preserve">1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</w:t>
      </w:r>
    </w:p>
    <w:p>
      <w:pPr>
        <w:pStyle w:val="3"/>
        <w:spacing w:before="12"/>
        <w:ind w:firstLine="885"/>
        <w:rPr>
          <w:sz w:val="30"/>
          <w:szCs w:val="30"/>
        </w:rPr>
      </w:pPr>
    </w:p>
    <w:p>
      <w:pPr>
        <w:pStyle w:val="3"/>
        <w:spacing w:before="12"/>
        <w:ind w:firstLine="8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   2021年4月30日</w:t>
      </w:r>
    </w:p>
    <w:p>
      <w:pPr>
        <w:pStyle w:val="3"/>
        <w:spacing w:before="12"/>
        <w:jc w:val="center"/>
        <w:rPr>
          <w:sz w:val="30"/>
          <w:szCs w:val="30"/>
        </w:rPr>
      </w:pPr>
    </w:p>
    <w:p>
      <w:pPr>
        <w:pStyle w:val="3"/>
        <w:spacing w:before="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遵化市财政局编制</w:t>
      </w: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44"/>
          <w:szCs w:val="44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遵化</w:t>
      </w:r>
      <w:r>
        <w:rPr>
          <w:b/>
          <w:sz w:val="36"/>
          <w:szCs w:val="36"/>
        </w:rPr>
        <w:t>市交通运输局</w:t>
      </w:r>
    </w:p>
    <w:p>
      <w:pPr>
        <w:pStyle w:val="3"/>
        <w:spacing w:before="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2020年度</w:t>
      </w:r>
      <w:r>
        <w:rPr>
          <w:b/>
          <w:sz w:val="36"/>
          <w:szCs w:val="36"/>
        </w:rPr>
        <w:t>部门整体绩效评价报告</w:t>
      </w:r>
    </w:p>
    <w:p>
      <w:pPr>
        <w:pStyle w:val="3"/>
        <w:spacing w:before="1" w:line="36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为了贯彻落实全面推进预算绩效管理要求，强化部门支出责任，规范资金管理、提高财政资金使用效率和效益，促进部门从整体上提升预算绩效管理水平，保障部门更好地履行职责，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遵化市交通运输局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（以下简称“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交通局”）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对局本级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20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20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年度部门整体支出进行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了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绩效评价。</w:t>
      </w:r>
    </w:p>
    <w:p>
      <w:pPr>
        <w:pStyle w:val="2"/>
        <w:numPr>
          <w:ilvl w:val="0"/>
          <w:numId w:val="1"/>
        </w:numPr>
        <w:spacing w:before="0" w:after="0" w:line="44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Toc47512426"/>
      <w:r>
        <w:rPr>
          <w:rFonts w:asciiTheme="minorEastAsia" w:hAnsiTheme="minorEastAsia" w:eastAsiaTheme="minorEastAsia"/>
          <w:sz w:val="30"/>
          <w:szCs w:val="30"/>
        </w:rPr>
        <w:t>部门</w:t>
      </w:r>
      <w:r>
        <w:rPr>
          <w:rFonts w:hint="eastAsia" w:asciiTheme="minorEastAsia" w:hAnsiTheme="minorEastAsia" w:eastAsiaTheme="minorEastAsia"/>
          <w:sz w:val="30"/>
          <w:szCs w:val="30"/>
        </w:rPr>
        <w:t>整体</w:t>
      </w:r>
      <w:r>
        <w:rPr>
          <w:rFonts w:asciiTheme="minorEastAsia" w:hAnsiTheme="minorEastAsia" w:eastAsiaTheme="minorEastAsia"/>
          <w:sz w:val="30"/>
          <w:szCs w:val="30"/>
        </w:rPr>
        <w:t>概况</w:t>
      </w:r>
      <w:bookmarkEnd w:id="0"/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本部门2020年度申请预算资金26476.72万元，实际支出24603.71万元，预算执行率 92.93% 。其中：专项项目 30 个，金额合计 22735.98  万元，实际支出  21118.85万元，执行率92.89%   。</w:t>
      </w:r>
    </w:p>
    <w:p>
      <w:pPr>
        <w:pStyle w:val="14"/>
        <w:numPr>
          <w:ilvl w:val="0"/>
          <w:numId w:val="1"/>
        </w:numPr>
        <w:ind w:firstLineChars="0"/>
        <w:rPr>
          <w:rFonts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</w:pPr>
      <w:r>
        <w:rPr>
          <w:rFonts w:hint="eastAsia" w:cs="仿宋" w:asciiTheme="minorEastAsia" w:hAnsiTheme="minorEastAsia" w:eastAsiaTheme="minorEastAsia"/>
          <w:b/>
          <w:bCs/>
          <w:kern w:val="44"/>
          <w:sz w:val="30"/>
          <w:szCs w:val="30"/>
          <w:lang w:val="zh-CN" w:bidi="zh-CN"/>
        </w:rPr>
        <w:t>部门总体绩效目标和绩效指标设定情况</w:t>
      </w:r>
    </w:p>
    <w:p>
      <w:pPr>
        <w:spacing w:line="560" w:lineRule="atLeast"/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本部门年初设定的部门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整体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绩效指标是：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加快推进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市交通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公路基础设施改造升级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，积极拓宽融资渠道，努力完成公路建设任务，实现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遵化市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市综合交通运输发展新跨越。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加大全市公路养护投入，全面提升管养水平，实现公路的安全畅通，为人民群众安全便捷出行提供交通运输保障。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（三）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落实节能减排，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加快推进新能源汽车应用，依法整治域内交通环境。</w:t>
      </w:r>
    </w:p>
    <w:p>
      <w:pPr>
        <w:spacing w:line="500" w:lineRule="exact"/>
        <w:ind w:firstLine="60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（四）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提升客运服务品质。优化公交线路，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发展多样化公交服务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做好出租汽车市场运力调控和秩序整治。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落实国家成品油改革政策，对公交、出租车及时按政策发放补贴，促进公共交通健康发展。</w:t>
      </w: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（五）深入推进平安交通建设。实施“平安交通”行动计划、危险化学品运输安全综合治理，建设公路安全防护设施建设，确保全行业不发生较大以上等级生产安全事故。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（六）完成省道邦宽线收费工作，及时归还公路贷款本息</w:t>
      </w:r>
    </w:p>
    <w:p>
      <w:pPr>
        <w:spacing w:after="0"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全面做好疫情防控工作，切实做好新冠肺炎疫情防控工作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维护好广大人民群众的身体健康和生命安全。</w:t>
      </w:r>
    </w:p>
    <w:p>
      <w:pPr>
        <w:spacing w:after="0" w:line="500" w:lineRule="exact"/>
        <w:ind w:firstLine="420" w:firstLineChars="150"/>
        <w:rPr>
          <w:rFonts w:ascii="Times New Roman" w:hAnsi="方正仿宋_GBK" w:eastAsia="方正仿宋_GBK" w:cs="方正仿宋_GBK"/>
          <w:sz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（八）提高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通运输服务质量和管理水平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，加大治超力度和交通环境治理，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努力创建综合交通、平安交通、智慧交通、绿色交通。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，为建设环京津新型工业基地、旅游商贸名城、魅力中等城市、再创遵化发展新辉煌提供有力交通支撑和保障。</w:t>
      </w:r>
    </w:p>
    <w:p>
      <w:pPr>
        <w:spacing w:after="0" w:line="560" w:lineRule="atLeas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（九）党建工作继续加强。加强党的政治建设，党的组织建设，党的思想建设，改进优化工作作风，进一步巩固拓展脱贫攻坚成果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，落实全面从严治党主体责任。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绩效评价组织情况</w:t>
      </w:r>
    </w:p>
    <w:p>
      <w:pPr>
        <w:spacing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本次绩效评价项目 30 个，占部门项目总数的 100  %，涉及金额  22735.97 万元。本着客观、公正、公开的原则开展自评工作，所有项目的绩效自评均设计了合理、明晰、可考核的、关键性产出和效果指标。自评结果真实可靠。</w:t>
      </w:r>
    </w:p>
    <w:p>
      <w:pPr>
        <w:pStyle w:val="14"/>
        <w:numPr>
          <w:ilvl w:val="0"/>
          <w:numId w:val="1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绩效实现情况分析</w:t>
      </w:r>
    </w:p>
    <w:p>
      <w:pPr>
        <w:pStyle w:val="14"/>
        <w:numPr>
          <w:ilvl w:val="0"/>
          <w:numId w:val="2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公路基础设施建设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为完善交通网络建设，促进经济腾飞，加快进行长城旅游路建</w:t>
      </w:r>
    </w:p>
    <w:p>
      <w:pPr>
        <w:spacing w:after="0"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设和改造。及时落实长城旅游路征地拆迁资金，完成征地拆迁工作，及时开工建设，已完成预定工程进度，已完成投资4000余万元。</w:t>
      </w:r>
    </w:p>
    <w:p>
      <w:pPr>
        <w:spacing w:after="0" w:line="460" w:lineRule="exact"/>
        <w:ind w:firstLine="560" w:firstLineChars="200"/>
        <w:rPr>
          <w:rFonts w:ascii="宋体" w:hAnsi="宋体" w:eastAsia="宋体" w:cs="宋体"/>
          <w:sz w:val="20"/>
          <w:szCs w:val="20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根据年初制定的预算方案和绩效目标，对全市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干线公路的大中修、桥涵维修加固工程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，精心组织施工和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交、竣工验收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工作。完成遵化市县道彭李线大修工程，遵化市乡道YGT1杨家峪-宫里公路改建工程，遵化市平安城-东旧寨线七户桥改建工，遵化市愚公桥改建工程省道邦宽线路面养护工程等重点工程项目。在改建扩建工程中，注重公路改造升级，完善安全、绿化设施，实现安全交通、绿色交通。完成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112线公路绿化工程  国道102线安保工程  普通干线公路排水整治工程，邦宽线安全设施整治工程等。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利用好乡村振兴补助资金，完善村村通工程建设，对乡村公路进行改造完善，完成自然村公路罩面、加宽工程，2020年度基本完成村村通工程建设计划。</w:t>
      </w:r>
    </w:p>
    <w:p>
      <w:pPr>
        <w:pStyle w:val="7"/>
        <w:spacing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（二）路域环境治理不断深化，公路安全畅通有保障。开展路域环境专项整治，严格办理涉路行政许可，查处违法案件，立案率和查处率100%，结案率98%以上，路损赔付率95%以上。</w:t>
      </w:r>
    </w:p>
    <w:p>
      <w:pPr>
        <w:adjustRightInd/>
        <w:snapToGrid/>
        <w:spacing w:after="0" w:line="460" w:lineRule="exact"/>
        <w:ind w:firstLine="482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治超治限力度不减，超限超载率明显下降。严格落实处罚机制，抓好源头治超和联网治超，保持治超治限高压态势。加强车辆检测，全市站点车辆超限超载率稳控在1%以下。</w:t>
      </w:r>
    </w:p>
    <w:p>
      <w:pPr>
        <w:spacing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/>
          <w:color w:val="000000"/>
          <w:sz w:val="24"/>
          <w:szCs w:val="24"/>
        </w:rPr>
        <w:t xml:space="preserve">     （三）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提升客运服务品质，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促进公共交通健康发展。认真贯彻执行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城市公交车成品油价格补助政策，及时足额发放补贴资金，规范补贴范围和标准，严格监督专项资金使用。利用专项资金，实施了道路运输车辆安装使用智能视频监控报警装置安装工作，有效减少疲劳驾驶等安全隐患。</w:t>
      </w:r>
    </w:p>
    <w:p>
      <w:pPr>
        <w:spacing w:after="0"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（四）利用好节能减排专项资金，</w:t>
      </w:r>
    </w:p>
    <w:p>
      <w:pPr>
        <w:spacing w:line="44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进一步加快新能源汽车推广应用，促进公交行业节能减排，实现公交行业健康、稳定发展，建立鼓励新能源公交车应用、限制燃油公交车增长新机制，推动新能源公交车规范化推广应用，促进公交行业节能减排，涨价补助数额与新能源公交车推广数量挂钩，奖励新能源公交车推广应用，逐步形成新能源公交车的比较优势，新能源公交车推广应用成绩显著。 </w:t>
      </w:r>
    </w:p>
    <w:p>
      <w:pPr>
        <w:adjustRightInd/>
        <w:snapToGrid/>
        <w:spacing w:after="0"/>
        <w:ind w:firstLine="700" w:firstLineChars="2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（五）做好省道邦宽线收费工作，及时偿还邦宽线公路贷款本金及利息。</w:t>
      </w:r>
    </w:p>
    <w:p>
      <w:pPr>
        <w:pStyle w:val="7"/>
        <w:shd w:val="clear" w:color="auto" w:fill="FFFFFF"/>
        <w:spacing w:line="420" w:lineRule="exact"/>
        <w:ind w:firstLine="48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积极落实收费站经费补资金，专款专用，助圆满完成全年收取通行费工作目标，收费金额比上年增长5%。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认真履行性借款合同，及时偿还借款本息，本年偿还本金2600万元，逐步降低资金成本。</w:t>
      </w:r>
    </w:p>
    <w:p>
      <w:pPr>
        <w:spacing w:after="0" w:line="460" w:lineRule="exac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（六）加大交通管理设施投入，实现交通公路智能化，现代化。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投入资金100多万元，购置治超站检测设备，建设治超站卸载场地，规范治超执法。加强交通管理网络化建设，做到精准管理，提高工作效率。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（七）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切实做好新冠肺炎疫情防控工作</w:t>
      </w:r>
    </w:p>
    <w:p>
      <w:pPr>
        <w:spacing w:after="0" w:line="46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建立24小时防疫检查工作机制及疫情日报告制度，加大检疫巡查力度，落实督导和责任追究制度，确保各项防疫工作落实到位。强化防控举措，提升服务质效。开设检疫专用车道，引导人员、车辆有序受检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，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加强消杀措施，确保乘车安全。</w:t>
      </w:r>
    </w:p>
    <w:p>
      <w:pPr>
        <w:spacing w:after="0" w:line="460" w:lineRule="exact"/>
        <w:ind w:firstLine="420" w:firstLineChars="15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（八）全面抓好政治引领、思想宣传、从严治党、精神文明、作风建设等方面行动，进一步推动机关党建向纵深发展，为促进我局工作提供坚强有力的保障服务。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五、存在的问题</w:t>
      </w:r>
    </w:p>
    <w:p>
      <w:pPr>
        <w:spacing w:line="570" w:lineRule="exact"/>
        <w:ind w:firstLine="560" w:firstLineChars="20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今后我局将进一步完善部门整体绩效目标，项目绩效目标，严格预算管理、决算管理,严格执行年度预算,推进绩效预算管理，提高财政资金使用效益。</w:t>
      </w:r>
    </w:p>
    <w:p>
      <w:pPr>
        <w:pStyle w:val="14"/>
        <w:numPr>
          <w:ilvl w:val="0"/>
          <w:numId w:val="3"/>
        </w:numPr>
        <w:ind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相关建议</w:t>
      </w:r>
    </w:p>
    <w:p>
      <w:pPr>
        <w:ind w:left="708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>无相关建议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    </w:t>
      </w: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</w:p>
    <w:p>
      <w:pPr>
        <w:pStyle w:val="3"/>
        <w:spacing w:before="12"/>
        <w:jc w:val="center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 遵化</w:t>
      </w:r>
      <w:r>
        <w:rPr>
          <w:rFonts w:cs="Times New Roman" w:asciiTheme="minorEastAsia" w:hAnsiTheme="minorEastAsia" w:eastAsiaTheme="minorEastAsia"/>
          <w:kern w:val="2"/>
          <w:sz w:val="28"/>
          <w:szCs w:val="28"/>
        </w:rPr>
        <w:t>市交通运输局</w:t>
      </w: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t xml:space="preserve">                   2021.5.13</w:t>
      </w:r>
    </w:p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  <w:r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  <w:br w:type="page"/>
      </w:r>
    </w:p>
    <w:p>
      <w:pPr>
        <w:adjustRightInd/>
        <w:snapToGrid/>
        <w:spacing w:line="220" w:lineRule="atLeast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6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2020年绩效评价信息汇总表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注：含一般公共预算和政府性基金项目                      单位：万元</w:t>
            </w:r>
          </w:p>
        </w:tc>
      </w:tr>
    </w:tbl>
    <w:p>
      <w:pPr>
        <w:adjustRightInd/>
        <w:snapToGrid/>
        <w:spacing w:line="220" w:lineRule="atLeast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43"/>
        <w:gridCol w:w="2892"/>
        <w:gridCol w:w="1063"/>
        <w:gridCol w:w="8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附件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单位名称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项目名称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预算数（含调整数）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自评决算数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自评结论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96" w:type="pct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合计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道路运输车辆安装使用智能视频监控报警装置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629.00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23.43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完成资金使用计划，效果显著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出租车油价补贴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242.97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242.97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严格执行补贴标准和政策，完成情况较好。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县交通运输部门人员公用经费资金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293.00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293.00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专款专用，资金使用效果良好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农村公路建设养护发展专项资金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311.00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311.00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治超专项资金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40.00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40.00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18"/>
                <w:szCs w:val="18"/>
              </w:rPr>
              <w:t>保证了治超经费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城市公交车成品油价格补助资金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28.77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28.77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及时发放，减轻运营成本压力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城市公交车成品油价格补助资金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172.02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172.02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及时发放，减轻运营成本压力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节能减排补助资金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246.00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246.00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专款专用，促进新能源发展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拨付收费站人员经费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145.40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145.40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按规定支付，保障收费站正常运营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偿还邦宽线贷款本金及利息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5922.00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5768.57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履行合同情况良好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通行费邦宽线养护经费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413.00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413.00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通行费安排收费站人员经费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745.00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585.57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按规定支付，保障收费站正常运营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13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通行费安排交通设施维修维护资金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120.00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120.00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保障公路设施维修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冀财预【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遵化市长城旅游公路改造工程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7637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7261.61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按计划完成工程进度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冀财预【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邦宽线安全设施整治工程（城区段）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完善安全设施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冀财预【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邦宽线安全设施整治工程（石门镇政府至周汤线段）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完善安全设施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17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全域旅游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112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线、邦宽线、遵宝线路域治理补助资金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保障路域环境和安全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18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国省干线施划标线等工程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保障公路规范管理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19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乡村振兴农村公路养护资金本级配套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853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851.6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保证乡村振兴战略实施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乡村振兴农村公路维修工程补助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608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保证乡村振兴战略实施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21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交通局国省干线养护经费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468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22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治超检测站工程建设资金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94.1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94.1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设备购置，完善治超手段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治超检测站工程建设资金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遵财答复【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2019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1014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105.9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105.9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完善治超基础建设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24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疫情防控专项资金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遵财答复【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124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完成防疫任务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25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疫情防控资金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23.04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23.04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完成防疫任务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26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2019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年度争取上级资金奖励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9.73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9.73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起到激励作用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27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长城旅游公路改造工程征地拆迁资金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821.4636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821.4086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圆满完成拆迁计划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28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国防公路建设公益人员生活补贴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33.98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及时发放，提高相关人员积极性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调整国防建设公益制人员生活费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27.58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25.76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及时发放，提高相关人员积极性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30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遵化市交通运输局</w:t>
            </w: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冀财建【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2019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】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296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关于提前下达</w:t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2020</w:t>
            </w: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年农村公路建设养护发展专项资金的通知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350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cs="Times New Roman" w:hAnsiTheme="minorEastAsia" w:eastAsiaTheme="minorEastAsia"/>
                <w:sz w:val="18"/>
                <w:szCs w:val="18"/>
              </w:rPr>
              <w:t>保障农村公路养护目标完成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31</w:t>
            </w:r>
          </w:p>
        </w:tc>
        <w:tc>
          <w:tcPr>
            <w:tcW w:w="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22735.9736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21118.85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p>
      <w:pPr>
        <w:pStyle w:val="14"/>
        <w:ind w:left="1338" w:firstLine="0" w:firstLineChars="0"/>
        <w:rPr>
          <w:rFonts w:cs="Times New Roman" w:asciiTheme="minorEastAsia" w:hAnsiTheme="minorEastAsia" w:eastAsiaTheme="minorEastAsia"/>
          <w:kern w:val="2"/>
          <w:sz w:val="28"/>
          <w:szCs w:val="28"/>
          <w:lang w:val="zh-CN" w:bidi="zh-CN"/>
        </w:rPr>
      </w:pPr>
    </w:p>
    <w:sectPr>
      <w:pgSz w:w="11906" w:h="16838"/>
      <w:pgMar w:top="1440" w:right="1800" w:bottom="1440" w:left="180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62C50"/>
    <w:multiLevelType w:val="multilevel"/>
    <w:tmpl w:val="1E862C50"/>
    <w:lvl w:ilvl="0" w:tentative="0">
      <w:start w:val="6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55F0AC8"/>
    <w:multiLevelType w:val="multilevel"/>
    <w:tmpl w:val="455F0AC8"/>
    <w:lvl w:ilvl="0" w:tentative="0">
      <w:start w:val="1"/>
      <w:numFmt w:val="japaneseCounting"/>
      <w:lvlText w:val="%1、"/>
      <w:lvlJc w:val="left"/>
      <w:pPr>
        <w:ind w:left="1338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73CA68E5"/>
    <w:multiLevelType w:val="multilevel"/>
    <w:tmpl w:val="73CA68E5"/>
    <w:lvl w:ilvl="0" w:tentative="0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C109D"/>
    <w:rsid w:val="000D5F84"/>
    <w:rsid w:val="000D61DB"/>
    <w:rsid w:val="000F4133"/>
    <w:rsid w:val="00152761"/>
    <w:rsid w:val="0016195F"/>
    <w:rsid w:val="00167054"/>
    <w:rsid w:val="001A1E4C"/>
    <w:rsid w:val="001D0ED6"/>
    <w:rsid w:val="00220A3D"/>
    <w:rsid w:val="002A4289"/>
    <w:rsid w:val="002B220B"/>
    <w:rsid w:val="00323B43"/>
    <w:rsid w:val="00341A95"/>
    <w:rsid w:val="003477B6"/>
    <w:rsid w:val="003D37D8"/>
    <w:rsid w:val="003E14BA"/>
    <w:rsid w:val="00401F20"/>
    <w:rsid w:val="00426133"/>
    <w:rsid w:val="004358AB"/>
    <w:rsid w:val="004725D5"/>
    <w:rsid w:val="004832EA"/>
    <w:rsid w:val="004B6059"/>
    <w:rsid w:val="004D0E3E"/>
    <w:rsid w:val="004F0499"/>
    <w:rsid w:val="004F44FD"/>
    <w:rsid w:val="004F7D21"/>
    <w:rsid w:val="00515BB0"/>
    <w:rsid w:val="00536CE7"/>
    <w:rsid w:val="005561FA"/>
    <w:rsid w:val="005574E4"/>
    <w:rsid w:val="00591975"/>
    <w:rsid w:val="005B6DDB"/>
    <w:rsid w:val="0060643F"/>
    <w:rsid w:val="00614359"/>
    <w:rsid w:val="0062391D"/>
    <w:rsid w:val="006A0EAB"/>
    <w:rsid w:val="006D3582"/>
    <w:rsid w:val="007F0B52"/>
    <w:rsid w:val="008B7726"/>
    <w:rsid w:val="008C0BAE"/>
    <w:rsid w:val="008F7451"/>
    <w:rsid w:val="00901439"/>
    <w:rsid w:val="009501C9"/>
    <w:rsid w:val="009B75BA"/>
    <w:rsid w:val="009F5BA6"/>
    <w:rsid w:val="00A2662C"/>
    <w:rsid w:val="00A50B8D"/>
    <w:rsid w:val="00B90B4B"/>
    <w:rsid w:val="00B9460C"/>
    <w:rsid w:val="00BB4BE7"/>
    <w:rsid w:val="00BC63FA"/>
    <w:rsid w:val="00C33452"/>
    <w:rsid w:val="00CE00AD"/>
    <w:rsid w:val="00D100F4"/>
    <w:rsid w:val="00D162B2"/>
    <w:rsid w:val="00D31D50"/>
    <w:rsid w:val="00D3406C"/>
    <w:rsid w:val="00D65FFE"/>
    <w:rsid w:val="00D67B33"/>
    <w:rsid w:val="00D956E2"/>
    <w:rsid w:val="00DB02E7"/>
    <w:rsid w:val="00E543F0"/>
    <w:rsid w:val="00E73147"/>
    <w:rsid w:val="00E7793E"/>
    <w:rsid w:val="00E77E7C"/>
    <w:rsid w:val="00ED576C"/>
    <w:rsid w:val="00F24F13"/>
    <w:rsid w:val="00F65C40"/>
    <w:rsid w:val="00F77967"/>
    <w:rsid w:val="00FA54EE"/>
    <w:rsid w:val="00FD5F29"/>
    <w:rsid w:val="53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 w:val="0"/>
      <w:autoSpaceDE w:val="0"/>
      <w:autoSpaceDN w:val="0"/>
      <w:adjustRightInd/>
      <w:snapToGrid/>
      <w:spacing w:before="340" w:after="330" w:line="578" w:lineRule="auto"/>
      <w:outlineLvl w:val="0"/>
    </w:pPr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9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 w:bidi="zh-CN"/>
    </w:rPr>
  </w:style>
  <w:style w:type="character" w:customStyle="1" w:styleId="13">
    <w:name w:val="正文文本 Char"/>
    <w:basedOn w:val="9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654</Words>
  <Characters>3733</Characters>
  <Lines>31</Lines>
  <Paragraphs>8</Paragraphs>
  <TotalTime>339</TotalTime>
  <ScaleCrop>false</ScaleCrop>
  <LinksUpToDate>false</LinksUpToDate>
  <CharactersWithSpaces>4379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2024-03-20T05:58:06Z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