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项目支出绩效自评报告</w:t>
      </w:r>
    </w:p>
    <w:p>
      <w:pPr>
        <w:snapToGrid w:val="0"/>
        <w:spacing w:line="400" w:lineRule="exact"/>
        <w:ind w:firstLine="643" w:firstLineChars="200"/>
        <w:rPr>
          <w:rFonts w:ascii="仿宋_GB2312" w:hAnsi="宋体" w:eastAsia="仿宋_GB2312"/>
          <w:b/>
          <w:sz w:val="32"/>
          <w:szCs w:val="32"/>
        </w:rPr>
      </w:pPr>
    </w:p>
    <w:p>
      <w:pPr>
        <w:snapToGrid w:val="0"/>
        <w:spacing w:line="400" w:lineRule="exact"/>
        <w:ind w:firstLine="643" w:firstLineChars="200"/>
        <w:rPr>
          <w:rFonts w:ascii="仿宋_GB2312" w:hAnsi="宋体" w:eastAsia="仿宋_GB2312"/>
          <w:b/>
          <w:sz w:val="32"/>
          <w:szCs w:val="32"/>
        </w:rPr>
      </w:pPr>
    </w:p>
    <w:p>
      <w:pPr>
        <w:snapToGrid w:val="0"/>
        <w:spacing w:line="440" w:lineRule="exact"/>
        <w:ind w:firstLine="640" w:firstLineChars="200"/>
        <w:rPr>
          <w:rFonts w:ascii="仿宋" w:hAnsi="仿宋" w:eastAsia="仿宋"/>
          <w:color w:val="313131"/>
          <w:sz w:val="32"/>
          <w:szCs w:val="32"/>
        </w:rPr>
      </w:pPr>
      <w:r>
        <w:rPr>
          <w:rFonts w:hint="eastAsia" w:ascii="仿宋" w:hAnsi="仿宋" w:eastAsia="仿宋"/>
          <w:color w:val="313131"/>
          <w:sz w:val="32"/>
          <w:szCs w:val="32"/>
        </w:rPr>
        <w:t>一、基本情况</w:t>
      </w:r>
    </w:p>
    <w:p>
      <w:pPr>
        <w:spacing w:line="440" w:lineRule="exact"/>
        <w:rPr>
          <w:rFonts w:ascii="仿宋" w:hAnsi="仿宋" w:eastAsia="仿宋"/>
          <w:color w:val="313131"/>
          <w:sz w:val="32"/>
          <w:szCs w:val="32"/>
        </w:rPr>
      </w:pPr>
      <w:r>
        <w:rPr>
          <w:rFonts w:hint="eastAsia" w:ascii="仿宋" w:hAnsi="仿宋" w:eastAsia="仿宋"/>
          <w:color w:val="313131"/>
          <w:sz w:val="32"/>
          <w:szCs w:val="32"/>
        </w:rPr>
        <w:t>（一）项目概况</w:t>
      </w:r>
    </w:p>
    <w:p>
      <w:pPr>
        <w:ind w:firstLine="480" w:firstLineChars="150"/>
        <w:rPr>
          <w:rFonts w:ascii="仿宋" w:hAnsi="仿宋" w:eastAsia="仿宋"/>
          <w:color w:val="313131"/>
          <w:sz w:val="32"/>
          <w:szCs w:val="32"/>
        </w:rPr>
      </w:pPr>
      <w:r>
        <w:rPr>
          <w:rFonts w:hint="eastAsia" w:ascii="仿宋" w:hAnsi="仿宋" w:eastAsia="仿宋"/>
          <w:color w:val="313131"/>
          <w:sz w:val="32"/>
          <w:szCs w:val="32"/>
        </w:rPr>
        <w:t>根据冀财建【2018】292号下达2019年城市公交车成品油价格补助资金。</w:t>
      </w:r>
    </w:p>
    <w:p>
      <w:pPr>
        <w:spacing w:line="440" w:lineRule="exact"/>
        <w:ind w:firstLine="640" w:firstLineChars="200"/>
        <w:rPr>
          <w:rFonts w:ascii="仿宋" w:hAnsi="仿宋" w:eastAsia="仿宋"/>
          <w:color w:val="313131"/>
          <w:sz w:val="32"/>
          <w:szCs w:val="32"/>
        </w:rPr>
      </w:pPr>
      <w:r>
        <w:rPr>
          <w:rFonts w:hint="eastAsia" w:ascii="仿宋" w:hAnsi="仿宋" w:eastAsia="仿宋"/>
          <w:color w:val="313131"/>
          <w:sz w:val="32"/>
          <w:szCs w:val="32"/>
        </w:rPr>
        <w:t xml:space="preserve">为进一步加快新能源汽车推广应用，促进公交行业节能减排，实现公交行业健康、稳定发展，建立鼓励新能源公交车应用、限制燃油公交车增长新机制，推动新能源公交车规范化推广应用，促进公交行业节能减排，涨价补助数额与新能源公交车推广数量挂钩，奖励新能源公交车推广应用，逐步形成新能源公交车的比较优势，新能源公交车推广应用成绩显著。 </w:t>
      </w:r>
    </w:p>
    <w:p>
      <w:pPr>
        <w:spacing w:line="440" w:lineRule="exact"/>
        <w:ind w:firstLine="560" w:firstLineChars="200"/>
        <w:rPr>
          <w:rFonts w:ascii="宋体" w:hAnsi="宋体" w:cs="宋体"/>
          <w:color w:val="000000"/>
          <w:kern w:val="0"/>
          <w:sz w:val="28"/>
          <w:szCs w:val="28"/>
        </w:rPr>
      </w:pPr>
      <w:r>
        <w:rPr>
          <w:rFonts w:hint="eastAsia" w:ascii="仿宋" w:hAnsi="仿宋" w:eastAsia="仿宋" w:cs="仿宋"/>
          <w:sz w:val="28"/>
          <w:szCs w:val="28"/>
        </w:rPr>
        <w:t>下达补贴资金172.02万元，资金全部投入到项目实施，共支付专项资金172.02万元。</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（二）项目绩效目标</w:t>
      </w:r>
    </w:p>
    <w:p>
      <w:pPr>
        <w:widowControl/>
        <w:shd w:val="clear" w:color="auto" w:fill="FFFFFF"/>
        <w:spacing w:line="440" w:lineRule="exact"/>
        <w:jc w:val="left"/>
        <w:rPr>
          <w:rFonts w:ascii="仿宋" w:hAnsi="仿宋" w:eastAsia="仿宋" w:cs="仿宋"/>
          <w:sz w:val="28"/>
          <w:szCs w:val="28"/>
        </w:rPr>
      </w:pPr>
      <w:r>
        <w:rPr>
          <w:rFonts w:hint="eastAsia" w:ascii="仿宋" w:hAnsi="仿宋" w:eastAsia="仿宋" w:cs="仿宋"/>
          <w:sz w:val="28"/>
          <w:szCs w:val="28"/>
        </w:rPr>
        <w:t>1.总体目标</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进一步加快新能源汽车推广应用，促进公交行业节能减排。　</w:t>
      </w:r>
    </w:p>
    <w:p>
      <w:pPr>
        <w:spacing w:line="440" w:lineRule="exact"/>
        <w:rPr>
          <w:rFonts w:ascii="仿宋" w:hAnsi="仿宋" w:eastAsia="仿宋" w:cs="仿宋"/>
          <w:sz w:val="28"/>
          <w:szCs w:val="28"/>
        </w:rPr>
      </w:pPr>
      <w:r>
        <w:rPr>
          <w:rFonts w:hint="eastAsia" w:ascii="仿宋" w:hAnsi="仿宋" w:eastAsia="仿宋" w:cs="仿宋"/>
          <w:sz w:val="28"/>
          <w:szCs w:val="28"/>
        </w:rPr>
        <w:t>2.阶段性目标</w:t>
      </w:r>
    </w:p>
    <w:p>
      <w:pPr>
        <w:widowControl/>
        <w:shd w:val="clear" w:color="auto" w:fill="FFFFFF"/>
        <w:spacing w:line="440" w:lineRule="exact"/>
        <w:jc w:val="left"/>
        <w:rPr>
          <w:rFonts w:ascii="仿宋" w:hAnsi="仿宋" w:eastAsia="仿宋" w:cs="仿宋"/>
          <w:sz w:val="28"/>
          <w:szCs w:val="28"/>
        </w:rPr>
      </w:pPr>
      <w:r>
        <w:rPr>
          <w:rFonts w:hint="eastAsia" w:ascii="仿宋" w:hAnsi="仿宋" w:eastAsia="仿宋" w:cs="仿宋"/>
          <w:sz w:val="28"/>
          <w:szCs w:val="28"/>
        </w:rPr>
        <w:t>　　2020年完成补助资金统计发放。严格资金支付兑现程序，保证项目资金的专款专用，按时发放油补专项资金，兑现率100%；社会公众和受益对象满意度不低于95％。</w:t>
      </w:r>
    </w:p>
    <w:p>
      <w:pPr>
        <w:widowControl/>
        <w:shd w:val="clear" w:color="auto" w:fill="FFFFFF"/>
        <w:spacing w:line="440" w:lineRule="exact"/>
        <w:jc w:val="left"/>
        <w:rPr>
          <w:rFonts w:ascii="宋体" w:hAnsi="宋体" w:cs="宋体"/>
          <w:color w:val="333333"/>
          <w:kern w:val="0"/>
          <w:sz w:val="28"/>
          <w:szCs w:val="28"/>
        </w:rPr>
      </w:pPr>
      <w:r>
        <w:rPr>
          <w:rFonts w:hint="eastAsia" w:ascii="宋体" w:hAnsi="宋体" w:cs="宋体"/>
          <w:color w:val="333333"/>
          <w:kern w:val="0"/>
          <w:sz w:val="28"/>
          <w:szCs w:val="28"/>
        </w:rPr>
        <w:t>　　</w:t>
      </w:r>
      <w:r>
        <w:rPr>
          <w:rFonts w:hint="eastAsia" w:ascii="宋体" w:hAnsi="宋体" w:cs="宋体"/>
          <w:b/>
          <w:bCs/>
          <w:color w:val="333333"/>
          <w:kern w:val="0"/>
          <w:sz w:val="28"/>
          <w:szCs w:val="28"/>
        </w:rPr>
        <w:t>二、绩效评价工作开展情况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二、绩效评价工作开展情况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（一）绩效评价目的、范围和对象</w:t>
      </w:r>
    </w:p>
    <w:p>
      <w:pPr>
        <w:pStyle w:val="4"/>
        <w:shd w:val="clear" w:color="auto" w:fill="FFFFFF"/>
        <w:spacing w:before="0" w:beforeAutospacing="0" w:after="0" w:afterAutospacing="0" w:line="440" w:lineRule="exact"/>
        <w:ind w:firstLine="840" w:firstLineChars="300"/>
        <w:rPr>
          <w:rFonts w:ascii="仿宋" w:hAnsi="仿宋" w:eastAsia="仿宋" w:cs="仿宋"/>
          <w:kern w:val="2"/>
          <w:sz w:val="28"/>
          <w:szCs w:val="28"/>
        </w:rPr>
      </w:pPr>
      <w:r>
        <w:rPr>
          <w:rFonts w:ascii="仿宋" w:hAnsi="仿宋" w:eastAsia="仿宋" w:cs="仿宋"/>
          <w:kern w:val="2"/>
          <w:sz w:val="28"/>
          <w:szCs w:val="28"/>
        </w:rPr>
        <w:t>绩效评价</w:t>
      </w:r>
      <w:r>
        <w:rPr>
          <w:rFonts w:hint="eastAsia" w:ascii="仿宋" w:hAnsi="仿宋" w:eastAsia="仿宋" w:cs="仿宋"/>
          <w:kern w:val="2"/>
          <w:sz w:val="28"/>
          <w:szCs w:val="28"/>
        </w:rPr>
        <w:t>目的</w:t>
      </w:r>
      <w:r>
        <w:rPr>
          <w:rFonts w:ascii="仿宋" w:hAnsi="仿宋" w:eastAsia="仿宋" w:cs="仿宋"/>
          <w:kern w:val="2"/>
          <w:sz w:val="28"/>
          <w:szCs w:val="28"/>
        </w:rPr>
        <w:t>，将绩效评价结果作为财政安排预算支出的重要依据</w:t>
      </w:r>
      <w:r>
        <w:rPr>
          <w:rFonts w:hint="eastAsia" w:ascii="仿宋" w:hAnsi="仿宋" w:eastAsia="仿宋" w:cs="仿宋"/>
          <w:kern w:val="2"/>
          <w:sz w:val="28"/>
          <w:szCs w:val="28"/>
        </w:rPr>
        <w:t>，</w:t>
      </w:r>
      <w:r>
        <w:rPr>
          <w:rFonts w:ascii="仿宋" w:hAnsi="仿宋" w:eastAsia="仿宋" w:cs="仿宋"/>
          <w:kern w:val="2"/>
          <w:sz w:val="28"/>
          <w:szCs w:val="28"/>
        </w:rPr>
        <w:t>及时发现项目实施过程中存在的问题并反馈与整改，以确保更好地实现项目整体公共产品与服务质量与效率目标.</w:t>
      </w:r>
      <w:r>
        <w:rPr>
          <w:rFonts w:hint="eastAsia" w:ascii="仿宋" w:hAnsi="仿宋" w:eastAsia="仿宋" w:cs="仿宋"/>
          <w:kern w:val="2"/>
          <w:sz w:val="28"/>
          <w:szCs w:val="28"/>
        </w:rPr>
        <w:t>。</w:t>
      </w:r>
      <w:r>
        <w:rPr>
          <w:rFonts w:ascii="仿宋" w:hAnsi="仿宋" w:eastAsia="仿宋" w:cs="仿宋"/>
          <w:kern w:val="2"/>
          <w:sz w:val="28"/>
          <w:szCs w:val="28"/>
        </w:rPr>
        <w:t> </w:t>
      </w:r>
    </w:p>
    <w:p>
      <w:pPr>
        <w:pStyle w:val="4"/>
        <w:shd w:val="clear" w:color="auto" w:fill="FFFFFF"/>
        <w:spacing w:before="0" w:beforeAutospacing="0" w:after="0" w:afterAutospacing="0" w:line="440" w:lineRule="exact"/>
        <w:ind w:firstLine="840" w:firstLineChars="300"/>
        <w:rPr>
          <w:rFonts w:ascii="仿宋" w:hAnsi="仿宋" w:eastAsia="仿宋" w:cs="仿宋"/>
          <w:kern w:val="2"/>
          <w:sz w:val="28"/>
          <w:szCs w:val="28"/>
        </w:rPr>
      </w:pPr>
      <w:r>
        <w:rPr>
          <w:rFonts w:hint="eastAsia" w:ascii="仿宋" w:hAnsi="仿宋" w:eastAsia="仿宋" w:cs="仿宋"/>
          <w:kern w:val="2"/>
          <w:sz w:val="28"/>
          <w:szCs w:val="28"/>
        </w:rPr>
        <w:t>绩效评价范围：遵化市城市公交车运营企业。</w:t>
      </w:r>
    </w:p>
    <w:p>
      <w:pPr>
        <w:pStyle w:val="4"/>
        <w:shd w:val="clear" w:color="auto" w:fill="FFFFFF"/>
        <w:spacing w:before="0" w:beforeAutospacing="0" w:after="0" w:afterAutospacing="0" w:line="440" w:lineRule="exact"/>
        <w:ind w:firstLine="700" w:firstLineChars="250"/>
        <w:rPr>
          <w:rFonts w:ascii="仿宋" w:hAnsi="仿宋" w:eastAsia="仿宋" w:cs="仿宋"/>
          <w:kern w:val="2"/>
          <w:sz w:val="28"/>
          <w:szCs w:val="28"/>
        </w:rPr>
      </w:pPr>
      <w:r>
        <w:rPr>
          <w:rFonts w:ascii="仿宋" w:hAnsi="仿宋" w:eastAsia="仿宋" w:cs="仿宋"/>
          <w:kern w:val="2"/>
          <w:sz w:val="28"/>
          <w:szCs w:val="28"/>
        </w:rPr>
        <w:t>绩效评价的对象</w:t>
      </w:r>
      <w:r>
        <w:rPr>
          <w:rFonts w:hint="eastAsia" w:ascii="仿宋" w:hAnsi="仿宋" w:eastAsia="仿宋" w:cs="仿宋"/>
          <w:kern w:val="2"/>
          <w:sz w:val="28"/>
          <w:szCs w:val="28"/>
        </w:rPr>
        <w:t xml:space="preserve"> 根据冀财建</w:t>
      </w:r>
      <w:r>
        <w:rPr>
          <w:rFonts w:hint="eastAsia" w:ascii="仿宋" w:hAnsi="仿宋" w:eastAsia="仿宋" w:cs="Times New Roman"/>
          <w:color w:val="313131"/>
          <w:kern w:val="2"/>
          <w:sz w:val="32"/>
          <w:szCs w:val="32"/>
        </w:rPr>
        <w:t>冀财建【2018】292号</w:t>
      </w:r>
      <w:r>
        <w:rPr>
          <w:rFonts w:hint="eastAsia" w:ascii="仿宋" w:hAnsi="仿宋" w:eastAsia="仿宋" w:cs="仿宋"/>
          <w:kern w:val="2"/>
          <w:sz w:val="28"/>
          <w:szCs w:val="28"/>
        </w:rPr>
        <w:t>省下达城市公交车油价补贴资172.02万元的使用绩效。</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（二）绩效评价原则、评价指标体系、评价方法、评价标准</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次绩效评价指标的确定遵循相关性原则、重要性原则、可比性原则、系统性原则及经济性原则。根据市财政局文件精神，结合项目开展的实际情况，设定绩效目标包括了补助比例、金额计算、完成进度、减轻经济压力、稳定价格、预算执行率等指标，能够全面完整、清晰准确地体现省厅文件的各项要求，可操作性强，恰当适宜、易于评价。</w:t>
      </w:r>
    </w:p>
    <w:p>
      <w:pPr>
        <w:widowControl/>
        <w:shd w:val="clear" w:color="auto" w:fill="FFFFFF"/>
        <w:spacing w:before="150" w:line="440" w:lineRule="exact"/>
        <w:ind w:firstLine="640"/>
        <w:jc w:val="left"/>
        <w:rPr>
          <w:rFonts w:ascii="仿宋" w:hAnsi="仿宋" w:eastAsia="仿宋" w:cs="仿宋"/>
          <w:sz w:val="28"/>
          <w:szCs w:val="28"/>
        </w:rPr>
      </w:pPr>
      <w:r>
        <w:rPr>
          <w:rFonts w:hint="eastAsia" w:ascii="仿宋" w:hAnsi="仿宋" w:eastAsia="仿宋" w:cs="仿宋"/>
          <w:sz w:val="28"/>
          <w:szCs w:val="28"/>
        </w:rPr>
        <w:t>项目绩效评价指标体系如下</w:t>
      </w:r>
    </w:p>
    <w:tbl>
      <w:tblPr>
        <w:tblStyle w:val="5"/>
        <w:tblW w:w="8520" w:type="dxa"/>
        <w:tblInd w:w="93" w:type="dxa"/>
        <w:tblLayout w:type="autofit"/>
        <w:tblCellMar>
          <w:top w:w="0" w:type="dxa"/>
          <w:left w:w="108" w:type="dxa"/>
          <w:bottom w:w="0" w:type="dxa"/>
          <w:right w:w="108" w:type="dxa"/>
        </w:tblCellMar>
      </w:tblPr>
      <w:tblGrid>
        <w:gridCol w:w="1149"/>
        <w:gridCol w:w="1560"/>
        <w:gridCol w:w="3827"/>
        <w:gridCol w:w="1984"/>
      </w:tblGrid>
      <w:tr>
        <w:tblPrEx>
          <w:tblCellMar>
            <w:top w:w="0" w:type="dxa"/>
            <w:left w:w="108" w:type="dxa"/>
            <w:bottom w:w="0" w:type="dxa"/>
            <w:right w:w="108" w:type="dxa"/>
          </w:tblCellMar>
        </w:tblPrEx>
        <w:trPr>
          <w:trHeight w:val="645"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年度指标值</w:t>
            </w:r>
          </w:p>
        </w:tc>
      </w:tr>
      <w:tr>
        <w:tblPrEx>
          <w:tblCellMar>
            <w:top w:w="0" w:type="dxa"/>
            <w:left w:w="108" w:type="dxa"/>
            <w:bottom w:w="0" w:type="dxa"/>
            <w:right w:w="108" w:type="dxa"/>
          </w:tblCellMar>
        </w:tblPrEx>
        <w:trPr>
          <w:trHeight w:val="319" w:hRule="atLeast"/>
        </w:trPr>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382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指标1新能源公交车增长</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rFonts w:hint="eastAsia"/>
                <w:color w:val="000000"/>
                <w:kern w:val="0"/>
                <w:sz w:val="28"/>
                <w:szCs w:val="28"/>
              </w:rPr>
              <w:t>45%</w:t>
            </w:r>
          </w:p>
        </w:tc>
      </w:tr>
      <w:tr>
        <w:tblPrEx>
          <w:tblCellMar>
            <w:top w:w="0" w:type="dxa"/>
            <w:left w:w="108" w:type="dxa"/>
            <w:bottom w:w="0" w:type="dxa"/>
            <w:right w:w="108" w:type="dxa"/>
          </w:tblCellMar>
        </w:tblPrEx>
        <w:trPr>
          <w:trHeight w:val="48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3827"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指标1能源公交车规模化推广应用总体符合工信部</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color w:val="000000"/>
                <w:kern w:val="0"/>
                <w:sz w:val="28"/>
                <w:szCs w:val="28"/>
              </w:rPr>
            </w:pPr>
            <w:r>
              <w:rPr>
                <w:color w:val="000000"/>
                <w:kern w:val="0"/>
                <w:sz w:val="28"/>
                <w:szCs w:val="28"/>
              </w:rPr>
              <w:t>100%</w:t>
            </w:r>
          </w:p>
        </w:tc>
      </w:tr>
      <w:tr>
        <w:tblPrEx>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时效指标</w:t>
            </w:r>
          </w:p>
        </w:tc>
        <w:tc>
          <w:tcPr>
            <w:tcW w:w="3827"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指标1按时完成完善公交线网布局，优化公交线网结构</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按时完成</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成本指标</w:t>
            </w: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指标1经费使用占预算的比重</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r>
              <w:rPr>
                <w:color w:val="000000"/>
                <w:kern w:val="0"/>
                <w:sz w:val="28"/>
                <w:szCs w:val="28"/>
              </w:rPr>
              <w:t>80%-100%</w:t>
            </w:r>
          </w:p>
        </w:tc>
      </w:tr>
      <w:tr>
        <w:tblPrEx>
          <w:tblCellMar>
            <w:top w:w="0" w:type="dxa"/>
            <w:left w:w="108" w:type="dxa"/>
            <w:bottom w:w="0" w:type="dxa"/>
            <w:right w:w="108" w:type="dxa"/>
          </w:tblCellMar>
        </w:tblPrEx>
        <w:trPr>
          <w:trHeight w:val="319" w:hRule="atLeast"/>
        </w:trPr>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经济效益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指标1公交企业运行成本的压力下降</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color w:val="000000"/>
                <w:kern w:val="0"/>
                <w:sz w:val="28"/>
                <w:szCs w:val="28"/>
              </w:rPr>
              <w:t>&gt;=15</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指标1降低了城乡居民出行成本</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color w:val="000000"/>
                <w:kern w:val="0"/>
                <w:sz w:val="28"/>
                <w:szCs w:val="28"/>
              </w:rPr>
              <w:t>&gt;=10</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指标2</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生态效益指标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指标1节能减排，优化环境</w:t>
            </w:r>
          </w:p>
        </w:tc>
        <w:tc>
          <w:tcPr>
            <w:tcW w:w="1984" w:type="dxa"/>
            <w:tcBorders>
              <w:top w:val="nil"/>
              <w:left w:val="nil"/>
              <w:bottom w:val="single" w:color="auto" w:sz="4" w:space="0"/>
              <w:right w:val="single" w:color="auto" w:sz="4" w:space="0"/>
            </w:tcBorders>
            <w:shd w:val="clear" w:color="auto" w:fill="auto"/>
            <w:vAlign w:val="center"/>
          </w:tcPr>
          <w:p>
            <w:pPr>
              <w:rPr>
                <w:color w:val="000000"/>
                <w:sz w:val="28"/>
                <w:szCs w:val="28"/>
              </w:rPr>
            </w:pPr>
            <w:r>
              <w:rPr>
                <w:color w:val="000000"/>
                <w:sz w:val="28"/>
                <w:szCs w:val="28"/>
              </w:rPr>
              <w:t>&gt;=10</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可持续影响指标</w:t>
            </w:r>
          </w:p>
        </w:tc>
        <w:tc>
          <w:tcPr>
            <w:tcW w:w="382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指标1社会节能减排影响力必将长期显现</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p>
        </w:tc>
      </w:tr>
      <w:tr>
        <w:tblPrEx>
          <w:tblCellMar>
            <w:top w:w="0" w:type="dxa"/>
            <w:left w:w="108" w:type="dxa"/>
            <w:bottom w:w="0" w:type="dxa"/>
            <w:right w:w="108" w:type="dxa"/>
          </w:tblCellMar>
        </w:tblPrEx>
        <w:trPr>
          <w:trHeight w:val="3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服务对象满意度指标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指标1居民出行调查满意度</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r>
              <w:rPr>
                <w:color w:val="000000"/>
                <w:kern w:val="0"/>
                <w:sz w:val="28"/>
                <w:szCs w:val="28"/>
              </w:rPr>
              <w:t>&gt;=95%</w:t>
            </w:r>
          </w:p>
        </w:tc>
      </w:tr>
    </w:tbl>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（三）绩效评价过程</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1.前期准备</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2021年3月3-7日，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2.组织实施</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2021年3月8-31日，查阅、收集有关文件、规章制度、工作台</w:t>
      </w:r>
      <w:r>
        <w:rPr>
          <w:rFonts w:hint="eastAsia" w:ascii="仿宋" w:hAnsi="仿宋" w:eastAsia="仿宋" w:cs="仿宋"/>
          <w:sz w:val="28"/>
          <w:szCs w:val="28"/>
          <w:lang w:eastAsia="zh-CN"/>
        </w:rPr>
        <w:t>账</w:t>
      </w:r>
      <w:bookmarkStart w:id="0" w:name="_GoBack"/>
      <w:bookmarkEnd w:id="0"/>
      <w:r>
        <w:rPr>
          <w:rFonts w:hint="eastAsia" w:ascii="仿宋" w:hAnsi="仿宋" w:eastAsia="仿宋" w:cs="仿宋"/>
          <w:sz w:val="28"/>
          <w:szCs w:val="28"/>
        </w:rPr>
        <w:t>等评价资料；根据资料审查结果分析项目资金到位、资金管理使用情况及组织管理水平；审核财政资金到位情况、实际支出情况和财务管理状况。</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3.分析评价</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2020年4月1-10日对定性指标做出经验判断，并运用相应的评价方法对绩效情况进行综合性评价。组织讨论，评价打分，形成评价结论，撰写初步评价报告。</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三、综合评价情况及评价结论</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完成预定的补助发放目标，绩效目标总体完成情况良好，综合得分100分。</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四、绩效评价指标分析</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（一）项目决策情况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根据冀财建</w:t>
      </w:r>
      <w:r>
        <w:rPr>
          <w:rFonts w:hint="eastAsia" w:ascii="仿宋" w:hAnsi="仿宋" w:eastAsia="仿宋"/>
          <w:color w:val="313131"/>
          <w:sz w:val="32"/>
          <w:szCs w:val="32"/>
        </w:rPr>
        <w:t>【2018】292号文件，</w:t>
      </w:r>
      <w:r>
        <w:rPr>
          <w:rFonts w:hint="eastAsia" w:ascii="仿宋" w:hAnsi="仿宋" w:eastAsia="仿宋" w:cs="仿宋"/>
          <w:sz w:val="28"/>
          <w:szCs w:val="28"/>
        </w:rPr>
        <w:t>按照资金使用要求，我局组织开展了城市公交车油价补发放工作。</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（二）项目过程情况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由公交车运营单位做好车辆统计工作，我局进行核查，确定补贴对象和范围，发放补助资金。</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（三）项目产出情况</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（1）项目完成数量</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2020年我市计划增加新能源公交车计划45%，，全年存量新能源公交车运营里程均达到预定计划，基本实现全年目标值。</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（2）项目完成质量</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我市新能源公交车规模化推广应用总体符合工信部“新能源汽车推广应用工程推荐车型目录”要求，质量符合规定。</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（3）项目实施进度</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2020年，我县不断完善公交线网布局，优化公交线网结构，提高公交覆盖率，满足广大市民的出行需求。</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（四）项目效益情况</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2.效益指标完成情况分析</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（1）项目实施的经济效益分析</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城市公交车成品油价格补贴资金的实施，减轻了我县公共交通企业作为公益性事业运行成本的压力，公交企业2020年度运营状况得到改善，企业运转正常。群众选择公交出行比例增加，人民群众出行成本降低。</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（2）项目实施的社会效益分析</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城市公交车成品油价格补贴专项转移支付助推我市公交事业的发展，降低了城乡居民出行成本，，提高了公众节能减排意识。</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（3）项目实施的生态效益分析</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项目的实施有力地推动各地公交事业的发展，，对城乡生态环境起到良好保护作用，促减私家车出行，降低汽车尾气排放，有利于保护生态环境。</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（4）项目实施的可持续影响分析</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城市公交车成品油价格补贴资金对我市公交事业发展方面的推动作用、对地区经济社会节能减排影响力必将长期显现，且力度越来越大。</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五、主要经验及做法、存在问题及原因分析</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精心组织，认真核查，精准计算，提高资金使用效果。</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六、有关建议</w:t>
      </w:r>
    </w:p>
    <w:p>
      <w:pPr>
        <w:snapToGrid w:val="0"/>
        <w:spacing w:line="580" w:lineRule="exact"/>
        <w:ind w:left="420" w:leftChars="200"/>
        <w:rPr>
          <w:rFonts w:ascii="仿宋" w:hAnsi="仿宋" w:eastAsia="仿宋" w:cs="仿宋"/>
          <w:sz w:val="28"/>
          <w:szCs w:val="28"/>
        </w:rPr>
      </w:pPr>
      <w:r>
        <w:rPr>
          <w:rFonts w:hint="eastAsia" w:ascii="仿宋" w:hAnsi="仿宋" w:eastAsia="仿宋" w:cs="仿宋"/>
          <w:sz w:val="28"/>
          <w:szCs w:val="28"/>
        </w:rPr>
        <w:t>加强资金投入，加速城市公交车更新。</w:t>
      </w:r>
    </w:p>
    <w:p>
      <w:pPr>
        <w:snapToGrid w:val="0"/>
        <w:spacing w:line="580" w:lineRule="exact"/>
        <w:ind w:left="420" w:leftChars="200"/>
        <w:rPr>
          <w:rFonts w:ascii="仿宋" w:hAnsi="仿宋" w:eastAsia="仿宋" w:cs="仿宋"/>
          <w:sz w:val="28"/>
          <w:szCs w:val="28"/>
        </w:rPr>
      </w:pPr>
      <w:r>
        <w:rPr>
          <w:rFonts w:hint="eastAsia" w:ascii="仿宋" w:hAnsi="仿宋" w:eastAsia="仿宋" w:cs="仿宋"/>
          <w:sz w:val="28"/>
          <w:szCs w:val="28"/>
        </w:rPr>
        <w:t>七、其七、他需要说明的问题</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ind w:left="5040" w:hanging="5040" w:hangingChars="2400"/>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遵化市交通运输局                    </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二0二一年三月五日</w:t>
      </w:r>
    </w:p>
    <w:tbl>
      <w:tblPr>
        <w:tblStyle w:val="5"/>
        <w:tblW w:w="4996" w:type="pct"/>
        <w:tblInd w:w="0" w:type="dxa"/>
        <w:shd w:val="clear" w:color="auto" w:fill="auto"/>
        <w:tblLayout w:type="autofit"/>
        <w:tblCellMar>
          <w:top w:w="0" w:type="dxa"/>
          <w:left w:w="0" w:type="dxa"/>
          <w:bottom w:w="0" w:type="dxa"/>
          <w:right w:w="0" w:type="dxa"/>
        </w:tblCellMar>
      </w:tblPr>
      <w:tblGrid>
        <w:gridCol w:w="1938"/>
        <w:gridCol w:w="434"/>
        <w:gridCol w:w="617"/>
        <w:gridCol w:w="2380"/>
        <w:gridCol w:w="871"/>
        <w:gridCol w:w="698"/>
        <w:gridCol w:w="698"/>
        <w:gridCol w:w="397"/>
        <w:gridCol w:w="531"/>
        <w:gridCol w:w="537"/>
      </w:tblGrid>
      <w:tr>
        <w:tblPrEx>
          <w:tblCellMar>
            <w:top w:w="0" w:type="dxa"/>
            <w:left w:w="0" w:type="dxa"/>
            <w:bottom w:w="0" w:type="dxa"/>
            <w:right w:w="0" w:type="dxa"/>
          </w:tblCellMar>
        </w:tblPrEx>
        <w:trPr>
          <w:trHeight w:val="285" w:hRule="atLeast"/>
        </w:trPr>
        <w:tc>
          <w:tcPr>
            <w:tcW w:w="9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5000" w:type="pct"/>
            <w:gridSpan w:val="10"/>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2020年度项目支出绩效自评表</w:t>
            </w:r>
          </w:p>
        </w:tc>
      </w:tr>
      <w:tr>
        <w:tblPrEx>
          <w:tblCellMar>
            <w:top w:w="0" w:type="dxa"/>
            <w:left w:w="0" w:type="dxa"/>
            <w:bottom w:w="0" w:type="dxa"/>
            <w:right w:w="0" w:type="dxa"/>
          </w:tblCellMar>
        </w:tblPrEx>
        <w:trPr>
          <w:trHeight w:val="285" w:hRule="atLeast"/>
        </w:trPr>
        <w:tc>
          <w:tcPr>
            <w:tcW w:w="5000" w:type="pct"/>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0"/>
                <w:lang w:val="en-US" w:eastAsia="zh-CN" w:bidi="ar"/>
              </w:rPr>
              <w:t>（20</w:t>
            </w:r>
            <w:r>
              <w:rPr>
                <w:rStyle w:val="11"/>
                <w:lang w:val="en-US" w:eastAsia="zh-CN" w:bidi="ar"/>
              </w:rPr>
              <w:t>20年度）</w:t>
            </w:r>
          </w:p>
        </w:tc>
      </w:tr>
      <w:tr>
        <w:tblPrEx>
          <w:tblCellMar>
            <w:top w:w="0" w:type="dxa"/>
            <w:left w:w="0" w:type="dxa"/>
            <w:bottom w:w="0" w:type="dxa"/>
            <w:right w:w="0" w:type="dxa"/>
          </w:tblCellMar>
        </w:tblPrEx>
        <w:trPr>
          <w:trHeight w:val="285" w:hRule="atLeast"/>
        </w:trPr>
        <w:tc>
          <w:tcPr>
            <w:tcW w:w="9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填报单位：遵化市交通运输局</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单位金额：万元</w:t>
            </w:r>
          </w:p>
        </w:tc>
      </w:tr>
      <w:tr>
        <w:tblPrEx>
          <w:tblCellMar>
            <w:top w:w="0" w:type="dxa"/>
            <w:left w:w="0" w:type="dxa"/>
            <w:bottom w:w="0" w:type="dxa"/>
            <w:right w:w="0" w:type="dxa"/>
          </w:tblCellMar>
        </w:tblPrEx>
        <w:trPr>
          <w:trHeight w:val="285" w:hRule="atLeast"/>
        </w:trPr>
        <w:tc>
          <w:tcPr>
            <w:tcW w:w="12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70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2019年城市公交车成品油价格补助资金   冀财建【2018】292号</w:t>
            </w:r>
          </w:p>
        </w:tc>
      </w:tr>
      <w:tr>
        <w:tblPrEx>
          <w:tblCellMar>
            <w:top w:w="0" w:type="dxa"/>
            <w:left w:w="0" w:type="dxa"/>
            <w:bottom w:w="0" w:type="dxa"/>
            <w:right w:w="0" w:type="dxa"/>
          </w:tblCellMar>
        </w:tblPrEx>
        <w:trPr>
          <w:trHeight w:val="285" w:hRule="atLeast"/>
        </w:trPr>
        <w:tc>
          <w:tcPr>
            <w:tcW w:w="12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遵化市交通运输局</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1058"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遵化市交通运输局</w:t>
            </w:r>
          </w:p>
        </w:tc>
      </w:tr>
      <w:tr>
        <w:tblPrEx>
          <w:tblCellMar>
            <w:top w:w="0" w:type="dxa"/>
            <w:left w:w="0" w:type="dxa"/>
            <w:bottom w:w="0" w:type="dxa"/>
            <w:right w:w="0" w:type="dxa"/>
          </w:tblCellMar>
        </w:tblPrEx>
        <w:trPr>
          <w:trHeight w:val="285" w:hRule="atLeast"/>
        </w:trPr>
        <w:tc>
          <w:tcPr>
            <w:tcW w:w="1298" w:type="pct"/>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172.02</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上年结转资金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42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352"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w:t>
            </w:r>
          </w:p>
        </w:tc>
        <w:tc>
          <w:tcPr>
            <w:tcW w:w="2289" w:type="pct"/>
            <w:gridSpan w:val="4"/>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加快新能源汽车推广应用，促进公交行业节能减排，实现公交行业健康、稳定发展</w:t>
            </w:r>
          </w:p>
        </w:tc>
        <w:tc>
          <w:tcPr>
            <w:tcW w:w="1411" w:type="pct"/>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目标1完成情况良好</w:t>
            </w: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目标2</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1" w:type="pct"/>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目标1完成情况</w:t>
            </w: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94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3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42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3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CellMar>
            <w:top w:w="0" w:type="dxa"/>
            <w:left w:w="0" w:type="dxa"/>
            <w:bottom w:w="0" w:type="dxa"/>
            <w:right w:w="0" w:type="dxa"/>
          </w:tblCellMar>
        </w:tblPrEx>
        <w:trPr>
          <w:trHeight w:val="108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指标1新能源公交车增长</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45%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Microsoft Sans Serif" w:hAnsi="Microsoft Sans Serif" w:eastAsia="Microsoft Sans Serif" w:cs="Microsoft Sans Serif"/>
                <w:i w:val="0"/>
                <w:color w:val="000000"/>
                <w:sz w:val="16"/>
                <w:szCs w:val="16"/>
                <w:u w:val="none"/>
              </w:rPr>
            </w:pPr>
            <w:r>
              <w:rPr>
                <w:rFonts w:hint="default" w:ascii="Microsoft Sans Serif" w:hAnsi="Microsoft Sans Serif" w:eastAsia="Microsoft Sans Serif" w:cs="Microsoft Sans Serif"/>
                <w:i w:val="0"/>
                <w:color w:val="000000"/>
                <w:kern w:val="0"/>
                <w:sz w:val="16"/>
                <w:szCs w:val="16"/>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Microsoft Sans Serif" w:hAnsi="Microsoft Sans Serif" w:eastAsia="Microsoft Sans Serif" w:cs="Microsoft Sans Serif"/>
                <w:i w:val="0"/>
                <w:color w:val="000000"/>
                <w:sz w:val="16"/>
                <w:szCs w:val="16"/>
                <w:u w:val="none"/>
              </w:rPr>
            </w:pPr>
            <w:r>
              <w:rPr>
                <w:rFonts w:hint="default" w:ascii="Microsoft Sans Serif" w:hAnsi="Microsoft Sans Serif" w:eastAsia="Microsoft Sans Serif" w:cs="Microsoft Sans Serif"/>
                <w:i w:val="0"/>
                <w:color w:val="000000"/>
                <w:kern w:val="0"/>
                <w:sz w:val="16"/>
                <w:szCs w:val="16"/>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方正书宋_GBK" w:hAnsi="方正书宋_GBK" w:eastAsia="方正书宋_GBK" w:cs="方正书宋_GBK"/>
                <w:b/>
                <w:i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指标1能源公交车规模化推广应用总体符合工信部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100%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指标1按时完成完善公交线网布局，优化公交线网结构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指标1经费使用占预算的比重</w:t>
            </w:r>
          </w:p>
        </w:tc>
        <w:tc>
          <w:tcPr>
            <w:tcW w:w="42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80%-100%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指标1公交企业运行成本的压力下降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Tahoma" w:cs="Times New Roman"/>
                <w:i w:val="0"/>
                <w:color w:val="000000"/>
                <w:sz w:val="28"/>
                <w:szCs w:val="2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指标1降低了城乡居民出行成本</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指标1优化环境，节能减排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5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指标1社会节能减排影响力必将长期显现</w:t>
            </w: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Tahoma" w:cs="Times New Roman"/>
                <w:i w:val="0"/>
                <w:color w:val="000000"/>
                <w:sz w:val="28"/>
                <w:szCs w:val="2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指标1居民出行调查满意度</w:t>
            </w:r>
          </w:p>
        </w:tc>
        <w:tc>
          <w:tcPr>
            <w:tcW w:w="42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358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3588"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99.47</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ascii="仿宋" w:hAnsi="仿宋" w:eastAsia="仿宋" w:cs="仿宋"/>
          <w:sz w:val="32"/>
          <w:szCs w:val="32"/>
        </w:rPr>
      </w:pPr>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16A3"/>
    <w:rsid w:val="00003AAC"/>
    <w:rsid w:val="00020F83"/>
    <w:rsid w:val="0003266D"/>
    <w:rsid w:val="00056748"/>
    <w:rsid w:val="00080C8E"/>
    <w:rsid w:val="00095813"/>
    <w:rsid w:val="000B5213"/>
    <w:rsid w:val="000C4A23"/>
    <w:rsid w:val="00124DD2"/>
    <w:rsid w:val="00144FE8"/>
    <w:rsid w:val="00156E5B"/>
    <w:rsid w:val="001627CF"/>
    <w:rsid w:val="0016737F"/>
    <w:rsid w:val="00176210"/>
    <w:rsid w:val="00180B9B"/>
    <w:rsid w:val="001D2D4C"/>
    <w:rsid w:val="0021383A"/>
    <w:rsid w:val="002873BE"/>
    <w:rsid w:val="002915F6"/>
    <w:rsid w:val="00291E5E"/>
    <w:rsid w:val="002C3D03"/>
    <w:rsid w:val="00300BE7"/>
    <w:rsid w:val="00383AC5"/>
    <w:rsid w:val="00393E95"/>
    <w:rsid w:val="00395254"/>
    <w:rsid w:val="003B412A"/>
    <w:rsid w:val="003C32A4"/>
    <w:rsid w:val="003C38BB"/>
    <w:rsid w:val="003D2FF2"/>
    <w:rsid w:val="003D32E5"/>
    <w:rsid w:val="003E167B"/>
    <w:rsid w:val="00432709"/>
    <w:rsid w:val="0047487F"/>
    <w:rsid w:val="00491FCD"/>
    <w:rsid w:val="004E337C"/>
    <w:rsid w:val="004E38F9"/>
    <w:rsid w:val="004E6C05"/>
    <w:rsid w:val="004F6F9F"/>
    <w:rsid w:val="00512716"/>
    <w:rsid w:val="005167DD"/>
    <w:rsid w:val="0054160E"/>
    <w:rsid w:val="00546BCB"/>
    <w:rsid w:val="005A7CD8"/>
    <w:rsid w:val="005C236C"/>
    <w:rsid w:val="005C5417"/>
    <w:rsid w:val="005C68C9"/>
    <w:rsid w:val="005C79F2"/>
    <w:rsid w:val="005E6EC9"/>
    <w:rsid w:val="00602926"/>
    <w:rsid w:val="00665896"/>
    <w:rsid w:val="00693A60"/>
    <w:rsid w:val="006E7D57"/>
    <w:rsid w:val="0071336C"/>
    <w:rsid w:val="0071475B"/>
    <w:rsid w:val="00750A2A"/>
    <w:rsid w:val="00793214"/>
    <w:rsid w:val="007A5ABB"/>
    <w:rsid w:val="007C6CCF"/>
    <w:rsid w:val="007D43DA"/>
    <w:rsid w:val="007E50DB"/>
    <w:rsid w:val="007E576C"/>
    <w:rsid w:val="007E661D"/>
    <w:rsid w:val="007F5EE6"/>
    <w:rsid w:val="0080486D"/>
    <w:rsid w:val="0081530B"/>
    <w:rsid w:val="00887E70"/>
    <w:rsid w:val="008C31C3"/>
    <w:rsid w:val="008D1956"/>
    <w:rsid w:val="008E0B47"/>
    <w:rsid w:val="008E0E58"/>
    <w:rsid w:val="008E2D98"/>
    <w:rsid w:val="00906704"/>
    <w:rsid w:val="009240ED"/>
    <w:rsid w:val="00941865"/>
    <w:rsid w:val="00986803"/>
    <w:rsid w:val="0099577A"/>
    <w:rsid w:val="009E6782"/>
    <w:rsid w:val="009F1522"/>
    <w:rsid w:val="00A01D96"/>
    <w:rsid w:val="00A06D88"/>
    <w:rsid w:val="00A909F6"/>
    <w:rsid w:val="00AA35D1"/>
    <w:rsid w:val="00AB70A8"/>
    <w:rsid w:val="00AF5C06"/>
    <w:rsid w:val="00AF7A2B"/>
    <w:rsid w:val="00B22EDA"/>
    <w:rsid w:val="00B352C8"/>
    <w:rsid w:val="00B74932"/>
    <w:rsid w:val="00B8177D"/>
    <w:rsid w:val="00B86365"/>
    <w:rsid w:val="00BA723B"/>
    <w:rsid w:val="00BE032C"/>
    <w:rsid w:val="00C242EC"/>
    <w:rsid w:val="00C4085E"/>
    <w:rsid w:val="00CC37BE"/>
    <w:rsid w:val="00CE156F"/>
    <w:rsid w:val="00D43ED6"/>
    <w:rsid w:val="00D812F3"/>
    <w:rsid w:val="00DA1AC7"/>
    <w:rsid w:val="00DC2768"/>
    <w:rsid w:val="00DD3F78"/>
    <w:rsid w:val="00DE50A2"/>
    <w:rsid w:val="00DF6FF4"/>
    <w:rsid w:val="00E3170A"/>
    <w:rsid w:val="00E65E37"/>
    <w:rsid w:val="00E723C9"/>
    <w:rsid w:val="00E72A2B"/>
    <w:rsid w:val="00E841B7"/>
    <w:rsid w:val="00E963F0"/>
    <w:rsid w:val="00EA4AE7"/>
    <w:rsid w:val="00ED5E84"/>
    <w:rsid w:val="00EE0B52"/>
    <w:rsid w:val="00EF16A3"/>
    <w:rsid w:val="00F13D6A"/>
    <w:rsid w:val="00F454D7"/>
    <w:rsid w:val="00F57E52"/>
    <w:rsid w:val="00F63570"/>
    <w:rsid w:val="00F653CB"/>
    <w:rsid w:val="00F7160E"/>
    <w:rsid w:val="00FA5F1E"/>
    <w:rsid w:val="089C021C"/>
    <w:rsid w:val="1488778C"/>
    <w:rsid w:val="1D954E44"/>
    <w:rsid w:val="2A813A87"/>
    <w:rsid w:val="2D3C7CD6"/>
    <w:rsid w:val="3E866EC7"/>
    <w:rsid w:val="3EF7063B"/>
    <w:rsid w:val="3FCC62F2"/>
    <w:rsid w:val="43125247"/>
    <w:rsid w:val="4477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5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97E9D-C205-46CB-BD70-1605D136BAB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348</Words>
  <Characters>1985</Characters>
  <Lines>16</Lines>
  <Paragraphs>4</Paragraphs>
  <TotalTime>8</TotalTime>
  <ScaleCrop>false</ScaleCrop>
  <LinksUpToDate>false</LinksUpToDate>
  <CharactersWithSpaces>2329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2021-05-15T03:46:00Z</dcterms:created>
  <dc:creator>user</dc:creator>
  <cp:lastModifiedBy>Administrator</cp:lastModifiedBy>
  <cp:lastPrinted>2020-01-06T00:47:00Z</cp:lastPrinted>
  <dcterms:modified xsi:type="dcterms:W3CDTF">2024-03-20T06:12:03Z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