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r>
        <w:rPr>
          <w:rFonts w:hint="eastAsia" w:ascii="黑体" w:eastAsia="黑体"/>
          <w:b/>
          <w:sz w:val="44"/>
        </w:rPr>
        <w:t>2022年</w:t>
      </w:r>
      <w:r>
        <w:rPr>
          <w:rFonts w:hint="eastAsia" w:ascii="黑体" w:eastAsia="黑体"/>
          <w:b/>
          <w:sz w:val="44"/>
          <w:lang w:val="en-US"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8"/>
        <w:tabs>
          <w:tab w:val="right" w:leader="dot" w:pos="14789"/>
        </w:tabs>
        <w:jc w:val="center"/>
        <w:rPr>
          <w:rFonts w:hint="eastAsia" w:ascii="方正楷体简体" w:hAnsi="方正楷体简体" w:eastAsia="方正楷体简体" w:cs="方正楷体简体"/>
          <w:sz w:val="28"/>
        </w:rPr>
      </w:pPr>
      <w:r>
        <w:rPr>
          <w:rFonts w:hint="eastAsia" w:ascii="方正楷体简体" w:hAnsi="方正楷体简体" w:eastAsia="方正楷体简体" w:cs="方正楷体简体"/>
          <w:sz w:val="28"/>
        </w:rPr>
        <w:fldChar w:fldCharType="begin"/>
      </w:r>
      <w:r>
        <w:rPr>
          <w:rFonts w:hint="eastAsia" w:ascii="方正楷体简体" w:hAnsi="方正楷体简体" w:eastAsia="方正楷体简体" w:cs="方正楷体简体"/>
          <w:sz w:val="28"/>
        </w:rPr>
        <w:instrText xml:space="preserve"> TOC \o "2-2" \h \z \u \t "-1" </w:instrText>
      </w:r>
      <w:r>
        <w:rPr>
          <w:rFonts w:hint="eastAsia" w:ascii="方正楷体简体" w:hAnsi="方正楷体简体" w:eastAsia="方正楷体简体" w:cs="方正楷体简体"/>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p>
    <w:p>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预算收入总表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4</w:t>
      </w:r>
      <w:r>
        <w:rPr>
          <w:rStyle w:val="14"/>
          <w:rFonts w:hint="eastAsia" w:ascii="方正楷体简体" w:hAnsi="方正楷体简体" w:eastAsia="方正楷体简体" w:cs="方正楷体简体"/>
          <w:color w:val="auto"/>
          <w:sz w:val="28"/>
          <w:u w:val="none"/>
        </w:rPr>
        <w:fldChar w:fldCharType="end"/>
      </w:r>
    </w:p>
    <w:p>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预算支出总表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6</w:t>
      </w:r>
      <w:r>
        <w:rPr>
          <w:rStyle w:val="14"/>
          <w:rFonts w:hint="eastAsia" w:ascii="方正楷体简体" w:hAnsi="方正楷体简体" w:eastAsia="方正楷体简体" w:cs="方正楷体简体"/>
          <w:color w:val="auto"/>
          <w:sz w:val="28"/>
          <w:u w:val="none"/>
        </w:rPr>
        <w:fldChar w:fldCharType="end"/>
      </w:r>
    </w:p>
    <w:p>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预算财政拨款收支总表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8</w:t>
      </w:r>
      <w:r>
        <w:rPr>
          <w:rStyle w:val="14"/>
          <w:rFonts w:hint="eastAsia" w:ascii="方正楷体简体" w:hAnsi="方正楷体简体" w:eastAsia="方正楷体简体" w:cs="方正楷体简体"/>
          <w:color w:val="auto"/>
          <w:sz w:val="28"/>
          <w:u w:val="none"/>
        </w:rPr>
        <w:fldChar w:fldCharType="end"/>
      </w:r>
    </w:p>
    <w:p>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预算一般公共预算财政拨款支出表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w:t>
      </w:r>
    </w:p>
    <w:p>
      <w:pPr>
        <w:pStyle w:val="8"/>
        <w:tabs>
          <w:tab w:val="right" w:leader="dot" w:pos="14789"/>
        </w:tabs>
        <w:jc w:val="center"/>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预算一般公共预算财政拨款基本支出表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14</w:t>
      </w:r>
    </w:p>
    <w:p>
      <w:pPr>
        <w:pStyle w:val="8"/>
        <w:tabs>
          <w:tab w:val="right" w:leader="dot" w:pos="14789"/>
        </w:tabs>
        <w:jc w:val="center"/>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预算政府基金预算财政拨款支出表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17</w:t>
      </w:r>
    </w:p>
    <w:p>
      <w:pPr>
        <w:pStyle w:val="8"/>
        <w:tabs>
          <w:tab w:val="right" w:leader="dot" w:pos="14789"/>
        </w:tabs>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预算国有资本经营预算财政拨款支出表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8"/>
        <w:tabs>
          <w:tab w:val="right" w:leader="dot" w:pos="14789"/>
        </w:tabs>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"_Toc68791544"</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预算财政拨款“三公”经费支出表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pPr>
        <w:ind w:left="420" w:leftChars="200"/>
        <w:jc w:val="center"/>
        <w:rPr>
          <w:rFonts w:ascii="Times New Roman" w:hAnsi="宋体"/>
        </w:rPr>
      </w:pPr>
      <w:r>
        <w:rPr>
          <w:rFonts w:hint="eastAsia" w:ascii="方正楷体简体" w:hAnsi="方正楷体简体" w:eastAsia="方正楷体简体" w:cs="方正楷体简体"/>
          <w:sz w:val="28"/>
        </w:rPr>
        <w:fldChar w:fldCharType="end"/>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hint="eastAsia" w:ascii="方正楷体简体" w:hAnsi="方正楷体简体" w:eastAsia="方正楷体简体" w:cs="方正楷体简体"/>
          <w:sz w:val="28"/>
          <w:lang w:val="en-US" w:eastAsia="zh-CN"/>
        </w:rPr>
      </w:pPr>
      <w:r>
        <w:rPr>
          <w:rFonts w:hint="eastAsia" w:ascii="方正楷体简体" w:hAnsi="方正楷体简体" w:eastAsia="方正楷体简体" w:cs="方正楷体简体"/>
          <w:sz w:val="28"/>
        </w:rPr>
        <w:fldChar w:fldCharType="begin"/>
      </w:r>
      <w:r>
        <w:rPr>
          <w:rFonts w:hint="eastAsia" w:ascii="方正楷体简体" w:hAnsi="方正楷体简体" w:eastAsia="方正楷体简体" w:cs="方正楷体简体"/>
          <w:sz w:val="28"/>
        </w:rPr>
        <w:instrText xml:space="preserve"> TOC \o "3-3" \h \z \u \t "-1" </w:instrText>
      </w:r>
      <w:r>
        <w:rPr>
          <w:rFonts w:hint="eastAsia" w:ascii="方正楷体简体" w:hAnsi="方正楷体简体" w:eastAsia="方正楷体简体" w:cs="方正楷体简体"/>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"_Toc68791545"</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一、</w:t>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职责及机构设置情况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二、</w:t>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预算安排的总体情况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4"/>
        <w:tabs>
          <w:tab w:val="right" w:leader="dot" w:pos="14789"/>
        </w:tabs>
        <w:ind w:left="420" w:leftChars="200"/>
        <w:jc w:val="center"/>
        <w:rPr>
          <w:rStyle w:val="14"/>
          <w:rFonts w:hint="eastAsia" w:ascii="方正楷体简体" w:hAnsi="方正楷体简体" w:eastAsia="方正楷体简体" w:cs="方正楷体简体"/>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三、机关运行经费安排情况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四、财政拨款“三公”经费预算情况及增减变化原因</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五、预算绩效信息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六、政府采购预算情况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6</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七、国有资产信息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八、名词解释</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rPr>
        <w:t>3</w:t>
      </w:r>
      <w:r>
        <w:rPr>
          <w:rStyle w:val="14"/>
          <w:rFonts w:hint="eastAsia" w:ascii="方正楷体简体" w:hAnsi="方正楷体简体" w:eastAsia="方正楷体简体" w:cs="方正楷体简体"/>
          <w:color w:val="auto"/>
          <w:sz w:val="28"/>
          <w:u w:val="none"/>
          <w:lang w:val="en-US" w:eastAsia="zh-CN"/>
        </w:rPr>
        <w:t>8</w:t>
      </w:r>
    </w:p>
    <w:p>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九、其他需要说明的事项</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pPr>
        <w:ind w:left="420" w:leftChars="200"/>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sz w:val="28"/>
        </w:rPr>
        <w:fldChar w:fldCharType="end"/>
      </w:r>
    </w:p>
    <w:p>
      <w:pPr>
        <w:pStyle w:val="7"/>
        <w:tabs>
          <w:tab w:val="right" w:leader="dot" w:pos="14789"/>
        </w:tabs>
        <w:ind w:left="420" w:leftChars="200"/>
        <w:jc w:val="center"/>
        <w:rPr>
          <w:rFonts w:hint="eastAsia" w:ascii="方正楷体简体" w:hAnsi="方正楷体简体" w:eastAsia="方正楷体简体" w:cs="方正楷体简体"/>
          <w:sz w:val="28"/>
        </w:rPr>
      </w:pPr>
    </w:p>
    <w:p>
      <w:pPr>
        <w:ind w:left="420" w:leftChars="200"/>
        <w:jc w:val="center"/>
        <w:rPr>
          <w:rFonts w:hint="eastAsia" w:ascii="方正楷体简体" w:hAnsi="方正楷体简体" w:eastAsia="方正楷体简体" w:cs="方正楷体简体"/>
        </w:rPr>
      </w:pPr>
    </w:p>
    <w:p>
      <w:pPr>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sz w:val="44"/>
        </w:rPr>
        <w:t xml:space="preserve"> </w:t>
      </w:r>
    </w:p>
    <w:p>
      <w:pPr>
        <w:ind w:firstLine="560" w:firstLineChars="200"/>
        <w:jc w:val="left"/>
        <w:rPr>
          <w:rFonts w:hint="eastAsia" w:ascii="方正楷体简体" w:hAnsi="方正楷体简体" w:eastAsia="方正楷体简体" w:cs="方正楷体简体"/>
          <w:sz w:val="28"/>
        </w:rPr>
      </w:pPr>
    </w:p>
    <w:p>
      <w:pPr>
        <w:spacing w:line="560" w:lineRule="exact"/>
        <w:jc w:val="left"/>
        <w:rPr>
          <w:rStyle w:val="14"/>
          <w:rFonts w:hint="eastAsia" w:ascii="方正楷体简体" w:hAnsi="方正楷体简体" w:eastAsia="方正楷体简体" w:cs="方正楷体简体"/>
          <w:color w:val="auto"/>
          <w:sz w:val="28"/>
          <w:u w:val="none"/>
        </w:rPr>
      </w:pPr>
    </w:p>
    <w:p>
      <w:pPr>
        <w:spacing w:line="560" w:lineRule="exact"/>
        <w:jc w:val="left"/>
        <w:rPr>
          <w:rStyle w:val="14"/>
          <w:rFonts w:hint="eastAsia" w:ascii="宋体" w:hAnsi="宋体" w:cs="宋体"/>
          <w:color w:val="auto"/>
          <w:sz w:val="28"/>
          <w:u w:val="none"/>
        </w:rPr>
      </w:pPr>
    </w:p>
    <w:p>
      <w:pPr>
        <w:spacing w:line="560" w:lineRule="exact"/>
        <w:jc w:val="left"/>
        <w:rPr>
          <w:rStyle w:val="14"/>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附表1-1</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预算年度：2022</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790" w:type="dxa"/>
            <w:gridSpan w:val="2"/>
            <w:noWrap w:val="0"/>
            <w:vAlign w:val="center"/>
          </w:tcPr>
          <w:p>
            <w:pPr>
              <w:spacing w:line="560" w:lineRule="exact"/>
              <w:ind w:firstLine="1680" w:firstLineChars="6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  入</w:t>
            </w:r>
          </w:p>
        </w:tc>
        <w:tc>
          <w:tcPr>
            <w:tcW w:w="7714" w:type="dxa"/>
            <w:gridSpan w:val="2"/>
            <w:noWrap w:val="0"/>
            <w:vAlign w:val="center"/>
          </w:tcPr>
          <w:p>
            <w:pPr>
              <w:spacing w:line="560" w:lineRule="exact"/>
              <w:ind w:firstLine="2240" w:firstLineChars="8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预算数</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4"/>
                <w:rFonts w:hint="eastAsia" w:ascii="方正仿宋简体" w:hAnsi="方正仿宋简体" w:eastAsia="方正仿宋简体" w:cs="方正仿宋简体"/>
                <w:color w:val="auto"/>
                <w:sz w:val="28"/>
                <w:szCs w:val="28"/>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一、一般公共预算拨款收入</w:t>
            </w:r>
          </w:p>
        </w:tc>
        <w:tc>
          <w:tcPr>
            <w:tcW w:w="1530" w:type="dxa"/>
            <w:noWrap w:val="0"/>
            <w:vAlign w:val="top"/>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一、一般公共服务支出</w:t>
            </w:r>
          </w:p>
        </w:tc>
        <w:tc>
          <w:tcPr>
            <w:tcW w:w="2219" w:type="dxa"/>
            <w:noWrap w:val="0"/>
            <w:vAlign w:val="center"/>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538.82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二、外交支出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四、财政专户管理资金收入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四、公共安全支出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五、事业收入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五、教育支出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六、事业单位经营收入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六、科学技术支出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七、上级补助收入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七、文化旅游体育与传媒支出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八、附属单位上缴收入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八、社会保障和就业支出</w:t>
            </w:r>
          </w:p>
        </w:tc>
        <w:tc>
          <w:tcPr>
            <w:tcW w:w="2219" w:type="dxa"/>
            <w:noWrap w:val="0"/>
            <w:vAlign w:val="center"/>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九、其他收入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九、卫生健康支出</w:t>
            </w:r>
          </w:p>
        </w:tc>
        <w:tc>
          <w:tcPr>
            <w:tcW w:w="2219" w:type="dxa"/>
            <w:noWrap w:val="0"/>
            <w:vAlign w:val="center"/>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十、节能环保支出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十一、城乡社区支出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十二、农林水支出</w:t>
            </w:r>
          </w:p>
        </w:tc>
        <w:tc>
          <w:tcPr>
            <w:tcW w:w="2219" w:type="dxa"/>
            <w:noWrap w:val="0"/>
            <w:vAlign w:val="top"/>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4"/>
                <w:rFonts w:hint="eastAsia" w:ascii="方正仿宋简体" w:hAnsi="方正仿宋简体" w:eastAsia="方正仿宋简体" w:cs="方正仿宋简体"/>
                <w:color w:val="auto"/>
                <w:sz w:val="28"/>
                <w:szCs w:val="28"/>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3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bl>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十三、交通运输支出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十四、资源勘探工业信息等支出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十五、商业服务业等支出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十六、金融支出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十七、援助其他地区支出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十八、自然资源海洋气象等支出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十九、住房保障支出</w:t>
            </w:r>
          </w:p>
        </w:tc>
        <w:tc>
          <w:tcPr>
            <w:tcW w:w="2219" w:type="dxa"/>
            <w:noWrap w:val="0"/>
            <w:vAlign w:val="top"/>
          </w:tcPr>
          <w:p>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20</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二十、粮油物资储备支出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二十一、国有资本经营预算支出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二十二、灾害防治及应急管理支出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二十三、债务还本支出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二十四、债务付息支出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二十五、债务发行费用支出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二十六、其他支出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27</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本年收入合计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28</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上年结转结余</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年终结转结余</w:t>
            </w:r>
          </w:p>
        </w:tc>
        <w:tc>
          <w:tcPr>
            <w:tcW w:w="2219"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29</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收入总计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支出总计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r>
    </w:tbl>
    <w:p>
      <w:pPr>
        <w:spacing w:line="560" w:lineRule="exact"/>
        <w:jc w:val="left"/>
        <w:rPr>
          <w:rStyle w:val="14"/>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附表1-2</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预算年度：2022</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04"/>
        <w:gridCol w:w="1150"/>
        <w:gridCol w:w="1300"/>
        <w:gridCol w:w="750"/>
        <w:gridCol w:w="817"/>
        <w:gridCol w:w="917"/>
        <w:gridCol w:w="1050"/>
        <w:gridCol w:w="1333"/>
        <w:gridCol w:w="8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376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30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8134" w:type="dxa"/>
            <w:gridSpan w:val="8"/>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w:t>
            </w:r>
          </w:p>
        </w:tc>
        <w:tc>
          <w:tcPr>
            <w:tcW w:w="87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0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功能科目编码</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30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1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小计</w:t>
            </w:r>
          </w:p>
        </w:tc>
        <w:tc>
          <w:tcPr>
            <w:tcW w:w="130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财政拨款收入</w:t>
            </w:r>
          </w:p>
        </w:tc>
        <w:tc>
          <w:tcPr>
            <w:tcW w:w="7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财政专户收入</w:t>
            </w: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事业收入</w:t>
            </w:r>
          </w:p>
        </w:tc>
        <w:tc>
          <w:tcPr>
            <w:tcW w:w="9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经营收入</w:t>
            </w:r>
          </w:p>
        </w:tc>
        <w:tc>
          <w:tcPr>
            <w:tcW w:w="10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上级补助收入</w:t>
            </w:r>
          </w:p>
        </w:tc>
        <w:tc>
          <w:tcPr>
            <w:tcW w:w="133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附属单位上缴收入</w:t>
            </w: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其他收入</w:t>
            </w:r>
          </w:p>
        </w:tc>
        <w:tc>
          <w:tcPr>
            <w:tcW w:w="87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30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0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1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0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7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9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0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3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87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30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1150"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1300"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7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一般公共服务支出</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政府办公厅（室）及相关机构事务</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行政运行</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社会保障和就业支出</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67.62</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4"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行政事业单位养老支出</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机关事业单位基本养老保险缴费支出</w:t>
            </w:r>
          </w:p>
        </w:tc>
        <w:tc>
          <w:tcPr>
            <w:tcW w:w="1304"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1150"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1300"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机关事业单位职业年金缴费支出</w:t>
            </w:r>
          </w:p>
        </w:tc>
        <w:tc>
          <w:tcPr>
            <w:tcW w:w="1304"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1150"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1300" w:type="dxa"/>
            <w:noWrap w:val="0"/>
            <w:vAlign w:val="bottom"/>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卫生健康支出</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行政事业单位医疗</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行政单位医疗</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1302"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295</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巩固脱贫衔接乡村振兴</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2130504</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304"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15</w:t>
            </w:r>
          </w:p>
        </w:tc>
        <w:tc>
          <w:tcPr>
            <w:tcW w:w="1302"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21307</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145</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16</w:t>
            </w:r>
          </w:p>
        </w:tc>
        <w:tc>
          <w:tcPr>
            <w:tcW w:w="1302"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2130705</w:t>
            </w: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145</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17</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22102</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302"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2210201</w:t>
            </w:r>
          </w:p>
        </w:tc>
        <w:tc>
          <w:tcPr>
            <w:tcW w:w="246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304"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bl>
    <w:p>
      <w:pPr>
        <w:spacing w:line="560" w:lineRule="exact"/>
        <w:jc w:val="left"/>
        <w:rPr>
          <w:rStyle w:val="14"/>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附表1-3</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预算支出总表</w:t>
      </w:r>
    </w:p>
    <w:p>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预算年度：2022</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568"/>
        <w:gridCol w:w="1222"/>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210"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1568"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1222"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c>
          <w:tcPr>
            <w:tcW w:w="9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经营支出</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上缴上级支出</w:t>
            </w:r>
          </w:p>
        </w:tc>
        <w:tc>
          <w:tcPr>
            <w:tcW w:w="135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45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68"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222"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6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6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22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1455" w:type="dxa"/>
            <w:noWrap w:val="0"/>
            <w:vAlign w:val="center"/>
          </w:tcPr>
          <w:p>
            <w:pPr>
              <w:jc w:val="right"/>
              <w:rPr>
                <w:rStyle w:val="14"/>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sz w:val="28"/>
                <w:szCs w:val="28"/>
                <w:lang w:val="en-US" w:eastAsia="zh-CN"/>
              </w:rPr>
              <w:t>1010.14</w:t>
            </w:r>
          </w:p>
        </w:tc>
        <w:tc>
          <w:tcPr>
            <w:tcW w:w="1568" w:type="dxa"/>
            <w:noWrap w:val="0"/>
            <w:vAlign w:val="center"/>
          </w:tcPr>
          <w:p>
            <w:pPr>
              <w:jc w:val="right"/>
              <w:rPr>
                <w:rStyle w:val="14"/>
                <w:rFonts w:hint="default" w:ascii="方正仿宋简体" w:hAnsi="方正仿宋简体" w:eastAsia="方正仿宋简体" w:cs="方正仿宋简体"/>
                <w:color w:val="auto"/>
                <w:sz w:val="28"/>
                <w:szCs w:val="28"/>
                <w:u w:val="none"/>
                <w:lang w:val="en-US"/>
              </w:rPr>
            </w:pPr>
            <w:r>
              <w:rPr>
                <w:rFonts w:hint="eastAsia" w:ascii="方正仿宋简体" w:hAnsi="方正仿宋简体" w:eastAsia="方正仿宋简体" w:cs="方正仿宋简体"/>
                <w:sz w:val="28"/>
                <w:szCs w:val="28"/>
                <w:lang w:val="en-US" w:eastAsia="zh-CN"/>
              </w:rPr>
              <w:t>715.14</w:t>
            </w:r>
          </w:p>
        </w:tc>
        <w:tc>
          <w:tcPr>
            <w:tcW w:w="122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一般公共服务支出</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政府办公厅（室）及相关机构事务</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行政运行</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社会保障和就业支出</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行政事业单位养老支出</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455" w:type="dxa"/>
            <w:noWrap w:val="0"/>
            <w:vAlign w:val="bottom"/>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61.13</w:t>
            </w:r>
          </w:p>
        </w:tc>
        <w:tc>
          <w:tcPr>
            <w:tcW w:w="1568" w:type="dxa"/>
            <w:noWrap w:val="0"/>
            <w:vAlign w:val="bottom"/>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61.13</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455" w:type="dxa"/>
            <w:noWrap w:val="0"/>
            <w:vAlign w:val="bottom"/>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6.49</w:t>
            </w:r>
          </w:p>
        </w:tc>
        <w:tc>
          <w:tcPr>
            <w:tcW w:w="1568" w:type="dxa"/>
            <w:noWrap w:val="0"/>
            <w:vAlign w:val="bottom"/>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6.49</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卫生健康支出</w:t>
            </w:r>
          </w:p>
        </w:tc>
        <w:tc>
          <w:tcPr>
            <w:tcW w:w="1455" w:type="dxa"/>
            <w:noWrap w:val="0"/>
            <w:vAlign w:val="center"/>
          </w:tcPr>
          <w:p>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行政事业单位医疗</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rPr>
            </w:pPr>
            <w:r>
              <w:rPr>
                <w:rStyle w:val="14"/>
                <w:rFonts w:hint="eastAsia" w:ascii="方正仿宋简体" w:hAnsi="方正仿宋简体" w:eastAsia="方正仿宋简体" w:cs="方正仿宋简体"/>
                <w:color w:val="auto"/>
                <w:sz w:val="28"/>
                <w:szCs w:val="28"/>
                <w:u w:val="none"/>
              </w:rPr>
              <w:t>11</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行政单位医疗</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12</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4845"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960" w:type="dxa"/>
            <w:noWrap w:val="0"/>
            <w:vAlign w:val="center"/>
          </w:tcPr>
          <w:p>
            <w:pPr>
              <w:spacing w:line="560" w:lineRule="exact"/>
              <w:jc w:val="left"/>
              <w:rPr>
                <w:rFonts w:hint="eastAsia" w:ascii="方正仿宋简体" w:hAnsi="方正仿宋简体" w:eastAsia="方正仿宋简体" w:cs="方正仿宋简体"/>
                <w:sz w:val="28"/>
                <w:szCs w:val="28"/>
              </w:rPr>
            </w:pPr>
          </w:p>
        </w:tc>
        <w:tc>
          <w:tcPr>
            <w:tcW w:w="900" w:type="dxa"/>
            <w:noWrap w:val="0"/>
            <w:vAlign w:val="center"/>
          </w:tcPr>
          <w:p>
            <w:pPr>
              <w:spacing w:line="560" w:lineRule="exact"/>
              <w:jc w:val="left"/>
              <w:rPr>
                <w:rFonts w:hint="eastAsia" w:ascii="方正仿宋简体" w:hAnsi="方正仿宋简体" w:eastAsia="方正仿宋简体" w:cs="方正仿宋简体"/>
                <w:sz w:val="28"/>
                <w:szCs w:val="28"/>
              </w:rPr>
            </w:pPr>
          </w:p>
        </w:tc>
        <w:tc>
          <w:tcPr>
            <w:tcW w:w="1354" w:type="dxa"/>
            <w:noWrap w:val="0"/>
            <w:vAlign w:val="center"/>
          </w:tcPr>
          <w:p>
            <w:pPr>
              <w:spacing w:line="560" w:lineRule="exact"/>
              <w:jc w:val="lef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4845"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巩固脱贫衔接乡村振兴</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960" w:type="dxa"/>
            <w:noWrap w:val="0"/>
            <w:vAlign w:val="center"/>
          </w:tcPr>
          <w:p>
            <w:pPr>
              <w:spacing w:line="560" w:lineRule="exact"/>
              <w:jc w:val="left"/>
              <w:rPr>
                <w:rFonts w:hint="eastAsia" w:ascii="方正仿宋简体" w:hAnsi="方正仿宋简体" w:eastAsia="方正仿宋简体" w:cs="方正仿宋简体"/>
                <w:sz w:val="28"/>
                <w:szCs w:val="28"/>
              </w:rPr>
            </w:pPr>
          </w:p>
        </w:tc>
        <w:tc>
          <w:tcPr>
            <w:tcW w:w="900" w:type="dxa"/>
            <w:noWrap w:val="0"/>
            <w:vAlign w:val="center"/>
          </w:tcPr>
          <w:p>
            <w:pPr>
              <w:spacing w:line="560" w:lineRule="exact"/>
              <w:jc w:val="left"/>
              <w:rPr>
                <w:rFonts w:hint="eastAsia" w:ascii="方正仿宋简体" w:hAnsi="方正仿宋简体" w:eastAsia="方正仿宋简体" w:cs="方正仿宋简体"/>
                <w:sz w:val="28"/>
                <w:szCs w:val="28"/>
              </w:rPr>
            </w:pPr>
          </w:p>
        </w:tc>
        <w:tc>
          <w:tcPr>
            <w:tcW w:w="1354" w:type="dxa"/>
            <w:noWrap w:val="0"/>
            <w:vAlign w:val="center"/>
          </w:tcPr>
          <w:p>
            <w:pPr>
              <w:spacing w:line="560" w:lineRule="exact"/>
              <w:jc w:val="left"/>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4</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2130504</w:t>
            </w:r>
          </w:p>
        </w:tc>
        <w:tc>
          <w:tcPr>
            <w:tcW w:w="4845"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568"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5</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21307</w:t>
            </w:r>
          </w:p>
        </w:tc>
        <w:tc>
          <w:tcPr>
            <w:tcW w:w="4845"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568" w:type="dxa"/>
            <w:noWrap w:val="0"/>
            <w:vAlign w:val="center"/>
          </w:tcPr>
          <w:p>
            <w:pPr>
              <w:jc w:val="right"/>
              <w:rPr>
                <w:rFonts w:hint="eastAsia" w:ascii="方正仿宋简体" w:hAnsi="方正仿宋简体" w:eastAsia="方正仿宋简体" w:cs="方正仿宋简体"/>
                <w:sz w:val="28"/>
                <w:szCs w:val="28"/>
              </w:rPr>
            </w:pP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6</w:t>
            </w:r>
          </w:p>
        </w:tc>
        <w:tc>
          <w:tcPr>
            <w:tcW w:w="136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2130705</w:t>
            </w:r>
          </w:p>
        </w:tc>
        <w:tc>
          <w:tcPr>
            <w:tcW w:w="4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455"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568" w:type="dxa"/>
            <w:noWrap w:val="0"/>
            <w:vAlign w:val="center"/>
          </w:tcPr>
          <w:p>
            <w:pPr>
              <w:jc w:val="right"/>
              <w:rPr>
                <w:rFonts w:hint="eastAsia" w:ascii="方正仿宋简体" w:hAnsi="方正仿宋简体" w:eastAsia="方正仿宋简体" w:cs="方正仿宋简体"/>
                <w:sz w:val="28"/>
                <w:szCs w:val="28"/>
              </w:rPr>
            </w:pPr>
          </w:p>
        </w:tc>
        <w:tc>
          <w:tcPr>
            <w:tcW w:w="1222" w:type="dxa"/>
            <w:noWrap w:val="0"/>
            <w:vAlign w:val="center"/>
          </w:tcPr>
          <w:p>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17</w:t>
            </w:r>
          </w:p>
        </w:tc>
        <w:tc>
          <w:tcPr>
            <w:tcW w:w="1365" w:type="dxa"/>
            <w:noWrap w:val="0"/>
            <w:vAlign w:val="center"/>
          </w:tcPr>
          <w:p>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w:t>
            </w:r>
          </w:p>
        </w:tc>
        <w:tc>
          <w:tcPr>
            <w:tcW w:w="484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45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pPr>
              <w:jc w:val="right"/>
              <w:rPr>
                <w:rFonts w:hint="eastAsia" w:ascii="方正仿宋简体" w:hAnsi="方正仿宋简体" w:eastAsia="方正仿宋简体" w:cs="方正仿宋简体"/>
                <w:sz w:val="28"/>
                <w:szCs w:val="28"/>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365" w:type="dxa"/>
            <w:noWrap w:val="0"/>
            <w:vAlign w:val="center"/>
          </w:tcPr>
          <w:p>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w:t>
            </w:r>
          </w:p>
        </w:tc>
        <w:tc>
          <w:tcPr>
            <w:tcW w:w="484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45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pPr>
              <w:jc w:val="right"/>
              <w:rPr>
                <w:rFonts w:hint="eastAsia" w:ascii="方正仿宋简体" w:hAnsi="方正仿宋简体" w:eastAsia="方正仿宋简体" w:cs="方正仿宋简体"/>
                <w:sz w:val="28"/>
                <w:szCs w:val="28"/>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365" w:type="dxa"/>
            <w:noWrap w:val="0"/>
            <w:vAlign w:val="center"/>
          </w:tcPr>
          <w:p>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2210201</w:t>
            </w:r>
          </w:p>
        </w:tc>
        <w:tc>
          <w:tcPr>
            <w:tcW w:w="484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45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pPr>
              <w:jc w:val="right"/>
              <w:rPr>
                <w:rFonts w:hint="eastAsia" w:ascii="方正仿宋简体" w:hAnsi="方正仿宋简体" w:eastAsia="方正仿宋简体" w:cs="方正仿宋简体"/>
                <w:sz w:val="28"/>
                <w:szCs w:val="28"/>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附表1-4</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578"/>
        <w:gridCol w:w="3882"/>
        <w:gridCol w:w="1301"/>
        <w:gridCol w:w="1317"/>
        <w:gridCol w:w="916"/>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预算年度：2022</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103"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  入</w:t>
            </w:r>
          </w:p>
        </w:tc>
        <w:tc>
          <w:tcPr>
            <w:tcW w:w="8536" w:type="dxa"/>
            <w:gridSpan w:val="5"/>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5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57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金额</w:t>
            </w:r>
          </w:p>
        </w:tc>
        <w:tc>
          <w:tcPr>
            <w:tcW w:w="388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一般公共预算财政拨款</w:t>
            </w:r>
          </w:p>
        </w:tc>
        <w:tc>
          <w:tcPr>
            <w:tcW w:w="91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政府性基金预算财政拨款</w:t>
            </w:r>
          </w:p>
        </w:tc>
        <w:tc>
          <w:tcPr>
            <w:tcW w:w="1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7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88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91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w:t>
            </w:r>
          </w:p>
        </w:tc>
        <w:tc>
          <w:tcPr>
            <w:tcW w:w="157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一、一般公共服务支出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538.82</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538.82</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二、外交支出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三、国防支出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四、公共安全支出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五、教育支出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六、科学技术支出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七、文化旅游体育与传媒支出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八、社会保障和就业支出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67.62</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67.62</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 xml:space="preserve"> </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九、卫生健康支出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68.26</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68.26</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十、节能环保支出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十一、城乡社区支出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十二、农林水支出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295</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十三、交通运输支出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十四、资源勘探工业信息等支出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十五、商业服务业等支出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十六、金融支出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十七、援助其他地区支出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十八、自然资源海洋气象等支出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十九、住房保障支出</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40.44</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40.44</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二十、粮油物资储备支出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二十一、国有资本经营预算支出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二十二、灾害防治及应急管理支出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二十三、债务还本支出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二十四、债务付息支出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二十五、债务发行费用支出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二十六、其他支出</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27</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本年收入合计</w:t>
            </w:r>
          </w:p>
        </w:tc>
        <w:tc>
          <w:tcPr>
            <w:tcW w:w="157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年初财政拨款结转和结余</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年末财政拨款结转和结余</w:t>
            </w: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 xml:space="preserve">  </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w:t>
            </w:r>
          </w:p>
        </w:tc>
        <w:tc>
          <w:tcPr>
            <w:tcW w:w="1578"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32</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总计</w:t>
            </w:r>
          </w:p>
        </w:tc>
        <w:tc>
          <w:tcPr>
            <w:tcW w:w="1578"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总计</w:t>
            </w:r>
          </w:p>
        </w:tc>
        <w:tc>
          <w:tcPr>
            <w:tcW w:w="130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131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91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hint="eastAsia" w:ascii="宋体" w:hAnsi="宋体" w:cs="宋体"/>
          <w:sz w:val="24"/>
          <w:szCs w:val="24"/>
        </w:rPr>
      </w:pPr>
      <w:r>
        <w:rPr>
          <w:rStyle w:val="14"/>
          <w:rFonts w:hint="eastAsia" w:ascii="方正仿宋简体" w:hAnsi="方正仿宋简体" w:eastAsia="方正仿宋简体" w:cs="方正仿宋简体"/>
          <w:color w:val="auto"/>
          <w:sz w:val="28"/>
          <w:u w:val="none"/>
        </w:rPr>
        <w:t>附表1-5</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预算一般公共预算财政拨款支出表</w:t>
      </w:r>
    </w:p>
    <w:p>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预算年度：2022                             单位：万元</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315" w:type="dxa"/>
            <w:gridSpan w:val="2"/>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51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4500"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153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6315" w:type="dxa"/>
            <w:gridSpan w:val="2"/>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1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小计</w:t>
            </w:r>
          </w:p>
        </w:tc>
        <w:tc>
          <w:tcPr>
            <w:tcW w:w="148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人员经费</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公用经费</w:t>
            </w: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51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60"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48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45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1</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1515" w:type="dxa"/>
            <w:noWrap w:val="0"/>
            <w:vAlign w:val="center"/>
          </w:tcPr>
          <w:p>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1010.14</w:t>
            </w:r>
          </w:p>
        </w:tc>
        <w:tc>
          <w:tcPr>
            <w:tcW w:w="1560" w:type="dxa"/>
            <w:noWrap w:val="0"/>
            <w:vAlign w:val="center"/>
          </w:tcPr>
          <w:p>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715.14</w:t>
            </w:r>
          </w:p>
        </w:tc>
        <w:tc>
          <w:tcPr>
            <w:tcW w:w="1485" w:type="dxa"/>
            <w:noWrap w:val="0"/>
            <w:vAlign w:val="center"/>
          </w:tcPr>
          <w:p>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632.22</w:t>
            </w:r>
          </w:p>
        </w:tc>
        <w:tc>
          <w:tcPr>
            <w:tcW w:w="145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2</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一般公共服务支出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r>
              <w:rPr>
                <w:rFonts w:hint="eastAsia" w:ascii="方正仿宋简体" w:hAnsi="方正仿宋简体" w:eastAsia="方正仿宋简体" w:cs="方正仿宋简体"/>
                <w:sz w:val="28"/>
                <w:szCs w:val="28"/>
              </w:rPr>
              <w:t xml:space="preserve"> </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pPr>
              <w:jc w:val="cente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3</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20103</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政府办公厅（室）及相关机构事务</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4</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2010301</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行政运行</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5</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社会保障和就业支出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455" w:type="dxa"/>
            <w:noWrap w:val="0"/>
            <w:vAlign w:val="center"/>
          </w:tcPr>
          <w:p>
            <w:pPr>
              <w:jc w:val="center"/>
              <w:rPr>
                <w:rFonts w:hint="eastAsia" w:ascii="方正仿宋简体" w:hAnsi="方正仿宋简体" w:eastAsia="方正仿宋简体" w:cs="方正仿宋简体"/>
                <w:sz w:val="28"/>
                <w:szCs w:val="28"/>
              </w:rPr>
            </w:pPr>
          </w:p>
        </w:tc>
        <w:tc>
          <w:tcPr>
            <w:tcW w:w="1534" w:type="dxa"/>
            <w:noWrap w:val="0"/>
            <w:vAlign w:val="center"/>
          </w:tcPr>
          <w:p>
            <w:pPr>
              <w:jc w:val="cente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6</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行政事业单位养老支出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7</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2080505</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515"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560"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485"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8</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2080506</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515"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560"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485" w:type="dxa"/>
            <w:noWrap w:val="0"/>
            <w:vAlign w:val="bottom"/>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9</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210</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卫生健康支出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lang w:val="en-US" w:eastAsia="zh-CN"/>
              </w:rPr>
              <w:t>10</w:t>
            </w:r>
          </w:p>
        </w:tc>
        <w:tc>
          <w:tcPr>
            <w:tcW w:w="1575" w:type="dxa"/>
            <w:noWrap w:val="0"/>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行政事业单位医疗</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1</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2101101</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行政单位医疗</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2</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巩固脱贫衔接乡村振兴</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4</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2130504</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5</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21307</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6</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2130705</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7</w:t>
            </w:r>
          </w:p>
        </w:tc>
        <w:tc>
          <w:tcPr>
            <w:tcW w:w="1575" w:type="dxa"/>
            <w:noWrap w:val="0"/>
            <w:vAlign w:val="center"/>
          </w:tcPr>
          <w:p>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221</w:t>
            </w:r>
          </w:p>
        </w:tc>
        <w:tc>
          <w:tcPr>
            <w:tcW w:w="4740" w:type="dxa"/>
            <w:noWrap w:val="0"/>
            <w:vAlign w:val="center"/>
          </w:tcPr>
          <w:p>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575" w:type="dxa"/>
            <w:noWrap w:val="0"/>
            <w:vAlign w:val="center"/>
          </w:tcPr>
          <w:p>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w:t>
            </w:r>
          </w:p>
        </w:tc>
        <w:tc>
          <w:tcPr>
            <w:tcW w:w="474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pPr>
              <w:jc w:val="center"/>
              <w:rPr>
                <w:rFonts w:hint="eastAsia" w:ascii="方正仿宋简体" w:hAnsi="方正仿宋简体" w:eastAsia="方正仿宋简体" w:cs="方正仿宋简体"/>
                <w:sz w:val="28"/>
                <w:szCs w:val="28"/>
              </w:rPr>
            </w:pPr>
          </w:p>
        </w:tc>
        <w:tc>
          <w:tcPr>
            <w:tcW w:w="1534" w:type="dxa"/>
            <w:noWrap w:val="0"/>
            <w:vAlign w:val="center"/>
          </w:tcPr>
          <w:p>
            <w:pPr>
              <w:jc w:val="cente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575" w:type="dxa"/>
            <w:noWrap w:val="0"/>
            <w:vAlign w:val="center"/>
          </w:tcPr>
          <w:p>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2210201</w:t>
            </w:r>
          </w:p>
        </w:tc>
        <w:tc>
          <w:tcPr>
            <w:tcW w:w="474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51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pPr>
              <w:jc w:val="center"/>
              <w:rPr>
                <w:rFonts w:hint="eastAsia" w:ascii="方正仿宋简体" w:hAnsi="方正仿宋简体" w:eastAsia="方正仿宋简体" w:cs="方正仿宋简体"/>
                <w:sz w:val="28"/>
                <w:szCs w:val="28"/>
              </w:rPr>
            </w:pPr>
          </w:p>
        </w:tc>
        <w:tc>
          <w:tcPr>
            <w:tcW w:w="1534" w:type="dxa"/>
            <w:noWrap w:val="0"/>
            <w:vAlign w:val="center"/>
          </w:tcPr>
          <w:p>
            <w:pPr>
              <w:jc w:val="center"/>
              <w:rPr>
                <w:rFonts w:hint="eastAsia" w:ascii="方正仿宋简体" w:hAnsi="方正仿宋简体" w:eastAsia="方正仿宋简体" w:cs="方正仿宋简体"/>
                <w:sz w:val="28"/>
                <w:szCs w:val="28"/>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附表1-6</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预算年度：2022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16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7534"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经济分类科目编码</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人员经费</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650" w:type="dxa"/>
            <w:noWrap w:val="0"/>
            <w:vAlign w:val="center"/>
          </w:tcPr>
          <w:p>
            <w:pPr>
              <w:spacing w:line="560" w:lineRule="exact"/>
              <w:ind w:firstLine="1400" w:firstLineChars="5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715.14</w:t>
            </w:r>
          </w:p>
        </w:tc>
        <w:tc>
          <w:tcPr>
            <w:tcW w:w="2565" w:type="dxa"/>
            <w:noWrap w:val="0"/>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632.22</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工资福利支出</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598.16</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598.16</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基本工资</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182.45</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182.45</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津贴补贴</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177.03</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177.03</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奖金</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7.43</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7.43</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30107</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绩效工资</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65.86</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65.86</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30108</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30109</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职业年金缴费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30110</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职工基本医疗保险缴费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25.50</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25.50</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公务员医疗补助缴费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27.2</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27.2</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其他社会保障缴费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4.63</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4.63</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lang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商品和服务支出</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14</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办公费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15</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30206</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电费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2.35</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16</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30207</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邮电费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2.05</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17</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30208</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取暖费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18</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差旅费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1.88</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19</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维修(护)费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20</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30215</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会议费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21</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30216</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培训费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22</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30217</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公务接待费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23</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30228</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工会经费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24</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30229</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福利费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4.01</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25</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30231</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公务用车运行维护费</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26</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30239</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其他交通费用</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21.24</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27</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30299</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其他商品和服务支出</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6.71</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28</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对个人和家庭的补助</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34.06</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34.06</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29</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30302</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退休费</w:t>
            </w:r>
          </w:p>
        </w:tc>
        <w:tc>
          <w:tcPr>
            <w:tcW w:w="2640"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17.9</w:t>
            </w:r>
          </w:p>
        </w:tc>
        <w:tc>
          <w:tcPr>
            <w:tcW w:w="2565" w:type="dxa"/>
            <w:noWrap w:val="0"/>
            <w:vAlign w:val="bottom"/>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17.9</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30</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30307</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医疗费补助</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15.56</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15.56</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31</w:t>
            </w:r>
          </w:p>
        </w:tc>
        <w:tc>
          <w:tcPr>
            <w:tcW w:w="1515" w:type="dxa"/>
            <w:noWrap w:val="0"/>
            <w:vAlign w:val="center"/>
          </w:tcPr>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30309</w:t>
            </w:r>
          </w:p>
        </w:tc>
        <w:tc>
          <w:tcPr>
            <w:tcW w:w="4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奖励金</w:t>
            </w:r>
          </w:p>
        </w:tc>
        <w:tc>
          <w:tcPr>
            <w:tcW w:w="2640"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w:t>
            </w:r>
          </w:p>
        </w:tc>
        <w:tc>
          <w:tcPr>
            <w:tcW w:w="2565"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w:t>
            </w:r>
          </w:p>
        </w:tc>
        <w:tc>
          <w:tcPr>
            <w:tcW w:w="2329" w:type="dxa"/>
            <w:noWrap w:val="0"/>
            <w:vAlign w:val="center"/>
          </w:tcPr>
          <w:p>
            <w:pPr>
              <w:jc w:val="center"/>
              <w:rPr>
                <w:rFonts w:hint="eastAsia" w:ascii="方正仿宋简体" w:hAnsi="方正仿宋简体" w:eastAsia="方正仿宋简体" w:cs="方正仿宋简体"/>
                <w:sz w:val="28"/>
                <w:szCs w:val="28"/>
                <w:lang w:val="en-US" w:eastAsia="zh-CN"/>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4"/>
          <w:rFonts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附表1-7</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p>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956" w:type="dxa"/>
            <w:gridSpan w:val="2"/>
            <w:noWrap w:val="0"/>
            <w:vAlign w:val="top"/>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2747"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473"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249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747"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283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12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747"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473"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494"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5956"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附表1-8</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rPr>
              <w:t xml:space="preserve">       </w:t>
            </w:r>
            <w:r>
              <w:rPr>
                <w:rStyle w:val="14"/>
                <w:rFonts w:ascii="方正仿宋简体" w:hAnsi="方正仿宋简体" w:eastAsia="方正仿宋简体" w:cs="方正仿宋简体"/>
                <w:color w:val="auto"/>
                <w:sz w:val="28"/>
                <w:szCs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53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264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58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2659"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64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291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625"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64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580"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659"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附表1-9</w:t>
      </w:r>
    </w:p>
    <w:p>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lang w:eastAsia="zh-CN"/>
        </w:rPr>
        <w:t>本级</w:t>
      </w:r>
      <w:r>
        <w:rPr>
          <w:rStyle w:val="14"/>
          <w:rFonts w:hint="eastAsia" w:ascii="方正小标宋简体" w:hAnsi="方正小标宋简体" w:eastAsia="方正小标宋简体" w:cs="方正小标宋简体"/>
          <w:color w:val="auto"/>
          <w:sz w:val="44"/>
          <w:szCs w:val="44"/>
          <w:u w:val="none"/>
        </w:rPr>
        <w:t>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395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9906" w:type="dxa"/>
            <w:gridSpan w:val="4"/>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95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一般公共预算       财政拨款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政府性基金         预算拨款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476" w:type="dxa"/>
            <w:noWrap w:val="0"/>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476" w:type="dxa"/>
            <w:noWrap w:val="0"/>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一、因公出国（境）费</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二、公务用车购置及运维费</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其中：公务用车购置费</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公务用车运行维护费</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三、公务接待费</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476" w:type="dxa"/>
            <w:noWrap w:val="0"/>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color w:val="auto"/>
                <w:sz w:val="28"/>
                <w:szCs w:val="28"/>
                <w:u w:val="none"/>
              </w:rPr>
            </w:pPr>
          </w:p>
        </w:tc>
      </w:tr>
    </w:tbl>
    <w:p>
      <w:pPr>
        <w:spacing w:line="560" w:lineRule="exact"/>
        <w:jc w:val="center"/>
        <w:rPr>
          <w:rFonts w:hint="eastAsia" w:ascii="宋体" w:hAnsi="宋体" w:cs="宋体"/>
          <w:sz w:val="44"/>
          <w:szCs w:val="44"/>
        </w:rPr>
      </w:pPr>
    </w:p>
    <w:p>
      <w:pPr>
        <w:pStyle w:val="15"/>
        <w:rPr>
          <w:rFonts w:hint="eastAsia"/>
        </w:rPr>
      </w:pPr>
    </w:p>
    <w:p>
      <w:pPr>
        <w:spacing w:line="560" w:lineRule="exact"/>
        <w:rPr>
          <w:rFonts w:hint="eastAsia" w:ascii="宋体" w:hAnsi="宋体" w:cs="宋体"/>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东旧寨镇</w:t>
      </w:r>
      <w:r>
        <w:rPr>
          <w:rFonts w:hint="eastAsia" w:ascii="方正小标宋简体" w:hAnsi="方正小标宋简体" w:eastAsia="方正小标宋简体" w:cs="方正小标宋简体"/>
          <w:sz w:val="44"/>
          <w:szCs w:val="44"/>
        </w:rPr>
        <w:t>人民政府</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cs="宋体"/>
          <w:sz w:val="44"/>
          <w:szCs w:val="44"/>
        </w:rPr>
      </w:pPr>
    </w:p>
    <w:p>
      <w:pPr>
        <w:keepNext w:val="0"/>
        <w:keepLines w:val="0"/>
        <w:pageBreakBefore w:val="0"/>
        <w:tabs>
          <w:tab w:val="left" w:pos="540"/>
        </w:tabs>
        <w:kinsoku/>
        <w:wordWrap/>
        <w:overflowPunct/>
        <w:topLinePunct w:val="0"/>
        <w:autoSpaceDE/>
        <w:autoSpaceDN/>
        <w:bidi w:val="0"/>
        <w:adjustRightInd/>
        <w:spacing w:line="560" w:lineRule="exact"/>
        <w:ind w:firstLine="720" w:firstLineChars="225"/>
        <w:textAlignment w:val="auto"/>
        <w:rPr>
          <w:rFonts w:hint="eastAsia"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按照《中华人民共和国预算法</w:t>
      </w:r>
      <w:bookmarkStart w:id="8" w:name="_GoBack"/>
      <w:bookmarkEnd w:id="8"/>
      <w:r>
        <w:rPr>
          <w:rFonts w:hint="eastAsia" w:ascii="方正仿宋简体" w:hAnsi="黑体" w:eastAsia="方正仿宋简体" w:cs="黑体"/>
          <w:sz w:val="32"/>
          <w:szCs w:val="32"/>
        </w:rPr>
        <w:t>》、《地方预决算公开操作规程》和《河北省省级预算公开办法》规定，现将遵化市</w:t>
      </w:r>
      <w:r>
        <w:rPr>
          <w:rFonts w:hint="eastAsia" w:ascii="方正仿宋简体" w:hAnsi="黑体" w:eastAsia="方正仿宋简体" w:cs="黑体"/>
          <w:sz w:val="32"/>
          <w:szCs w:val="32"/>
          <w:lang w:eastAsia="zh-CN"/>
        </w:rPr>
        <w:t>东旧寨镇</w:t>
      </w:r>
      <w:r>
        <w:rPr>
          <w:rFonts w:hint="eastAsia" w:ascii="方正仿宋简体" w:hAnsi="黑体" w:eastAsia="方正仿宋简体" w:cs="黑体"/>
          <w:sz w:val="32"/>
          <w:szCs w:val="32"/>
        </w:rPr>
        <w:t>人民政府2022年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预算公开如下：</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60" w:lineRule="exact"/>
        <w:ind w:firstLine="249" w:firstLineChars="78"/>
        <w:jc w:val="left"/>
        <w:textAlignment w:val="auto"/>
        <w:rPr>
          <w:rFonts w:hint="eastAsia" w:ascii="方正黑体简体" w:hAnsi="黑体" w:eastAsia="方正黑体简体" w:cs="黑体"/>
          <w:sz w:val="32"/>
          <w:szCs w:val="32"/>
        </w:rPr>
      </w:pPr>
      <w:r>
        <w:rPr>
          <w:rFonts w:hint="eastAsia" w:ascii="黑体" w:hAnsi="黑体" w:eastAsia="黑体" w:cs="黑体"/>
          <w:sz w:val="32"/>
          <w:szCs w:val="32"/>
          <w:lang w:eastAsia="zh-CN"/>
        </w:rPr>
        <w:t>本级</w:t>
      </w:r>
      <w:r>
        <w:rPr>
          <w:rFonts w:hint="eastAsia" w:ascii="黑体" w:hAnsi="黑体" w:eastAsia="黑体" w:cs="黑体"/>
          <w:sz w:val="32"/>
          <w:szCs w:val="32"/>
        </w:rPr>
        <w:t>职责及机构设置情况</w:t>
      </w:r>
    </w:p>
    <w:p>
      <w:pPr>
        <w:keepNext w:val="0"/>
        <w:keepLines w:val="0"/>
        <w:pageBreakBefore w:val="0"/>
        <w:widowControl/>
        <w:tabs>
          <w:tab w:val="left" w:pos="5552"/>
          <w:tab w:val="left" w:pos="7323"/>
          <w:tab w:val="left" w:pos="12218"/>
          <w:tab w:val="left" w:pos="13720"/>
        </w:tabs>
        <w:kinsoku/>
        <w:wordWrap/>
        <w:overflowPunct/>
        <w:topLinePunct w:val="0"/>
        <w:autoSpaceDE/>
        <w:autoSpaceDN/>
        <w:bidi w:val="0"/>
        <w:adjustRightInd/>
        <w:snapToGrid/>
        <w:spacing w:line="560" w:lineRule="exact"/>
        <w:ind w:firstLine="560"/>
        <w:jc w:val="left"/>
        <w:textAlignment w:val="auto"/>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（一）本级</w:t>
      </w:r>
      <w:r>
        <w:rPr>
          <w:rFonts w:hint="eastAsia" w:ascii="方正楷体简体" w:hAnsi="方正楷体简体" w:eastAsia="方正楷体简体" w:cs="方正楷体简体"/>
          <w:color w:val="000000" w:themeColor="text1"/>
          <w:sz w:val="32"/>
          <w:szCs w:val="32"/>
          <w14:textFill>
            <w14:solidFill>
              <w14:schemeClr w14:val="tx1"/>
            </w14:solidFill>
          </w14:textFill>
        </w:rPr>
        <w:t>职责</w:t>
      </w:r>
      <w:r>
        <w:rPr>
          <w:rFonts w:hint="eastAsia" w:ascii="微软雅黑" w:hAnsi="微软雅黑" w:eastAsia="微软雅黑" w:cs="微软雅黑"/>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28"/>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2、讨论和决定本镇经济建设、政治建设、文化建设、社会建设、生态文明建设和党的建设以及乡村振兴中的重大问题。</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3、组织召开本级人民代表大会，充分行使重大事项决定权、监督权和任免权，做好人大代表工作，    联系选民、反映群众意见和要求。</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7、按照干部管理权限，负责对干部的教育、培训、选拔、考核和监督工作。协助管理上级有关部门驻镇单位的干部。做好人才服务工作。</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ascii="黑体" w:hAnsi="黑体" w:eastAsia="黑体" w:cs="黑体"/>
          <w:color w:val="000000" w:themeColor="text1"/>
          <w:sz w:val="28"/>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10、承办上级党委、人大、政府交办的其他事项。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（二）</w:t>
      </w:r>
      <w:r>
        <w:rPr>
          <w:rFonts w:hint="eastAsia" w:ascii="方正楷体简体" w:hAnsi="方正楷体简体" w:eastAsia="方正楷体简体" w:cs="方正楷体简体"/>
          <w:color w:val="000000" w:themeColor="text1"/>
          <w:sz w:val="32"/>
          <w:szCs w:val="32"/>
          <w14:textFill>
            <w14:solidFill>
              <w14:schemeClr w14:val="tx1"/>
            </w14:solidFill>
          </w14:textFill>
        </w:rPr>
        <w:t xml:space="preserve"> </w:t>
      </w: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机构设置</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rPr>
        <w:t>党政综合办公室（财政所）</w:t>
      </w:r>
      <w:r>
        <w:rPr>
          <w:rFonts w:hint="eastAsia" w:ascii="方正仿宋简体" w:hAnsi="方正仿宋简体" w:eastAsia="方正仿宋简体" w:cs="方正仿宋简体"/>
          <w:snapToGrid w:val="0"/>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rPr>
      </w:pP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eastAsia="方正仿宋简体" w:cs="方正仿宋简体"/>
          <w:sz w:val="32"/>
          <w:szCs w:val="32"/>
          <w:lang w:eastAsia="zh-CN"/>
        </w:rPr>
        <w:t>本级</w:t>
      </w:r>
      <w:r>
        <w:rPr>
          <w:rFonts w:hint="eastAsia"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sz w:val="32"/>
          <w:szCs w:val="32"/>
          <w:lang w:eastAsia="zh-CN"/>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本级</w:t>
      </w:r>
      <w:r>
        <w:rPr>
          <w:rFonts w:hint="eastAsia" w:eastAsia="方正仿宋简体" w:cs="方正仿宋简体"/>
          <w:sz w:val="32"/>
          <w:szCs w:val="32"/>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MS Mincho"/>
          <w:kern w:val="0"/>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eastAsia="方正仿宋简体" w:cs="MS Mincho"/>
          <w:sz w:val="32"/>
          <w:szCs w:val="32"/>
        </w:rPr>
      </w:pP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本级</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MS Mincho"/>
          <w:kern w:val="0"/>
          <w:sz w:val="32"/>
          <w:szCs w:val="32"/>
        </w:rPr>
      </w:pPr>
      <w:r>
        <w:rPr>
          <w:rFonts w:hint="eastAsia" w:ascii="宋体" w:hAnsi="宋体" w:eastAsia="方正仿宋简体" w:cs="MS Mincho"/>
          <w:kern w:val="0"/>
          <w:sz w:val="32"/>
          <w:szCs w:val="32"/>
        </w:rPr>
        <w:t>行政综合服务中心（文化综合服务站）。</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方正仿宋简体" w:cs="MS Mincho"/>
          <w:sz w:val="32"/>
          <w:szCs w:val="32"/>
        </w:rPr>
      </w:pP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退役军人服务站</w:t>
      </w:r>
      <w:r>
        <w:rPr>
          <w:rFonts w:hint="eastAsia" w:ascii="方正仿宋简体" w:hAnsi="方正仿宋简体" w:eastAsia="方正仿宋简体" w:cs="方正仿宋简体"/>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方正仿宋简体" w:hAnsi="方正仿宋简体" w:eastAsia="微软雅黑" w:cs="黑体"/>
          <w:b/>
          <w:color w:val="000000" w:themeColor="text1"/>
          <w:sz w:val="32"/>
          <w14:textFill>
            <w14:solidFill>
              <w14:schemeClr w14:val="tx1"/>
            </w14:solidFill>
          </w14:textFill>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sz w:val="32"/>
          <w:szCs w:val="32"/>
          <w:lang w:eastAsia="zh-CN"/>
        </w:rPr>
        <w:t>本级</w:t>
      </w:r>
      <w:r>
        <w:rPr>
          <w:rFonts w:eastAsia="方正仿宋简体" w:cs="方正仿宋简体"/>
          <w:sz w:val="32"/>
          <w:szCs w:val="32"/>
        </w:rPr>
        <w:t>做好来信、来访工作</w:t>
      </w:r>
      <w:r>
        <w:rPr>
          <w:rFonts w:hint="eastAsia" w:eastAsia="方正仿宋简体" w:cs="方正仿宋简体"/>
          <w:sz w:val="32"/>
          <w:szCs w:val="32"/>
        </w:rPr>
        <w:t>；负责依照法定权限，做好本辖区拥军优属工作。完成党委、政府交办的其他工作任务。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themeColor="text1"/>
          <w:sz w:val="3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2"/>
          <w:lang w:eastAsia="zh-CN"/>
          <w14:textFill>
            <w14:solidFill>
              <w14:schemeClr w14:val="tx1"/>
            </w14:solidFill>
          </w14:textFill>
        </w:rPr>
        <w:t>本级</w:t>
      </w:r>
      <w:r>
        <w:rPr>
          <w:rFonts w:hint="eastAsia" w:ascii="方正小标宋简体" w:hAnsi="方正小标宋简体" w:eastAsia="方正小标宋简体" w:cs="方正小标宋简体"/>
          <w:b w:val="0"/>
          <w:bCs/>
          <w:color w:val="000000" w:themeColor="text1"/>
          <w:sz w:val="32"/>
          <w14:textFill>
            <w14:solidFill>
              <w14:schemeClr w14:val="tx1"/>
            </w14:solidFill>
          </w14:textFill>
        </w:rPr>
        <w:t>机构设置情况</w:t>
      </w:r>
    </w:p>
    <w:tbl>
      <w:tblPr>
        <w:tblStyle w:val="10"/>
        <w:tblW w:w="14738" w:type="dxa"/>
        <w:tblInd w:w="108" w:type="dxa"/>
        <w:tblLayout w:type="autofit"/>
        <w:tblCellMar>
          <w:top w:w="0" w:type="dxa"/>
          <w:left w:w="0" w:type="dxa"/>
          <w:bottom w:w="0" w:type="dxa"/>
          <w:right w:w="0" w:type="dxa"/>
        </w:tblCellMar>
      </w:tblPr>
      <w:tblGrid>
        <w:gridCol w:w="6704"/>
        <w:gridCol w:w="1981"/>
        <w:gridCol w:w="1703"/>
        <w:gridCol w:w="4350"/>
      </w:tblGrid>
      <w:tr>
        <w:tblPrEx>
          <w:tblCellMar>
            <w:top w:w="0" w:type="dxa"/>
            <w:left w:w="0" w:type="dxa"/>
            <w:bottom w:w="0" w:type="dxa"/>
            <w:right w:w="0" w:type="dxa"/>
          </w:tblCellMar>
        </w:tblPrEx>
        <w:trPr>
          <w:trHeight w:val="512" w:hRule="atLeast"/>
          <w:tblHeader/>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单位名称</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单位性质</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单位规格</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经费保障形式</w:t>
            </w:r>
          </w:p>
        </w:tc>
      </w:tr>
      <w:tr>
        <w:tblPrEx>
          <w:tblCellMar>
            <w:top w:w="0" w:type="dxa"/>
            <w:left w:w="0" w:type="dxa"/>
            <w:bottom w:w="0" w:type="dxa"/>
            <w:right w:w="0" w:type="dxa"/>
          </w:tblCellMar>
        </w:tblPrEx>
        <w:trPr>
          <w:trHeight w:val="512"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合    计</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716"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left"/>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遵化市</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人民政府</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行政</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正科级</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财政拨款</w:t>
            </w:r>
          </w:p>
        </w:tc>
      </w:tr>
      <w:bookmarkEnd w:id="0"/>
    </w:tbl>
    <w:p>
      <w:pPr>
        <w:keepNext w:val="0"/>
        <w:keepLines w:val="0"/>
        <w:pageBreakBefore w:val="0"/>
        <w:kinsoku/>
        <w:wordWrap/>
        <w:overflowPunct/>
        <w:topLinePunct w:val="0"/>
        <w:bidi w:val="0"/>
        <w:spacing w:line="560" w:lineRule="exact"/>
        <w:ind w:firstLine="800" w:firstLineChars="250"/>
        <w:textAlignment w:val="auto"/>
        <w:rPr>
          <w:rFonts w:hint="eastAsia" w:ascii="方正黑体简体" w:hAnsi="黑体" w:eastAsia="方正黑体简体" w:cs="黑体"/>
          <w:b w:val="0"/>
          <w:bCs w:val="0"/>
          <w:sz w:val="32"/>
          <w:szCs w:val="32"/>
        </w:rPr>
      </w:pPr>
      <w:bookmarkStart w:id="1" w:name="_Toc68791550"/>
      <w:r>
        <w:rPr>
          <w:rFonts w:hint="eastAsia" w:ascii="方正黑体简体" w:hAnsi="黑体" w:eastAsia="方正黑体简体" w:cs="黑体"/>
          <w:b w:val="0"/>
          <w:bCs w:val="0"/>
          <w:sz w:val="32"/>
          <w:szCs w:val="32"/>
        </w:rPr>
        <w:t>二、</w:t>
      </w:r>
      <w:r>
        <w:rPr>
          <w:rFonts w:hint="eastAsia" w:ascii="方正黑体简体" w:hAnsi="黑体" w:eastAsia="方正黑体简体" w:cs="黑体"/>
          <w:b w:val="0"/>
          <w:bCs w:val="0"/>
          <w:sz w:val="32"/>
          <w:szCs w:val="32"/>
          <w:lang w:eastAsia="zh-CN"/>
        </w:rPr>
        <w:t>本级</w:t>
      </w:r>
      <w:r>
        <w:rPr>
          <w:rFonts w:hint="eastAsia" w:ascii="方正黑体简体" w:hAnsi="黑体" w:eastAsia="方正黑体简体" w:cs="黑体"/>
          <w:b w:val="0"/>
          <w:bCs w:val="0"/>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（一）</w:t>
      </w:r>
      <w:r>
        <w:rPr>
          <w:rFonts w:hint="eastAsia" w:ascii="方正楷体简体" w:hAnsi="方正楷体简体" w:eastAsia="方正楷体简体" w:cs="方正楷体简体"/>
          <w:b w:val="0"/>
          <w:bCs/>
          <w:sz w:val="32"/>
          <w:szCs w:val="32"/>
        </w:rPr>
        <w:t>收入</w:t>
      </w:r>
      <w:r>
        <w:rPr>
          <w:rFonts w:hint="eastAsia" w:ascii="方正楷体简体" w:hAnsi="方正楷体简体" w:eastAsia="方正楷体简体" w:cs="方正楷体简体"/>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反映本</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当年全部收入。2022年预算收入</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万元，其中：一般公共预算收入</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r>
        <w:rPr>
          <w:rFonts w:hint="eastAsia" w:ascii="方正仿宋简体" w:hAnsi="黑体" w:eastAsia="方正仿宋简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（二）支出情况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w:t>
      </w:r>
      <w:r>
        <w:rPr>
          <w:rFonts w:hint="eastAsia" w:ascii="方正仿宋简体" w:hAnsi="黑体" w:eastAsia="方正仿宋简体" w:cs="黑体"/>
          <w:sz w:val="32"/>
          <w:szCs w:val="32"/>
          <w:lang w:eastAsia="zh-CN"/>
        </w:rPr>
        <w:t>东旧寨镇</w:t>
      </w:r>
      <w:r>
        <w:rPr>
          <w:rFonts w:hint="eastAsia" w:ascii="方正仿宋简体" w:hAnsi="黑体" w:eastAsia="方正仿宋简体" w:cs="黑体"/>
          <w:sz w:val="32"/>
          <w:szCs w:val="32"/>
        </w:rPr>
        <w:t>人民政府2022年度</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预算中支出预算的总体情况。2022年支出预算</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万元，其中基本支出</w:t>
      </w:r>
      <w:r>
        <w:rPr>
          <w:rFonts w:hint="eastAsia" w:ascii="方正仿宋简体" w:hAnsi="黑体" w:eastAsia="方正仿宋简体" w:cs="黑体"/>
          <w:sz w:val="32"/>
          <w:szCs w:val="32"/>
          <w:lang w:val="en-US" w:eastAsia="zh-CN"/>
        </w:rPr>
        <w:t>715.14</w:t>
      </w:r>
      <w:r>
        <w:rPr>
          <w:rFonts w:hint="eastAsia" w:ascii="方正仿宋简体" w:hAnsi="黑体" w:eastAsia="方正仿宋简体" w:cs="黑体"/>
          <w:sz w:val="32"/>
          <w:szCs w:val="32"/>
        </w:rPr>
        <w:t>万元，包括人员经费</w:t>
      </w:r>
      <w:r>
        <w:rPr>
          <w:rFonts w:hint="eastAsia" w:ascii="方正仿宋简体" w:hAnsi="黑体" w:eastAsia="方正仿宋简体" w:cs="黑体"/>
          <w:sz w:val="32"/>
          <w:szCs w:val="32"/>
          <w:lang w:val="en-US" w:eastAsia="zh-CN"/>
        </w:rPr>
        <w:t>632.22</w:t>
      </w:r>
      <w:r>
        <w:rPr>
          <w:rFonts w:hint="eastAsia" w:ascii="方正仿宋简体" w:hAnsi="黑体" w:eastAsia="方正仿宋简体" w:cs="黑体"/>
          <w:sz w:val="32"/>
          <w:szCs w:val="32"/>
        </w:rPr>
        <w:t>万元和日常公用经费</w:t>
      </w:r>
      <w:r>
        <w:rPr>
          <w:rFonts w:hint="eastAsia" w:ascii="方正仿宋简体" w:hAnsi="黑体" w:eastAsia="方正仿宋简体" w:cs="黑体"/>
          <w:sz w:val="32"/>
          <w:szCs w:val="32"/>
          <w:lang w:val="en-US" w:eastAsia="zh-CN"/>
        </w:rPr>
        <w:t>82.92</w:t>
      </w:r>
      <w:r>
        <w:rPr>
          <w:rFonts w:hint="eastAsia" w:ascii="方正仿宋简体" w:hAnsi="黑体" w:eastAsia="方正仿宋简体" w:cs="黑体"/>
          <w:sz w:val="32"/>
          <w:szCs w:val="32"/>
        </w:rPr>
        <w:t>万元；项目支出</w:t>
      </w:r>
      <w:r>
        <w:rPr>
          <w:rFonts w:hint="eastAsia" w:ascii="方正仿宋简体" w:hAnsi="黑体" w:eastAsia="方正仿宋简体" w:cs="黑体"/>
          <w:sz w:val="32"/>
          <w:szCs w:val="32"/>
          <w:lang w:val="en-US" w:eastAsia="zh-CN"/>
        </w:rPr>
        <w:t>295</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lang w:val="en-US" w:eastAsia="zh-CN"/>
        </w:rPr>
        <w:t>包括本级支出，</w:t>
      </w:r>
      <w:r>
        <w:rPr>
          <w:rFonts w:hint="eastAsia" w:ascii="方正仿宋简体" w:hAnsi="黑体" w:eastAsia="方正仿宋简体" w:cs="黑体"/>
          <w:sz w:val="32"/>
          <w:szCs w:val="32"/>
          <w:lang w:eastAsia="zh-CN"/>
        </w:rPr>
        <w:t>主要为</w:t>
      </w:r>
      <w:r>
        <w:rPr>
          <w:rFonts w:hint="eastAsia" w:ascii="方正仿宋简体" w:hAnsi="黑体" w:eastAsia="方正仿宋简体" w:cs="黑体"/>
          <w:sz w:val="32"/>
          <w:szCs w:val="32"/>
        </w:rPr>
        <w:t>服务群众专项经费、冀财预【2021】71号2022年革命老区转移支付资金。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（三）与上年相比增减变化情况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2022年预算收支安排</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增加317.32万元，其中：基本支出增加45.32万元，主要为增加人员经费支出47.07万元（人员经费增加的主要原因为新调入人员增加，乡镇补贴、绩效工资、公车补贴增加）；日常公用经费增加2.25万元（增加的主要原因为调入人员增加）。项目支出增加268万元，主要包括服务群众专项经费、冀财预【2021】71号2022年革命老区转移支付资金。</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Chars="78" w:firstLine="640" w:firstLineChars="200"/>
        <w:jc w:val="left"/>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lang w:eastAsia="zh-CN"/>
        </w:rPr>
        <w:t>三、</w:t>
      </w:r>
      <w:r>
        <w:rPr>
          <w:rFonts w:hint="eastAsia" w:ascii="方正黑体简体" w:hAnsi="黑体" w:eastAsia="方正黑体简体" w:cs="黑体"/>
          <w:b w:val="0"/>
          <w:bCs w:val="0"/>
          <w:sz w:val="32"/>
          <w:szCs w:val="32"/>
        </w:rPr>
        <w:t>机关运行经费安排情况</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Chars="78" w:firstLine="640" w:firstLineChars="200"/>
        <w:jc w:val="left"/>
        <w:textAlignment w:val="auto"/>
        <w:rPr>
          <w:rFonts w:hint="eastAsia" w:ascii="方正黑体简体" w:hAnsi="黑体" w:eastAsia="方正黑体简体" w:cs="黑体"/>
          <w:b w:val="0"/>
          <w:bCs w:val="0"/>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lang w:val="en-US" w:eastAsia="zh-CN"/>
        </w:rPr>
        <w:t>82.92</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工会经费及福利费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公务交</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其它商品服务支出</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2022年我镇“三公”经费预算安排</w:t>
      </w:r>
      <w:r>
        <w:rPr>
          <w:rFonts w:hint="eastAsia" w:ascii="方正仿宋简体" w:hAnsi="黑体" w:eastAsia="方正仿宋简体" w:cs="黑体"/>
          <w:sz w:val="32"/>
          <w:szCs w:val="32"/>
          <w:lang w:val="en-US" w:eastAsia="zh-CN"/>
        </w:rPr>
        <w:t>15.76</w:t>
      </w:r>
      <w:r>
        <w:rPr>
          <w:rFonts w:hint="eastAsia" w:ascii="方正仿宋简体" w:hAnsi="黑体" w:eastAsia="方正仿宋简体" w:cs="黑体"/>
          <w:sz w:val="32"/>
          <w:szCs w:val="32"/>
        </w:rPr>
        <w:t xml:space="preserve">万元，较2021年预算减少4.1万元。具体安排情况为： </w:t>
      </w:r>
    </w:p>
    <w:p>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公务用车购置及运行费。</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b w:val="0"/>
          <w:bCs/>
          <w:sz w:val="32"/>
          <w:szCs w:val="32"/>
        </w:rPr>
        <w:t>2022年共计安排15.2万元，较2021年预算减少4.1万元。其中①公务用车购置安排0万元，与2021年持平，无增减变化。②公车运行维护经费安排15.2万元，较2021年减少，原因是报废公车一辆</w:t>
      </w:r>
      <w:r>
        <w:rPr>
          <w:rFonts w:hint="eastAsia" w:ascii="方正仿宋简体" w:hAnsi="黑体" w:eastAsia="方正仿宋简体" w:cs="黑体"/>
          <w:b w:val="0"/>
          <w:bCs/>
          <w:sz w:val="32"/>
          <w:szCs w:val="32"/>
          <w:lang w:eastAsia="zh-CN"/>
        </w:rPr>
        <w:t>，</w:t>
      </w:r>
      <w:r>
        <w:rPr>
          <w:rFonts w:hint="eastAsia" w:ascii="方正仿宋简体" w:hAnsi="黑体" w:eastAsia="方正仿宋简体" w:cs="黑体"/>
          <w:b w:val="0"/>
          <w:bCs/>
          <w:sz w:val="32"/>
          <w:szCs w:val="32"/>
          <w:lang w:val="en-US" w:eastAsia="zh-CN"/>
        </w:rPr>
        <w:t>相应减少</w:t>
      </w:r>
      <w:r>
        <w:rPr>
          <w:rFonts w:hint="eastAsia" w:ascii="方正仿宋简体" w:hAnsi="黑体" w:eastAsia="方正仿宋简体" w:cs="黑体"/>
          <w:b w:val="0"/>
          <w:bCs/>
          <w:sz w:val="32"/>
          <w:szCs w:val="32"/>
          <w:lang w:eastAsia="zh-CN"/>
        </w:rPr>
        <w:t>车辆运行维护费</w:t>
      </w:r>
      <w:r>
        <w:rPr>
          <w:rFonts w:hint="eastAsia" w:ascii="方正仿宋简体" w:hAnsi="黑体" w:eastAsia="方正仿宋简体" w:cs="黑体"/>
          <w:b w:val="0"/>
          <w:bCs/>
          <w:sz w:val="32"/>
          <w:szCs w:val="32"/>
        </w:rPr>
        <w:t>。</w:t>
      </w:r>
    </w:p>
    <w:p>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left="0" w:leftChars="0"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公务接待费。</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2022年安排0.56万元，与2021年预算持平，无增减变化。原因为按照统一定额标准计算，无增减变化</w:t>
      </w:r>
      <w:r>
        <w:rPr>
          <w:rFonts w:hint="eastAsia" w:ascii="方正仿宋简体" w:hAnsi="黑体" w:eastAsia="方正仿宋简体" w:cs="黑体"/>
          <w:sz w:val="32"/>
          <w:szCs w:val="32"/>
        </w:rPr>
        <w:t>。</w:t>
      </w:r>
    </w:p>
    <w:p>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left="0" w:leftChars="0" w:firstLine="640" w:firstLineChars="200"/>
        <w:jc w:val="left"/>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rPr>
        <w:t>因公出国（境）费安排0万元</w:t>
      </w:r>
      <w:r>
        <w:rPr>
          <w:rFonts w:hint="eastAsia" w:ascii="方正楷体简体" w:hAnsi="方正楷体简体" w:eastAsia="方正楷体简体" w:cs="方正楷体简体"/>
          <w:b w:val="0"/>
          <w:bCs/>
          <w:sz w:val="32"/>
          <w:szCs w:val="32"/>
          <w:lang w:eastAsia="zh-CN"/>
        </w:rPr>
        <w:t>。</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与20</w:t>
      </w:r>
      <w:r>
        <w:rPr>
          <w:rFonts w:hint="eastAsia" w:ascii="方正仿宋简体" w:hAnsi="黑体" w:eastAsia="方正仿宋简体" w:cs="黑体"/>
          <w:sz w:val="32"/>
          <w:szCs w:val="32"/>
          <w:lang w:val="en-US" w:eastAsia="zh-CN"/>
        </w:rPr>
        <w:t>21</w:t>
      </w:r>
      <w:r>
        <w:rPr>
          <w:rFonts w:hint="eastAsia" w:ascii="方正仿宋简体" w:hAnsi="黑体" w:eastAsia="方正仿宋简体" w:cs="黑体"/>
          <w:sz w:val="32"/>
          <w:szCs w:val="32"/>
        </w:rPr>
        <w:t>年持平，无增减变化。没有因公出国安排，所以未安排因公出国费。</w:t>
      </w:r>
    </w:p>
    <w:p>
      <w:pPr>
        <w:keepNext w:val="0"/>
        <w:keepLines w:val="0"/>
        <w:pageBreakBefore w:val="0"/>
        <w:tabs>
          <w:tab w:val="left" w:pos="5955"/>
        </w:tabs>
        <w:kinsoku/>
        <w:wordWrap/>
        <w:overflowPunct/>
        <w:topLinePunct w:val="0"/>
        <w:bidi w:val="0"/>
        <w:spacing w:line="560" w:lineRule="exact"/>
        <w:ind w:firstLine="467" w:firstLineChars="146"/>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五、绩效预算信息情况</w:t>
      </w:r>
    </w:p>
    <w:p>
      <w:pPr>
        <w:keepNext w:val="0"/>
        <w:keepLines w:val="0"/>
        <w:pageBreakBefore w:val="0"/>
        <w:kinsoku/>
        <w:wordWrap/>
        <w:overflowPunct/>
        <w:topLinePunct w:val="0"/>
        <w:bidi w:val="0"/>
        <w:spacing w:line="560" w:lineRule="exact"/>
        <w:ind w:firstLine="56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本级</w:t>
      </w:r>
      <w:r>
        <w:rPr>
          <w:rFonts w:hint="eastAsia" w:ascii="黑体" w:hAnsi="黑体" w:eastAsia="黑体" w:cs="黑体"/>
          <w:sz w:val="32"/>
          <w:szCs w:val="32"/>
        </w:rPr>
        <w:t>整体绩效目标</w:t>
      </w:r>
    </w:p>
    <w:p>
      <w:pPr>
        <w:keepNext w:val="0"/>
        <w:keepLines w:val="0"/>
        <w:pageBreakBefore w:val="0"/>
        <w:kinsoku/>
        <w:wordWrap/>
        <w:overflowPunct/>
        <w:topLinePunct w:val="0"/>
        <w:bidi w:val="0"/>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大力加强维护社会稳定工作</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积极</w:t>
      </w:r>
      <w:r>
        <w:rPr>
          <w:rFonts w:hint="eastAsia" w:ascii="方正仿宋简体" w:hAnsi="方正仿宋简体" w:eastAsia="方正仿宋简体" w:cs="方正仿宋简体"/>
          <w:sz w:val="32"/>
          <w:szCs w:val="32"/>
          <w:lang w:val="zh-CN"/>
        </w:rPr>
        <w:t>参与配合协调处置各类突发性和群众性事件，组织排查，协调整治治安混乱地区和突发治安问题。</w:t>
      </w:r>
      <w:r>
        <w:rPr>
          <w:rFonts w:hint="eastAsia" w:ascii="方正仿宋简体" w:hAnsi="方正仿宋简体" w:eastAsia="方正仿宋简体" w:cs="方正仿宋简体"/>
          <w:sz w:val="32"/>
          <w:szCs w:val="32"/>
        </w:rPr>
        <w:t>维护社会稳定，保障社会治安，</w:t>
      </w:r>
      <w:r>
        <w:rPr>
          <w:rFonts w:hint="eastAsia" w:ascii="方正仿宋简体" w:hAnsi="方正仿宋简体" w:eastAsia="方正仿宋简体" w:cs="方正仿宋简体"/>
          <w:sz w:val="32"/>
          <w:szCs w:val="32"/>
          <w:lang w:val="zh-CN"/>
        </w:rPr>
        <w:t>保障社会稳定和谐发展，保障居民安居乐业，健康有序。</w:t>
      </w:r>
    </w:p>
    <w:p>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继续推进</w:t>
      </w:r>
      <w:r>
        <w:rPr>
          <w:rFonts w:hint="eastAsia" w:ascii="方正仿宋简体" w:hAnsi="方正仿宋简体" w:eastAsia="方正仿宋简体" w:cs="方正仿宋简体"/>
          <w:color w:val="000000"/>
          <w:sz w:val="32"/>
          <w:szCs w:val="32"/>
          <w:lang w:eastAsia="zh-CN"/>
        </w:rPr>
        <w:t>生态环境治理</w:t>
      </w:r>
      <w:r>
        <w:rPr>
          <w:rFonts w:hint="eastAsia" w:ascii="方正仿宋简体" w:hAnsi="方正仿宋简体" w:eastAsia="方正仿宋简体" w:cs="方正仿宋简体"/>
          <w:color w:val="000000"/>
          <w:sz w:val="32"/>
          <w:szCs w:val="32"/>
        </w:rPr>
        <w:t>工作。</w:t>
      </w:r>
      <w:r>
        <w:rPr>
          <w:rFonts w:hint="eastAsia" w:ascii="方正仿宋简体" w:hAnsi="方正仿宋简体" w:eastAsia="方正仿宋简体" w:cs="方正仿宋简体"/>
          <w:color w:val="000000"/>
          <w:sz w:val="32"/>
          <w:szCs w:val="32"/>
          <w:lang w:eastAsia="zh-CN"/>
        </w:rPr>
        <w:t>响应上级精神打造美丽乡村建设，在全镇辖区内开展生态环境整治，大力改善农村生态环境，提升乡村人居生活品位，拉小城乡一体化距离，提高人居生活幸福指数。</w:t>
      </w:r>
    </w:p>
    <w:p>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创建“全国文明城市”和“国家全域旅游示范区”。</w:t>
      </w:r>
    </w:p>
    <w:p>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zh-CN" w:eastAsia="zh-CN"/>
        </w:rPr>
        <w:t>加快旅游经济发展、带动与旅游相关的基础设施、公共服务等方面迅速发展，同时优化全镇</w:t>
      </w:r>
      <w:r>
        <w:rPr>
          <w:rFonts w:hint="eastAsia" w:ascii="方正仿宋简体" w:hAnsi="方正仿宋简体" w:eastAsia="方正仿宋简体" w:cs="方正仿宋简体"/>
          <w:color w:val="000000"/>
          <w:sz w:val="32"/>
          <w:szCs w:val="32"/>
          <w:lang w:val="en-US" w:eastAsia="zh-CN"/>
        </w:rPr>
        <w:t>29个行政村的生活环境，加强宣传教育提升全镇23848人的文明素质</w:t>
      </w:r>
      <w:r>
        <w:rPr>
          <w:rFonts w:hint="eastAsia" w:ascii="方正仿宋简体" w:hAnsi="方正仿宋简体" w:eastAsia="方正仿宋简体" w:cs="方正仿宋简体"/>
          <w:color w:val="000000"/>
          <w:sz w:val="32"/>
          <w:szCs w:val="32"/>
          <w:lang w:val="zh-CN" w:eastAsia="zh-CN"/>
        </w:rPr>
        <w:t>。</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方正仿宋简体" w:hAnsi="方正仿宋简体" w:eastAsia="方正仿宋简体" w:cs="方正仿宋简体"/>
          <w:color w:val="000000"/>
          <w:sz w:val="32"/>
          <w:szCs w:val="32"/>
          <w:lang w:val="zh-CN"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eastAsia="zh-CN"/>
        </w:rPr>
        <w:t>完善基础设施建设。</w:t>
      </w:r>
      <w:r>
        <w:rPr>
          <w:rFonts w:hint="eastAsia" w:ascii="方正仿宋简体" w:hAnsi="方正仿宋简体" w:eastAsia="方正仿宋简体" w:cs="方正仿宋简体"/>
          <w:color w:val="000000"/>
          <w:sz w:val="32"/>
          <w:szCs w:val="32"/>
          <w:lang w:val="zh-CN" w:eastAsia="zh-CN"/>
        </w:rPr>
        <w:t>优化办公环境，保障办公人员人身安全，提高在职人员幸福生活指数，保障我镇各项工作正常运转。</w:t>
      </w:r>
    </w:p>
    <w:p>
      <w:pPr>
        <w:keepNext w:val="0"/>
        <w:keepLines w:val="0"/>
        <w:pageBreakBefore w:val="0"/>
        <w:kinsoku/>
        <w:wordWrap/>
        <w:overflowPunct/>
        <w:topLinePunct w:val="0"/>
        <w:bidi w:val="0"/>
        <w:spacing w:line="56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eastAsia="zh-CN"/>
        </w:rPr>
        <w:t>党建工作继续加强。</w:t>
      </w:r>
      <w:r>
        <w:rPr>
          <w:rFonts w:hint="eastAsia" w:ascii="方正仿宋简体" w:hAnsi="方正仿宋简体" w:eastAsia="方正仿宋简体" w:cs="方正仿宋简体"/>
          <w:color w:val="000000"/>
          <w:sz w:val="32"/>
          <w:szCs w:val="32"/>
          <w:lang w:val="zh-CN" w:eastAsia="zh-CN"/>
        </w:rPr>
        <w:t>加强党的政治建设，党的组织建设，党的思想建设，改进优化工作作风，进一步巩固脱贫攻坚成果，落实全面从严治党主体责任。</w:t>
      </w:r>
    </w:p>
    <w:p>
      <w:pPr>
        <w:keepNext w:val="0"/>
        <w:keepLines w:val="0"/>
        <w:pageBreakBefore w:val="0"/>
        <w:kinsoku/>
        <w:wordWrap/>
        <w:overflowPunct/>
        <w:topLinePunct w:val="0"/>
        <w:bidi w:val="0"/>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8"/>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乡镇</w:t>
      </w:r>
      <w:r>
        <w:rPr>
          <w:rFonts w:hint="eastAsia" w:ascii="方正仿宋简体" w:hAnsi="方正仿宋简体" w:eastAsia="方正仿宋简体" w:cs="方正仿宋简体"/>
          <w:sz w:val="32"/>
          <w:szCs w:val="32"/>
          <w:lang w:eastAsia="zh-CN"/>
        </w:rPr>
        <w:t>服务群众专项</w:t>
      </w:r>
      <w:r>
        <w:rPr>
          <w:rFonts w:hint="eastAsia" w:ascii="方正仿宋简体" w:hAnsi="方正仿宋简体" w:eastAsia="方正仿宋简体" w:cs="方正仿宋简体"/>
          <w:sz w:val="32"/>
          <w:szCs w:val="32"/>
        </w:rPr>
        <w:t>经费项目，主要用于乡镇服务群众工作。</w:t>
      </w:r>
    </w:p>
    <w:p>
      <w:pPr>
        <w:pStyle w:val="28"/>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个村生态环境。</w:t>
      </w:r>
    </w:p>
    <w:p>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pPr>
        <w:pStyle w:val="28"/>
        <w:keepNext w:val="0"/>
        <w:keepLines w:val="0"/>
        <w:pageBreakBefore w:val="0"/>
        <w:numPr>
          <w:ilvl w:val="0"/>
          <w:numId w:val="5"/>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冀财预[2021]71号关于下达2022年革命老区转移支付资金(</w:t>
      </w:r>
      <w:r>
        <w:rPr>
          <w:rFonts w:hint="eastAsia" w:ascii="方正仿宋简体" w:hAnsi="方正仿宋简体" w:eastAsia="方正仿宋简体" w:cs="方正仿宋简体"/>
          <w:sz w:val="32"/>
          <w:szCs w:val="32"/>
          <w:lang w:eastAsia="zh-CN"/>
        </w:rPr>
        <w:t>东旧寨镇大寨村</w:t>
      </w:r>
      <w:r>
        <w:rPr>
          <w:rFonts w:hint="eastAsia" w:ascii="方正仿宋简体" w:hAnsi="方正仿宋简体" w:eastAsia="方正仿宋简体" w:cs="方正仿宋简体"/>
          <w:sz w:val="32"/>
          <w:szCs w:val="32"/>
          <w:lang w:val="en-US" w:eastAsia="zh-CN"/>
        </w:rPr>
        <w:t>-徐店子村道路改建</w:t>
      </w:r>
      <w:r>
        <w:rPr>
          <w:rFonts w:hint="eastAsia" w:ascii="方正仿宋简体" w:hAnsi="方正仿宋简体" w:eastAsia="方正仿宋简体" w:cs="方正仿宋简体"/>
          <w:sz w:val="32"/>
          <w:szCs w:val="32"/>
        </w:rPr>
        <w:t>工程）</w:t>
      </w:r>
      <w:r>
        <w:rPr>
          <w:rFonts w:hint="eastAsia" w:ascii="方正仿宋简体" w:hAnsi="方正仿宋简体" w:eastAsia="方正仿宋简体" w:cs="方正仿宋简体"/>
          <w:sz w:val="32"/>
          <w:szCs w:val="32"/>
          <w:lang w:eastAsia="zh-CN"/>
        </w:rPr>
        <w:t>，主要用大寨村</w:t>
      </w:r>
      <w:r>
        <w:rPr>
          <w:rFonts w:hint="eastAsia" w:ascii="方正仿宋简体" w:hAnsi="方正仿宋简体" w:eastAsia="方正仿宋简体" w:cs="方正仿宋简体"/>
          <w:sz w:val="32"/>
          <w:szCs w:val="32"/>
          <w:lang w:val="en-US" w:eastAsia="zh-CN"/>
        </w:rPr>
        <w:t>-徐店子村道路改建</w:t>
      </w:r>
      <w:r>
        <w:rPr>
          <w:rFonts w:hint="eastAsia" w:ascii="方正仿宋简体" w:hAnsi="方正仿宋简体" w:eastAsia="方正仿宋简体" w:cs="方正仿宋简体"/>
          <w:sz w:val="32"/>
          <w:szCs w:val="32"/>
          <w:lang w:eastAsia="zh-CN"/>
        </w:rPr>
        <w:t>翻新，解决村民出行难问题。</w:t>
      </w:r>
    </w:p>
    <w:p>
      <w:pPr>
        <w:pStyle w:val="28"/>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绩效指标：改善周边群众出行环境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提高群众幸福指数</w:t>
      </w:r>
    </w:p>
    <w:p>
      <w:pPr>
        <w:keepNext w:val="0"/>
        <w:keepLines w:val="0"/>
        <w:pageBreakBefore w:val="0"/>
        <w:kinsoku/>
        <w:wordWrap/>
        <w:overflowPunct/>
        <w:topLinePunct w:val="0"/>
        <w:autoSpaceDE/>
        <w:autoSpaceDN/>
        <w:bidi w:val="0"/>
        <w:adjustRightInd/>
        <w:snapToGrid/>
        <w:spacing w:before="10" w:after="10" w:line="560" w:lineRule="exact"/>
        <w:ind w:firstLine="560"/>
        <w:textAlignment w:val="auto"/>
        <w:outlineLvl w:val="1"/>
        <w:rPr>
          <w:rFonts w:hint="eastAsia"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bookmarkEnd w:id="2"/>
    </w:p>
    <w:p>
      <w:pPr>
        <w:pStyle w:val="2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pStyle w:val="27"/>
        <w:keepNext w:val="0"/>
        <w:keepLines w:val="0"/>
        <w:pageBreakBefore w:val="0"/>
        <w:kinsoku/>
        <w:wordWrap/>
        <w:overflowPunct/>
        <w:topLinePunct w:val="0"/>
        <w:bidi w:val="0"/>
        <w:spacing w:line="560" w:lineRule="exact"/>
        <w:ind w:left="360" w:firstLine="0"/>
        <w:textAlignment w:val="auto"/>
        <w:rPr>
          <w:rFonts w:hint="eastAsia" w:ascii="方正书宋_GBK" w:hAnsi="方正书宋_GBK" w:eastAsia="方正书宋_GBK" w:cs="方正仿宋简体"/>
          <w:b/>
          <w:sz w:val="32"/>
          <w:szCs w:val="32"/>
        </w:rPr>
      </w:pPr>
      <w:bookmarkStart w:id="3" w:name="_Toc476908641"/>
      <w:r>
        <w:rPr>
          <w:rFonts w:hint="eastAsia" w:ascii="方正仿宋简体" w:hAnsi="方正仿宋简体" w:eastAsia="方正仿宋简体" w:cs="方正仿宋简体"/>
          <w:kern w:val="2"/>
          <w:sz w:val="32"/>
          <w:szCs w:val="32"/>
          <w:lang w:val="en-US" w:eastAsia="zh-CN" w:bidi="ar-SA"/>
        </w:rPr>
        <w:t xml:space="preserve"> </w:t>
      </w:r>
      <w:r>
        <w:rPr>
          <w:rFonts w:hint="eastAsia" w:ascii="黑体" w:hAnsi="黑体" w:eastAsia="黑体" w:cs="黑体"/>
          <w:kern w:val="2"/>
          <w:sz w:val="32"/>
          <w:szCs w:val="32"/>
          <w:lang w:val="en-US" w:eastAsia="zh-CN" w:bidi="ar-SA"/>
        </w:rPr>
        <w:t>第二部分 本级预算项目绩效目标</w:t>
      </w:r>
    </w:p>
    <w:p>
      <w:pPr>
        <w:keepNext w:val="0"/>
        <w:keepLines w:val="0"/>
        <w:pageBreakBefore w:val="0"/>
        <w:kinsoku/>
        <w:wordWrap/>
        <w:overflowPunct/>
        <w:topLinePunct w:val="0"/>
        <w:bidi w:val="0"/>
        <w:spacing w:line="560" w:lineRule="exact"/>
        <w:ind w:firstLine="480" w:firstLineChars="150"/>
        <w:textAlignment w:val="auto"/>
        <w:outlineLvl w:val="3"/>
        <w:rPr>
          <w:rFonts w:hint="eastAsia" w:ascii="方正仿宋简体" w:hAnsi="方正仿宋简体" w:eastAsia="方正仿宋简体" w:cs="方正仿宋简体"/>
          <w:kern w:val="2"/>
          <w:sz w:val="32"/>
          <w:szCs w:val="32"/>
          <w:lang w:val="en-US" w:eastAsia="zh-CN" w:bidi="ar-SA"/>
        </w:rPr>
      </w:pPr>
      <w:bookmarkStart w:id="4" w:name="_Toc_4_4_0000000004"/>
      <w:r>
        <w:rPr>
          <w:rFonts w:hint="eastAsia" w:ascii="方正仿宋简体" w:hAnsi="方正仿宋简体" w:eastAsia="方正仿宋简体" w:cs="方正仿宋简体"/>
          <w:kern w:val="2"/>
          <w:sz w:val="32"/>
          <w:szCs w:val="32"/>
          <w:lang w:val="en-US" w:eastAsia="zh-CN" w:bidi="ar-SA"/>
        </w:rPr>
        <w:t>1、服务群众专项经费绩效目标表</w:t>
      </w:r>
      <w:bookmarkEnd w:id="4"/>
    </w:p>
    <w:p>
      <w:pPr>
        <w:pStyle w:val="15"/>
        <w:keepNext w:val="0"/>
        <w:keepLines w:val="0"/>
        <w:pageBreakBefore w:val="0"/>
        <w:kinsoku/>
        <w:wordWrap/>
        <w:overflowPunct/>
        <w:topLinePunct w:val="0"/>
        <w:bidi w:val="0"/>
        <w:spacing w:line="560" w:lineRule="exact"/>
        <w:textAlignment w:val="auto"/>
        <w:rPr>
          <w:rFonts w:hint="eastAsia"/>
          <w:lang w:val="en-US" w:eastAsia="zh-CN"/>
        </w:rPr>
      </w:pPr>
    </w:p>
    <w:p>
      <w:pPr>
        <w:rPr>
          <w:rFonts w:hint="eastAsia"/>
          <w:lang w:val="en-US" w:eastAsia="zh-CN"/>
        </w:rPr>
      </w:pPr>
    </w:p>
    <w:p>
      <w:pPr>
        <w:pStyle w:val="15"/>
        <w:rPr>
          <w:rFonts w:hint="eastAsia"/>
          <w:lang w:val="en-US" w:eastAsia="zh-CN"/>
        </w:rPr>
      </w:pPr>
    </w:p>
    <w:p>
      <w:pPr>
        <w:rPr>
          <w:rFonts w:hint="eastAsia"/>
          <w:lang w:val="en-US" w:eastAsia="zh-CN"/>
        </w:rPr>
      </w:pPr>
    </w:p>
    <w:p>
      <w:pPr>
        <w:pStyle w:val="2"/>
        <w:rPr>
          <w:rFonts w:hint="eastAsia"/>
          <w:lang w:val="en-US" w:eastAsia="zh-CN"/>
        </w:rPr>
      </w:pP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noWrap w:val="0"/>
            <w:vAlign w:val="center"/>
          </w:tcPr>
          <w:p>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w:t>
            </w: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东旧寨镇</w:t>
            </w:r>
            <w:r>
              <w:rPr>
                <w:rFonts w:hint="eastAsia" w:ascii="方正仿宋简体" w:hAnsi="方正仿宋简体" w:eastAsia="方正仿宋简体" w:cs="方正仿宋简体"/>
                <w:sz w:val="28"/>
                <w:szCs w:val="28"/>
              </w:rPr>
              <w:t>人民政府本级</w:t>
            </w:r>
          </w:p>
        </w:tc>
        <w:tc>
          <w:tcPr>
            <w:tcW w:w="2008" w:type="dxa"/>
            <w:tcBorders>
              <w:top w:val="single" w:color="FFFFFF" w:sz="6" w:space="0"/>
              <w:left w:val="single" w:color="FFFFFF" w:sz="6" w:space="0"/>
              <w:right w:val="single" w:color="FFFFFF" w:sz="6" w:space="0"/>
            </w:tcBorders>
            <w:noWrap w:val="0"/>
            <w:vAlign w:val="center"/>
          </w:tcPr>
          <w:p>
            <w:pPr>
              <w:pStyle w:val="21"/>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538" w:type="dxa"/>
            <w:gridSpan w:val="3"/>
            <w:noWrap w:val="0"/>
            <w:vAlign w:val="center"/>
          </w:tcPr>
          <w:p>
            <w:pPr>
              <w:pStyle w:val="23"/>
              <w:ind w:firstLine="0" w:firstLineChars="0"/>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rPr>
              <w:t>13028122P002354100012</w:t>
            </w:r>
          </w:p>
        </w:tc>
        <w:tc>
          <w:tcPr>
            <w:tcW w:w="2693"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692" w:type="dxa"/>
            <w:gridSpan w:val="4"/>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95"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843" w:type="dxa"/>
            <w:gridSpan w:val="2"/>
            <w:noWrap w:val="0"/>
            <w:vAlign w:val="center"/>
          </w:tcPr>
          <w:p>
            <w:pPr>
              <w:pStyle w:val="2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145</w:t>
            </w:r>
          </w:p>
        </w:tc>
        <w:tc>
          <w:tcPr>
            <w:tcW w:w="2693"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985" w:type="dxa"/>
            <w:noWrap w:val="0"/>
            <w:vAlign w:val="center"/>
          </w:tcPr>
          <w:p>
            <w:pPr>
              <w:pStyle w:val="2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145</w:t>
            </w:r>
          </w:p>
        </w:tc>
        <w:tc>
          <w:tcPr>
            <w:tcW w:w="1417"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11923" w:type="dxa"/>
            <w:gridSpan w:val="9"/>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此项资金用于本辖区</w:t>
            </w:r>
            <w:r>
              <w:rPr>
                <w:rFonts w:hint="eastAsia" w:ascii="方正仿宋简体" w:hAnsi="方正仿宋简体" w:eastAsia="方正仿宋简体" w:cs="方正仿宋简体"/>
                <w:sz w:val="21"/>
                <w:szCs w:val="21"/>
                <w:lang w:val="en-US" w:eastAsia="zh-CN"/>
              </w:rPr>
              <w:t>29</w:t>
            </w:r>
            <w:r>
              <w:rPr>
                <w:rFonts w:hint="eastAsia" w:ascii="方正仿宋简体" w:hAnsi="方正仿宋简体" w:eastAsia="方正仿宋简体" w:cs="方正仿宋简体"/>
                <w:sz w:val="21"/>
                <w:szCs w:val="21"/>
              </w:rPr>
              <w:t>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538" w:type="dxa"/>
            <w:gridSpan w:val="3"/>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693"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85"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707" w:type="dxa"/>
            <w:gridSpan w:val="3"/>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3538" w:type="dxa"/>
            <w:gridSpan w:val="3"/>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2693" w:type="dxa"/>
            <w:gridSpan w:val="2"/>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0%</w:t>
            </w:r>
          </w:p>
        </w:tc>
        <w:tc>
          <w:tcPr>
            <w:tcW w:w="1985" w:type="dxa"/>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3707" w:type="dxa"/>
            <w:gridSpan w:val="3"/>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23" w:type="dxa"/>
            <w:gridSpan w:val="9"/>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 保障全乡</w:t>
            </w:r>
            <w:r>
              <w:rPr>
                <w:rFonts w:hint="eastAsia" w:ascii="方正仿宋简体" w:hAnsi="方正仿宋简体" w:eastAsia="方正仿宋简体" w:cs="方正仿宋简体"/>
                <w:sz w:val="21"/>
                <w:szCs w:val="21"/>
                <w:lang w:val="en-US" w:eastAsia="zh-CN"/>
              </w:rPr>
              <w:t>29</w:t>
            </w:r>
            <w:r>
              <w:rPr>
                <w:rFonts w:hint="eastAsia" w:ascii="方正仿宋简体" w:hAnsi="方正仿宋简体" w:eastAsia="方正仿宋简体" w:cs="方正仿宋简体"/>
                <w:sz w:val="21"/>
                <w:szCs w:val="21"/>
              </w:rPr>
              <w:t>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524"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24"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168"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417" w:type="dxa"/>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90" w:type="dxa"/>
            <w:gridSpan w:val="2"/>
            <w:noWrap w:val="0"/>
            <w:vAlign w:val="center"/>
          </w:tcPr>
          <w:p>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村人居环境整治个数</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辖区2</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个村</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个村</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提高环境卫生状况</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环境卫生质量得到提升</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设施正常使用率</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垃圾桶正常使用</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资金成本</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资金成本</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经济影响力</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带动经济发展</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生活垃圾处理</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垃圾收集及运输</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生态环境质量改善</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生态环境质量改善</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pPr>
              <w:rPr>
                <w:rFonts w:hint="eastAsia" w:ascii="方正仿宋简体" w:hAnsi="方正仿宋简体" w:eastAsia="方正仿宋简体" w:cs="方正仿宋简体"/>
                <w:sz w:val="21"/>
                <w:szCs w:val="21"/>
              </w:rPr>
            </w:pP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人居环境整体水平</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人居生活环境得到改善</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524"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观众满意度</w:t>
            </w:r>
          </w:p>
        </w:tc>
        <w:tc>
          <w:tcPr>
            <w:tcW w:w="3168"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观众满意度</w:t>
            </w:r>
          </w:p>
        </w:tc>
        <w:tc>
          <w:tcPr>
            <w:tcW w:w="1417" w:type="dxa"/>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150"/>
        <w:textAlignment w:val="auto"/>
        <w:outlineLvl w:val="3"/>
        <w:rPr>
          <w:rFonts w:hint="eastAsia" w:ascii="方正仿宋简体" w:hAnsi="方正仿宋简体" w:eastAsia="方正仿宋简体" w:cs="方正仿宋简体"/>
          <w:kern w:val="2"/>
          <w:sz w:val="28"/>
          <w:szCs w:val="28"/>
          <w:lang w:val="en-US" w:eastAsia="zh-CN" w:bidi="ar-SA"/>
        </w:rPr>
        <w:sectPr>
          <w:footerReference r:id="rId7" w:type="default"/>
          <w:pgSz w:w="16839" w:h="11907" w:orient="landscape"/>
          <w:pgMar w:top="1985" w:right="1304" w:bottom="1134" w:left="130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150"/>
        <w:textAlignment w:val="auto"/>
        <w:outlineLvl w:val="3"/>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2.冀财预[2021]71号关于下达2022年革命老区转移支付资金(东旧寨镇大寨村-徐店子村道路改建工程）</w:t>
      </w:r>
    </w:p>
    <w:tbl>
      <w:tblPr>
        <w:tblStyle w:val="10"/>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3"/>
        <w:gridCol w:w="1731"/>
        <w:gridCol w:w="332"/>
        <w:gridCol w:w="1084"/>
        <w:gridCol w:w="982"/>
        <w:gridCol w:w="1713"/>
        <w:gridCol w:w="1575"/>
        <w:gridCol w:w="552"/>
        <w:gridCol w:w="725"/>
        <w:gridCol w:w="974"/>
        <w:gridCol w:w="27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722" w:type="pct"/>
            <w:gridSpan w:val="9"/>
            <w:tcBorders>
              <w:top w:val="single" w:color="FFFFFF" w:sz="6" w:space="0"/>
              <w:left w:val="single" w:color="FFFFFF" w:sz="6" w:space="0"/>
              <w:right w:val="single" w:color="FFFFFF" w:sz="6"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647</w:t>
            </w:r>
            <w:r>
              <w:rPr>
                <w:rFonts w:hint="eastAsia" w:ascii="方正仿宋简体" w:hAnsi="方正仿宋简体" w:eastAsia="方正仿宋简体" w:cs="方正仿宋简体"/>
                <w:sz w:val="24"/>
                <w:szCs w:val="24"/>
              </w:rPr>
              <w:t>遵化市</w:t>
            </w:r>
            <w:r>
              <w:rPr>
                <w:rFonts w:hint="eastAsia" w:ascii="方正仿宋简体" w:hAnsi="方正仿宋简体" w:eastAsia="方正仿宋简体" w:cs="方正仿宋简体"/>
                <w:sz w:val="24"/>
                <w:szCs w:val="24"/>
                <w:lang w:eastAsia="zh-CN"/>
              </w:rPr>
              <w:t>东旧寨镇</w:t>
            </w:r>
            <w:r>
              <w:rPr>
                <w:rFonts w:hint="eastAsia" w:ascii="方正仿宋简体" w:hAnsi="方正仿宋简体" w:eastAsia="方正仿宋简体" w:cs="方正仿宋简体"/>
                <w:sz w:val="24"/>
                <w:szCs w:val="24"/>
              </w:rPr>
              <w:t>人民政府本级</w:t>
            </w:r>
          </w:p>
        </w:tc>
        <w:tc>
          <w:tcPr>
            <w:tcW w:w="1277" w:type="pct"/>
            <w:gridSpan w:val="2"/>
            <w:tcBorders>
              <w:top w:val="single" w:color="FFFFFF" w:sz="6" w:space="0"/>
              <w:left w:val="single" w:color="FFFFFF" w:sz="6" w:space="0"/>
              <w:right w:val="single" w:color="FFFFFF" w:sz="6"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380" w:lineRule="exact"/>
              <w:ind w:right="28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713" w:type="pc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项目编码</w:t>
            </w:r>
          </w:p>
        </w:tc>
        <w:tc>
          <w:tcPr>
            <w:tcW w:w="1089" w:type="pct"/>
            <w:gridSpan w:val="3"/>
            <w:noWrap w:val="0"/>
            <w:vAlign w:val="center"/>
          </w:tcPr>
          <w:p>
            <w:pPr>
              <w:pStyle w:val="23"/>
              <w:rPr>
                <w:rFonts w:hint="eastAsia"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13028122P0036</w:t>
            </w:r>
            <w:r>
              <w:rPr>
                <w:rFonts w:hint="eastAsia" w:ascii="方正仿宋简体" w:hAnsi="方正仿宋简体" w:eastAsia="方正仿宋简体" w:cs="方正仿宋简体"/>
                <w:sz w:val="20"/>
                <w:szCs w:val="20"/>
                <w:lang w:val="en-US" w:eastAsia="zh-CN"/>
              </w:rPr>
              <w:t>0810001E</w:t>
            </w:r>
          </w:p>
        </w:tc>
        <w:tc>
          <w:tcPr>
            <w:tcW w:w="932"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2264" w:type="pct"/>
            <w:gridSpan w:val="5"/>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冀财预[2021]71号关于下达2022年革命老区转移支付资金</w:t>
            </w:r>
            <w:r>
              <w:rPr>
                <w:rFonts w:hint="eastAsia" w:ascii="方正仿宋简体" w:hAnsi="方正仿宋简体" w:eastAsia="方正仿宋简体" w:cs="方正仿宋简体"/>
                <w:sz w:val="20"/>
                <w:szCs w:val="20"/>
                <w:lang w:eastAsia="zh-CN"/>
              </w:rPr>
              <w:t>（</w:t>
            </w:r>
            <w:r>
              <w:rPr>
                <w:rFonts w:hint="eastAsia" w:ascii="方正仿宋简体" w:hAnsi="方正仿宋简体" w:eastAsia="方正仿宋简体" w:cs="方正仿宋简体"/>
                <w:sz w:val="20"/>
                <w:szCs w:val="20"/>
              </w:rPr>
              <w:t>东旧寨镇大寨村-徐店子村道路改建工程）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预算规模及资金用途</w:t>
            </w:r>
          </w:p>
        </w:tc>
        <w:tc>
          <w:tcPr>
            <w:tcW w:w="599" w:type="pc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预算数</w:t>
            </w:r>
          </w:p>
        </w:tc>
        <w:tc>
          <w:tcPr>
            <w:tcW w:w="490"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1</w:t>
            </w:r>
            <w:r>
              <w:rPr>
                <w:rFonts w:hint="eastAsia" w:ascii="方正仿宋简体" w:hAnsi="方正仿宋简体" w:eastAsia="方正仿宋简体" w:cs="方正仿宋简体"/>
                <w:sz w:val="20"/>
                <w:szCs w:val="20"/>
              </w:rPr>
              <w:t>50.00</w:t>
            </w:r>
          </w:p>
        </w:tc>
        <w:tc>
          <w:tcPr>
            <w:tcW w:w="932"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  资金</w:t>
            </w:r>
          </w:p>
        </w:tc>
        <w:tc>
          <w:tcPr>
            <w:tcW w:w="736"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1</w:t>
            </w:r>
            <w:r>
              <w:rPr>
                <w:rFonts w:hint="eastAsia" w:ascii="方正仿宋简体" w:hAnsi="方正仿宋简体" w:eastAsia="方正仿宋简体" w:cs="方正仿宋简体"/>
                <w:sz w:val="20"/>
                <w:szCs w:val="20"/>
              </w:rPr>
              <w:t>50.00</w:t>
            </w:r>
          </w:p>
        </w:tc>
        <w:tc>
          <w:tcPr>
            <w:tcW w:w="588"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其他资金</w:t>
            </w:r>
          </w:p>
        </w:tc>
        <w:tc>
          <w:tcPr>
            <w:tcW w:w="939" w:type="pct"/>
            <w:noWrap w:val="0"/>
            <w:vAlign w:val="center"/>
          </w:tcPr>
          <w:p>
            <w:pPr>
              <w:pStyle w:val="23"/>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top"/>
          </w:tcPr>
          <w:p>
            <w:pPr>
              <w:rPr>
                <w:rFonts w:hint="eastAsia" w:ascii="方正仿宋简体" w:hAnsi="方正仿宋简体" w:eastAsia="方正仿宋简体" w:cs="方正仿宋简体"/>
                <w:sz w:val="20"/>
                <w:szCs w:val="20"/>
              </w:rPr>
            </w:pPr>
          </w:p>
        </w:tc>
        <w:tc>
          <w:tcPr>
            <w:tcW w:w="4286" w:type="pct"/>
            <w:gridSpan w:val="10"/>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东旧寨镇大寨村-徐店子村道路改建工程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资金支出计划（%）</w:t>
            </w:r>
          </w:p>
        </w:tc>
        <w:tc>
          <w:tcPr>
            <w:tcW w:w="1089" w:type="pct"/>
            <w:gridSpan w:val="3"/>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3月底</w:t>
            </w:r>
          </w:p>
        </w:tc>
        <w:tc>
          <w:tcPr>
            <w:tcW w:w="932"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6月底</w:t>
            </w:r>
          </w:p>
        </w:tc>
        <w:tc>
          <w:tcPr>
            <w:tcW w:w="736"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10月底</w:t>
            </w:r>
          </w:p>
        </w:tc>
        <w:tc>
          <w:tcPr>
            <w:tcW w:w="1527" w:type="pct"/>
            <w:gridSpan w:val="3"/>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top"/>
          </w:tcPr>
          <w:p>
            <w:pPr>
              <w:rPr>
                <w:rFonts w:hint="eastAsia" w:ascii="方正仿宋简体" w:hAnsi="方正仿宋简体" w:eastAsia="方正仿宋简体" w:cs="方正仿宋简体"/>
                <w:sz w:val="20"/>
                <w:szCs w:val="20"/>
              </w:rPr>
            </w:pPr>
          </w:p>
        </w:tc>
        <w:tc>
          <w:tcPr>
            <w:tcW w:w="1089" w:type="pct"/>
            <w:gridSpan w:val="3"/>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30</w:t>
            </w:r>
            <w:r>
              <w:rPr>
                <w:rFonts w:hint="eastAsia" w:ascii="方正仿宋简体" w:hAnsi="方正仿宋简体" w:eastAsia="方正仿宋简体" w:cs="方正仿宋简体"/>
                <w:sz w:val="20"/>
                <w:szCs w:val="20"/>
              </w:rPr>
              <w:t>%</w:t>
            </w:r>
          </w:p>
        </w:tc>
        <w:tc>
          <w:tcPr>
            <w:tcW w:w="932" w:type="pct"/>
            <w:gridSpan w:val="2"/>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60</w:t>
            </w:r>
            <w:r>
              <w:rPr>
                <w:rFonts w:hint="eastAsia" w:ascii="方正仿宋简体" w:hAnsi="方正仿宋简体" w:eastAsia="方正仿宋简体" w:cs="方正仿宋简体"/>
                <w:sz w:val="20"/>
                <w:szCs w:val="20"/>
              </w:rPr>
              <w:t>%</w:t>
            </w:r>
          </w:p>
        </w:tc>
        <w:tc>
          <w:tcPr>
            <w:tcW w:w="736" w:type="pct"/>
            <w:gridSpan w:val="2"/>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90</w:t>
            </w:r>
            <w:r>
              <w:rPr>
                <w:rFonts w:hint="eastAsia" w:ascii="方正仿宋简体" w:hAnsi="方正仿宋简体" w:eastAsia="方正仿宋简体" w:cs="方正仿宋简体"/>
                <w:sz w:val="20"/>
                <w:szCs w:val="20"/>
              </w:rPr>
              <w:t>%</w:t>
            </w:r>
          </w:p>
        </w:tc>
        <w:tc>
          <w:tcPr>
            <w:tcW w:w="1527" w:type="pct"/>
            <w:gridSpan w:val="3"/>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绩效目标</w:t>
            </w:r>
          </w:p>
        </w:tc>
        <w:tc>
          <w:tcPr>
            <w:tcW w:w="4286" w:type="pct"/>
            <w:gridSpan w:val="10"/>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 改善周边群众出行环境。2、提高群众幸福指数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13" w:type="pct"/>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一级指标</w:t>
            </w:r>
          </w:p>
        </w:tc>
        <w:tc>
          <w:tcPr>
            <w:tcW w:w="713"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二级指标</w:t>
            </w:r>
          </w:p>
        </w:tc>
        <w:tc>
          <w:tcPr>
            <w:tcW w:w="715"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三级指标</w:t>
            </w:r>
          </w:p>
        </w:tc>
        <w:tc>
          <w:tcPr>
            <w:tcW w:w="1137"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绩效指标描述</w:t>
            </w:r>
          </w:p>
        </w:tc>
        <w:tc>
          <w:tcPr>
            <w:tcW w:w="441"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指标值</w:t>
            </w:r>
          </w:p>
        </w:tc>
        <w:tc>
          <w:tcPr>
            <w:tcW w:w="1277" w:type="pct"/>
            <w:gridSpan w:val="2"/>
            <w:noWrap w:val="0"/>
            <w:vAlign w:val="center"/>
          </w:tcPr>
          <w:p>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产出指标</w:t>
            </w: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数量指标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硬化道路长度</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乡道翻修道路硬化总长度</w:t>
            </w:r>
          </w:p>
        </w:tc>
        <w:tc>
          <w:tcPr>
            <w:tcW w:w="441" w:type="pct"/>
            <w:gridSpan w:val="2"/>
            <w:noWrap w:val="0"/>
            <w:vAlign w:val="center"/>
          </w:tcPr>
          <w:p>
            <w:pPr>
              <w:jc w:val="right"/>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sz w:val="20"/>
                <w:szCs w:val="20"/>
              </w:rPr>
              <w:t>=</w:t>
            </w:r>
            <w:r>
              <w:rPr>
                <w:rFonts w:hint="eastAsia" w:ascii="方正仿宋简体" w:hAnsi="方正仿宋简体" w:eastAsia="方正仿宋简体" w:cs="方正仿宋简体"/>
                <w:color w:val="000000"/>
                <w:sz w:val="20"/>
                <w:szCs w:val="20"/>
                <w:lang w:val="en-US" w:eastAsia="zh-CN"/>
              </w:rPr>
              <w:t>3.2</w:t>
            </w:r>
            <w:r>
              <w:rPr>
                <w:rFonts w:hint="eastAsia" w:ascii="方正仿宋简体" w:hAnsi="方正仿宋简体" w:eastAsia="方正仿宋简体" w:cs="方正仿宋简体"/>
                <w:color w:val="000000"/>
                <w:sz w:val="20"/>
                <w:szCs w:val="20"/>
                <w:lang w:eastAsia="zh-CN"/>
              </w:rPr>
              <w:t>公里</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质量指标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项目建设投资保障率</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道路硬化项目建设投资保障率</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时效指标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按照项目进度完成资金使用率</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按照修路进度完成资金使用率</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成本指标</w:t>
            </w:r>
          </w:p>
        </w:tc>
        <w:tc>
          <w:tcPr>
            <w:tcW w:w="715" w:type="pct"/>
            <w:gridSpan w:val="2"/>
            <w:noWrap w:val="0"/>
            <w:vAlign w:val="top"/>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按预算资金完成率</w:t>
            </w:r>
          </w:p>
        </w:tc>
        <w:tc>
          <w:tcPr>
            <w:tcW w:w="1137" w:type="pct"/>
            <w:gridSpan w:val="2"/>
            <w:noWrap w:val="0"/>
            <w:vAlign w:val="top"/>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按预算资金完成率</w:t>
            </w:r>
          </w:p>
        </w:tc>
        <w:tc>
          <w:tcPr>
            <w:tcW w:w="441" w:type="pct"/>
            <w:gridSpan w:val="2"/>
            <w:noWrap w:val="0"/>
            <w:vAlign w:val="top"/>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效益指标</w:t>
            </w: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经济效益指标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项目持续发挥作用期限</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道路修建完成持续发挥作用期限</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社会效益指标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带动社会资金投资比</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带动社会资金投入与扶持奖励资金的比例</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生态效益指标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长期使用性</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道路的修建能长期开展农产品交流，保障出行畅通</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pPr>
              <w:rPr>
                <w:rFonts w:hint="eastAsia" w:ascii="方正仿宋简体" w:hAnsi="方正仿宋简体" w:eastAsia="方正仿宋简体" w:cs="方正仿宋简体"/>
                <w:sz w:val="20"/>
                <w:szCs w:val="20"/>
              </w:rPr>
            </w:pP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可持续影响指标</w:t>
            </w:r>
          </w:p>
        </w:tc>
        <w:tc>
          <w:tcPr>
            <w:tcW w:w="715" w:type="pct"/>
            <w:gridSpan w:val="2"/>
            <w:noWrap w:val="0"/>
            <w:vAlign w:val="top"/>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加强节约集约利用</w:t>
            </w:r>
          </w:p>
        </w:tc>
        <w:tc>
          <w:tcPr>
            <w:tcW w:w="1137" w:type="pct"/>
            <w:gridSpan w:val="2"/>
            <w:noWrap w:val="0"/>
            <w:vAlign w:val="top"/>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加强节约集约利用，促进生态文明建设</w:t>
            </w:r>
          </w:p>
        </w:tc>
        <w:tc>
          <w:tcPr>
            <w:tcW w:w="441" w:type="pct"/>
            <w:gridSpan w:val="2"/>
            <w:noWrap w:val="0"/>
            <w:vAlign w:val="top"/>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满意度指标</w:t>
            </w:r>
          </w:p>
        </w:tc>
        <w:tc>
          <w:tcPr>
            <w:tcW w:w="713"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服务对象满意度指标</w:t>
            </w:r>
          </w:p>
        </w:tc>
        <w:tc>
          <w:tcPr>
            <w:tcW w:w="715"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群众满意度</w:t>
            </w:r>
          </w:p>
        </w:tc>
        <w:tc>
          <w:tcPr>
            <w:tcW w:w="1137" w:type="pct"/>
            <w:gridSpan w:val="2"/>
            <w:noWrap w:val="0"/>
            <w:vAlign w:val="center"/>
          </w:tcPr>
          <w:p>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道路硬化后，群众满意度</w:t>
            </w:r>
          </w:p>
        </w:tc>
        <w:tc>
          <w:tcPr>
            <w:tcW w:w="441" w:type="pct"/>
            <w:gridSpan w:val="2"/>
            <w:noWrap w:val="0"/>
            <w:vAlign w:val="center"/>
          </w:tcPr>
          <w:p>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bookmarkEnd w:id="3"/>
    </w:tbl>
    <w:p>
      <w:pPr>
        <w:ind w:firstLine="640" w:firstLineChars="200"/>
        <w:rPr>
          <w:rFonts w:hint="eastAsia" w:ascii="方正黑体简体" w:hAnsi="方正黑体简体" w:eastAsia="方正黑体简体" w:cs="方正黑体简体"/>
          <w:bCs/>
          <w:color w:val="000000"/>
          <w:sz w:val="32"/>
          <w:szCs w:val="32"/>
        </w:rPr>
        <w:sectPr>
          <w:pgSz w:w="16839" w:h="11907" w:orient="landscape"/>
          <w:pgMar w:top="1531" w:right="1304" w:bottom="907" w:left="1304" w:header="851" w:footer="992" w:gutter="0"/>
          <w:cols w:space="720" w:num="1"/>
          <w:docGrid w:type="lines" w:linePitch="312" w:charSpace="0"/>
        </w:sectPr>
      </w:pPr>
    </w:p>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1"/>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50万元。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835"/>
        <w:gridCol w:w="900"/>
        <w:gridCol w:w="950"/>
        <w:gridCol w:w="850"/>
        <w:gridCol w:w="683"/>
        <w:gridCol w:w="834"/>
        <w:gridCol w:w="850"/>
        <w:gridCol w:w="900"/>
        <w:gridCol w:w="916"/>
        <w:gridCol w:w="967"/>
        <w:gridCol w:w="900"/>
        <w:gridCol w:w="783"/>
        <w:gridCol w:w="925"/>
        <w:gridCol w:w="923"/>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6654" w:type="dxa"/>
            <w:gridSpan w:val="7"/>
            <w:tcBorders>
              <w:top w:val="single" w:color="FFFFFF" w:sz="6" w:space="0"/>
              <w:left w:val="single" w:color="FFFFFF" w:sz="6" w:space="0"/>
              <w:right w:val="single" w:color="FFFFFF" w:sz="6"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bookmarkStart w:id="5" w:name="_Toc68791551"/>
            <w:r>
              <w:rPr>
                <w:rFonts w:hint="eastAsia" w:ascii="方正仿宋简体" w:hAnsi="方正仿宋简体" w:eastAsia="方正仿宋简体" w:cs="方正仿宋简体"/>
                <w:color w:val="000000" w:themeColor="text1"/>
                <w:sz w:val="21"/>
                <w:szCs w:val="21"/>
                <w14:textFill>
                  <w14:solidFill>
                    <w14:schemeClr w14:val="tx1"/>
                  </w14:solidFill>
                </w14:textFill>
              </w:rPr>
              <w:t>6</w:t>
            </w: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47</w:t>
            </w:r>
            <w:r>
              <w:rPr>
                <w:rFonts w:hint="eastAsia" w:ascii="方正仿宋简体" w:hAnsi="方正仿宋简体" w:eastAsia="方正仿宋简体" w:cs="方正仿宋简体"/>
                <w:color w:val="000000" w:themeColor="text1"/>
                <w:sz w:val="21"/>
                <w:szCs w:val="21"/>
                <w14:textFill>
                  <w14:solidFill>
                    <w14:schemeClr w14:val="tx1"/>
                  </w14:solidFill>
                </w14:textFill>
              </w:rPr>
              <w:t>遵化市</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21"/>
                <w:szCs w:val="21"/>
                <w14:textFill>
                  <w14:solidFill>
                    <w14:schemeClr w14:val="tx1"/>
                  </w14:solidFill>
                </w14:textFill>
              </w:rPr>
              <w:t>人民政府</w:t>
            </w:r>
          </w:p>
        </w:tc>
        <w:tc>
          <w:tcPr>
            <w:tcW w:w="8086" w:type="dxa"/>
            <w:gridSpan w:val="9"/>
            <w:tcBorders>
              <w:top w:val="single" w:color="FFFFFF" w:sz="6" w:space="0"/>
              <w:left w:val="single" w:color="FFFFFF" w:sz="6" w:space="0"/>
              <w:right w:val="single" w:color="FFFFFF" w:sz="6" w:space="0"/>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2437" w:type="dxa"/>
            <w:gridSpan w:val="2"/>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政府采购项目来源</w:t>
            </w:r>
          </w:p>
        </w:tc>
        <w:tc>
          <w:tcPr>
            <w:tcW w:w="900"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采购物品名称</w:t>
            </w:r>
          </w:p>
        </w:tc>
        <w:tc>
          <w:tcPr>
            <w:tcW w:w="950"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政府采购目录序号</w:t>
            </w:r>
          </w:p>
        </w:tc>
        <w:tc>
          <w:tcPr>
            <w:tcW w:w="850"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计量  单位</w:t>
            </w:r>
          </w:p>
        </w:tc>
        <w:tc>
          <w:tcPr>
            <w:tcW w:w="683"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数量</w:t>
            </w:r>
          </w:p>
        </w:tc>
        <w:tc>
          <w:tcPr>
            <w:tcW w:w="834"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单价</w:t>
            </w:r>
          </w:p>
        </w:tc>
        <w:tc>
          <w:tcPr>
            <w:tcW w:w="7164" w:type="dxa"/>
            <w:gridSpan w:val="8"/>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政府采购金额（当年</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21"/>
                <w:szCs w:val="21"/>
                <w14:textFill>
                  <w14:solidFill>
                    <w14:schemeClr w14:val="tx1"/>
                  </w14:solidFill>
                </w14:textFill>
              </w:rPr>
              <w:t>预算安排资金）</w:t>
            </w:r>
          </w:p>
        </w:tc>
        <w:tc>
          <w:tcPr>
            <w:tcW w:w="922" w:type="dxa"/>
            <w:vMerge w:val="restart"/>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1602"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项目名称</w:t>
            </w:r>
          </w:p>
        </w:tc>
        <w:tc>
          <w:tcPr>
            <w:tcW w:w="835"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预算    资金</w:t>
            </w:r>
          </w:p>
        </w:tc>
        <w:tc>
          <w:tcPr>
            <w:tcW w:w="900"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合计</w:t>
            </w:r>
          </w:p>
        </w:tc>
        <w:tc>
          <w:tcPr>
            <w:tcW w:w="900"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一般公共预算拨款</w:t>
            </w:r>
          </w:p>
        </w:tc>
        <w:tc>
          <w:tcPr>
            <w:tcW w:w="916"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基金预算拨款</w:t>
            </w:r>
          </w:p>
        </w:tc>
        <w:tc>
          <w:tcPr>
            <w:tcW w:w="967"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国有资本经营预算拨款</w:t>
            </w:r>
          </w:p>
        </w:tc>
        <w:tc>
          <w:tcPr>
            <w:tcW w:w="900"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财政专户核拨</w:t>
            </w:r>
          </w:p>
        </w:tc>
        <w:tc>
          <w:tcPr>
            <w:tcW w:w="783"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    资金</w:t>
            </w:r>
          </w:p>
        </w:tc>
        <w:tc>
          <w:tcPr>
            <w:tcW w:w="925"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财政拨    款结转</w:t>
            </w:r>
          </w:p>
        </w:tc>
        <w:tc>
          <w:tcPr>
            <w:tcW w:w="923"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非财政    拨款结    转结余</w:t>
            </w:r>
          </w:p>
        </w:tc>
        <w:tc>
          <w:tcPr>
            <w:tcW w:w="922" w:type="dxa"/>
            <w:vMerge w:val="continue"/>
            <w:noWrap w:val="0"/>
            <w:vAlign w:val="top"/>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合  计</w:t>
            </w:r>
          </w:p>
        </w:tc>
        <w:tc>
          <w:tcPr>
            <w:tcW w:w="835"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noWrap w:val="0"/>
            <w:vAlign w:val="center"/>
          </w:tcPr>
          <w:p>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遵化市</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21"/>
                <w:szCs w:val="21"/>
                <w14:textFill>
                  <w14:solidFill>
                    <w14:schemeClr w14:val="tx1"/>
                  </w14:solidFill>
                </w14:textFill>
              </w:rPr>
              <w:t>人民政府本级小计</w:t>
            </w:r>
          </w:p>
        </w:tc>
        <w:tc>
          <w:tcPr>
            <w:tcW w:w="835" w:type="dxa"/>
            <w:noWrap w:val="0"/>
            <w:vAlign w:val="center"/>
          </w:tcPr>
          <w:p>
            <w:pPr>
              <w:pStyle w:val="32"/>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150.00</w:t>
            </w:r>
          </w:p>
        </w:tc>
        <w:tc>
          <w:tcPr>
            <w:tcW w:w="900" w:type="dxa"/>
            <w:noWrap w:val="0"/>
            <w:vAlign w:val="center"/>
          </w:tcPr>
          <w:p>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noWrap w:val="0"/>
            <w:vAlign w:val="center"/>
          </w:tcPr>
          <w:p>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kern w:val="2"/>
                <w:sz w:val="21"/>
                <w:szCs w:val="21"/>
                <w:lang w:val="en-US" w:eastAsia="zh-CN" w:bidi="ar-SA"/>
              </w:rPr>
              <w:t>冀财预[2021]71号关于下达2022年革命老区转移支付资金(东旧寨镇大寨村-徐店子村道路改建工程）</w:t>
            </w:r>
          </w:p>
        </w:tc>
        <w:tc>
          <w:tcPr>
            <w:tcW w:w="835"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pPr>
              <w:pStyle w:val="23"/>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公路工程施工</w:t>
            </w:r>
          </w:p>
        </w:tc>
        <w:tc>
          <w:tcPr>
            <w:tcW w:w="950" w:type="dxa"/>
            <w:noWrap w:val="0"/>
            <w:vAlign w:val="center"/>
          </w:tcPr>
          <w:p>
            <w:pPr>
              <w:pStyle w:val="23"/>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B0202</w:t>
            </w:r>
          </w:p>
        </w:tc>
        <w:tc>
          <w:tcPr>
            <w:tcW w:w="850" w:type="dxa"/>
            <w:noWrap w:val="0"/>
            <w:vAlign w:val="center"/>
          </w:tcPr>
          <w:p>
            <w:pPr>
              <w:pStyle w:val="24"/>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万元</w:t>
            </w:r>
          </w:p>
        </w:tc>
        <w:tc>
          <w:tcPr>
            <w:tcW w:w="683"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1</w:t>
            </w:r>
          </w:p>
        </w:tc>
        <w:tc>
          <w:tcPr>
            <w:tcW w:w="834"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850"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bl>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5"/>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上年末固定资产金额为</w:t>
      </w:r>
      <w:r>
        <w:rPr>
          <w:rFonts w:hint="eastAsia" w:ascii="方正仿宋简体" w:hAnsi="方正仿宋简体" w:eastAsia="方正仿宋简体" w:cs="方正仿宋简体"/>
          <w:sz w:val="32"/>
          <w:szCs w:val="32"/>
          <w:lang w:val="en-US" w:eastAsia="zh-CN"/>
        </w:rPr>
        <w:t>252.21</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lang w:val="en-US" w:eastAsia="zh-CN"/>
        </w:rPr>
        <w:t>0</w:t>
      </w:r>
      <w:r>
        <w:rPr>
          <w:rFonts w:hint="eastAsia" w:ascii="方正仿宋简体" w:hAnsi="方正仿宋简体" w:eastAsia="方正仿宋简体" w:cs="方正仿宋简体"/>
          <w:sz w:val="32"/>
          <w:szCs w:val="32"/>
        </w:rPr>
        <w:t>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644遵化市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本级</w:t>
            </w:r>
          </w:p>
        </w:tc>
        <w:tc>
          <w:tcPr>
            <w:tcW w:w="6964"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noWrap w:val="0"/>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252.21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1190</w:t>
            </w:r>
          </w:p>
        </w:tc>
        <w:tc>
          <w:tcPr>
            <w:tcW w:w="3973" w:type="dxa"/>
            <w:noWrap w:val="0"/>
            <w:vAlign w:val="center"/>
          </w:tcPr>
          <w:p>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1190</w:t>
            </w:r>
          </w:p>
        </w:tc>
        <w:tc>
          <w:tcPr>
            <w:tcW w:w="3973" w:type="dxa"/>
            <w:noWrap w:val="0"/>
            <w:vAlign w:val="center"/>
          </w:tcPr>
          <w:p>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noWrap w:val="0"/>
            <w:vAlign w:val="center"/>
          </w:tcPr>
          <w:p>
            <w:pPr>
              <w:jc w:val="center"/>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2</w:t>
            </w:r>
          </w:p>
        </w:tc>
        <w:tc>
          <w:tcPr>
            <w:tcW w:w="3973" w:type="dxa"/>
            <w:noWrap w:val="0"/>
            <w:vAlign w:val="center"/>
          </w:tcPr>
          <w:p>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noWrap w:val="0"/>
            <w:vAlign w:val="center"/>
          </w:tcPr>
          <w:p>
            <w:pPr>
              <w:jc w:val="center"/>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0</w:t>
            </w:r>
          </w:p>
        </w:tc>
        <w:tc>
          <w:tcPr>
            <w:tcW w:w="3973" w:type="dxa"/>
            <w:noWrap w:val="0"/>
            <w:vAlign w:val="center"/>
          </w:tcPr>
          <w:p>
            <w:pPr>
              <w:jc w:val="center"/>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noWrap w:val="0"/>
            <w:vAlign w:val="center"/>
          </w:tcPr>
          <w:p>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612</w:t>
            </w:r>
          </w:p>
        </w:tc>
        <w:tc>
          <w:tcPr>
            <w:tcW w:w="3973" w:type="dxa"/>
            <w:noWrap w:val="0"/>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177.21</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6" w:name="_Toc68791552"/>
    </w:p>
    <w:p>
      <w:pPr>
        <w:spacing w:line="560" w:lineRule="exact"/>
        <w:ind w:firstLine="640" w:firstLineChars="200"/>
        <w:jc w:val="left"/>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bookmarkStart w:id="7" w:name="_Toc68791553"/>
      <w:r>
        <w:rPr>
          <w:rFonts w:hint="eastAsia" w:ascii="方正黑体简体" w:hAnsi="方正黑体简体" w:eastAsia="方正黑体简体" w:cs="方正黑体简体"/>
          <w:sz w:val="32"/>
          <w:szCs w:val="32"/>
        </w:rPr>
        <w:t>九、其他需要说明的事项</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eastAsia="zh-CN"/>
        </w:rPr>
        <w:sectPr>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无其他需要说明的事项</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463E"/>
    <w:multiLevelType w:val="singleLevel"/>
    <w:tmpl w:val="371A463E"/>
    <w:lvl w:ilvl="0" w:tentative="0">
      <w:start w:val="2"/>
      <w:numFmt w:val="decimal"/>
      <w:suff w:val="nothing"/>
      <w:lvlText w:val="%1、"/>
      <w:lvlJc w:val="left"/>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5A94C9AF"/>
    <w:multiLevelType w:val="singleLevel"/>
    <w:tmpl w:val="5A94C9AF"/>
    <w:lvl w:ilvl="0" w:tentative="0">
      <w:start w:val="1"/>
      <w:numFmt w:val="chineseCounting"/>
      <w:suff w:val="space"/>
      <w:lvlText w:val="%1、"/>
      <w:lvlJc w:val="left"/>
      <w:pPr>
        <w:ind w:left="420" w:firstLine="0"/>
      </w:pPr>
    </w:lvl>
  </w:abstractNum>
  <w:abstractNum w:abstractNumId="3">
    <w:nsid w:val="6A9DCAEC"/>
    <w:multiLevelType w:val="singleLevel"/>
    <w:tmpl w:val="6A9DCAEC"/>
    <w:lvl w:ilvl="0" w:tentative="0">
      <w:start w:val="1"/>
      <w:numFmt w:val="chineseCounting"/>
      <w:suff w:val="nothing"/>
      <w:lvlText w:val="（%1）"/>
      <w:lvlJc w:val="left"/>
      <w:rPr>
        <w:rFonts w:hint="eastAsia"/>
      </w:rPr>
    </w:lvl>
  </w:abstractNum>
  <w:abstractNum w:abstractNumId="4">
    <w:nsid w:val="7DD608D3"/>
    <w:multiLevelType w:val="singleLevel"/>
    <w:tmpl w:val="7DD608D3"/>
    <w:lvl w:ilvl="0" w:tentative="0">
      <w:start w:val="2"/>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7B7DAC"/>
    <w:rsid w:val="0000191A"/>
    <w:rsid w:val="000119AD"/>
    <w:rsid w:val="000879D5"/>
    <w:rsid w:val="000F5685"/>
    <w:rsid w:val="001849C5"/>
    <w:rsid w:val="001E6363"/>
    <w:rsid w:val="00244D0B"/>
    <w:rsid w:val="00284ECA"/>
    <w:rsid w:val="00285CCD"/>
    <w:rsid w:val="002F55D6"/>
    <w:rsid w:val="00350E0F"/>
    <w:rsid w:val="00496EA3"/>
    <w:rsid w:val="004A57C1"/>
    <w:rsid w:val="00627F27"/>
    <w:rsid w:val="006314D5"/>
    <w:rsid w:val="00633FBF"/>
    <w:rsid w:val="00761BBA"/>
    <w:rsid w:val="007672B7"/>
    <w:rsid w:val="00774498"/>
    <w:rsid w:val="007828D3"/>
    <w:rsid w:val="00790499"/>
    <w:rsid w:val="007B7DAC"/>
    <w:rsid w:val="008054CF"/>
    <w:rsid w:val="00841F8D"/>
    <w:rsid w:val="00875E42"/>
    <w:rsid w:val="008B6F3D"/>
    <w:rsid w:val="008D5ED6"/>
    <w:rsid w:val="00992BA3"/>
    <w:rsid w:val="009E057E"/>
    <w:rsid w:val="00A464E7"/>
    <w:rsid w:val="00BE6992"/>
    <w:rsid w:val="00C26832"/>
    <w:rsid w:val="00C60112"/>
    <w:rsid w:val="00CB4BB6"/>
    <w:rsid w:val="00DC5A62"/>
    <w:rsid w:val="00F113B5"/>
    <w:rsid w:val="00F8192C"/>
    <w:rsid w:val="00F9351C"/>
    <w:rsid w:val="00FC307B"/>
    <w:rsid w:val="017E7DF3"/>
    <w:rsid w:val="024C4CC7"/>
    <w:rsid w:val="031E5023"/>
    <w:rsid w:val="033A6154"/>
    <w:rsid w:val="034F401E"/>
    <w:rsid w:val="03685B9C"/>
    <w:rsid w:val="03D424E6"/>
    <w:rsid w:val="049D7FDE"/>
    <w:rsid w:val="04DF1D3B"/>
    <w:rsid w:val="04F63CC6"/>
    <w:rsid w:val="05DA705A"/>
    <w:rsid w:val="069528D3"/>
    <w:rsid w:val="07A1465B"/>
    <w:rsid w:val="07CF5EEC"/>
    <w:rsid w:val="07EB0F1A"/>
    <w:rsid w:val="085327BB"/>
    <w:rsid w:val="085C5796"/>
    <w:rsid w:val="08A52DFF"/>
    <w:rsid w:val="08FC3767"/>
    <w:rsid w:val="090411D3"/>
    <w:rsid w:val="092328E5"/>
    <w:rsid w:val="09A064A3"/>
    <w:rsid w:val="09AE68F1"/>
    <w:rsid w:val="0A166660"/>
    <w:rsid w:val="0A597F3F"/>
    <w:rsid w:val="0B7D205B"/>
    <w:rsid w:val="0C31628E"/>
    <w:rsid w:val="0C472F3C"/>
    <w:rsid w:val="0CD4778D"/>
    <w:rsid w:val="0DD92F0D"/>
    <w:rsid w:val="0DDD0437"/>
    <w:rsid w:val="0E3804ED"/>
    <w:rsid w:val="0E3F4C6B"/>
    <w:rsid w:val="0E551E27"/>
    <w:rsid w:val="0FFE6D6C"/>
    <w:rsid w:val="123E55EC"/>
    <w:rsid w:val="12CB7C01"/>
    <w:rsid w:val="12EF4843"/>
    <w:rsid w:val="134C5AA1"/>
    <w:rsid w:val="139412EE"/>
    <w:rsid w:val="13E04CDB"/>
    <w:rsid w:val="146470B0"/>
    <w:rsid w:val="14BA13CD"/>
    <w:rsid w:val="15FD116F"/>
    <w:rsid w:val="165D57B7"/>
    <w:rsid w:val="166F3C6D"/>
    <w:rsid w:val="1690383A"/>
    <w:rsid w:val="171659AA"/>
    <w:rsid w:val="17A53929"/>
    <w:rsid w:val="187668BA"/>
    <w:rsid w:val="18792896"/>
    <w:rsid w:val="1A8C7ADD"/>
    <w:rsid w:val="1AB3725D"/>
    <w:rsid w:val="1ACD6FF8"/>
    <w:rsid w:val="1E1823CB"/>
    <w:rsid w:val="1E1D2B90"/>
    <w:rsid w:val="1E8E32A8"/>
    <w:rsid w:val="1EE95C5B"/>
    <w:rsid w:val="1F39493E"/>
    <w:rsid w:val="1FDF6981"/>
    <w:rsid w:val="209922EA"/>
    <w:rsid w:val="217F591B"/>
    <w:rsid w:val="21925097"/>
    <w:rsid w:val="229318FF"/>
    <w:rsid w:val="229A1643"/>
    <w:rsid w:val="23152068"/>
    <w:rsid w:val="234E1072"/>
    <w:rsid w:val="23CB4526"/>
    <w:rsid w:val="26350A77"/>
    <w:rsid w:val="26D70594"/>
    <w:rsid w:val="26E919BE"/>
    <w:rsid w:val="27A47DDD"/>
    <w:rsid w:val="27AC7CC9"/>
    <w:rsid w:val="288464AA"/>
    <w:rsid w:val="28CF521A"/>
    <w:rsid w:val="29275089"/>
    <w:rsid w:val="293E6AD2"/>
    <w:rsid w:val="2AAE7BE1"/>
    <w:rsid w:val="2C994453"/>
    <w:rsid w:val="2D1F6C70"/>
    <w:rsid w:val="2E0964AA"/>
    <w:rsid w:val="2F592C85"/>
    <w:rsid w:val="30AF3E6F"/>
    <w:rsid w:val="31A101D1"/>
    <w:rsid w:val="32115B95"/>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D64AEA"/>
    <w:rsid w:val="38F56B86"/>
    <w:rsid w:val="39B95739"/>
    <w:rsid w:val="39EE27C2"/>
    <w:rsid w:val="3A847683"/>
    <w:rsid w:val="3B2F2A32"/>
    <w:rsid w:val="3BE93DE9"/>
    <w:rsid w:val="3C9C4E81"/>
    <w:rsid w:val="3DED729B"/>
    <w:rsid w:val="3E2274E8"/>
    <w:rsid w:val="3E8B7CBC"/>
    <w:rsid w:val="3E9739D8"/>
    <w:rsid w:val="3FC03E23"/>
    <w:rsid w:val="3FC267A5"/>
    <w:rsid w:val="3FC54373"/>
    <w:rsid w:val="3FD22FC7"/>
    <w:rsid w:val="3FDE78A1"/>
    <w:rsid w:val="403D0EE1"/>
    <w:rsid w:val="408D1B8F"/>
    <w:rsid w:val="40DF0E09"/>
    <w:rsid w:val="414879D6"/>
    <w:rsid w:val="41543F25"/>
    <w:rsid w:val="417B67B7"/>
    <w:rsid w:val="417B77C2"/>
    <w:rsid w:val="41D157C2"/>
    <w:rsid w:val="41F97124"/>
    <w:rsid w:val="425603E3"/>
    <w:rsid w:val="42DA0485"/>
    <w:rsid w:val="43DC73BB"/>
    <w:rsid w:val="4458751E"/>
    <w:rsid w:val="451E79FB"/>
    <w:rsid w:val="4552565C"/>
    <w:rsid w:val="46BA6D19"/>
    <w:rsid w:val="46E82FB1"/>
    <w:rsid w:val="47031780"/>
    <w:rsid w:val="476651DD"/>
    <w:rsid w:val="478C4A40"/>
    <w:rsid w:val="48214178"/>
    <w:rsid w:val="483B1E05"/>
    <w:rsid w:val="4870538C"/>
    <w:rsid w:val="492F1465"/>
    <w:rsid w:val="494F7FAB"/>
    <w:rsid w:val="498854B1"/>
    <w:rsid w:val="4BE115E5"/>
    <w:rsid w:val="4CEA2D7E"/>
    <w:rsid w:val="4D403225"/>
    <w:rsid w:val="4D5B1197"/>
    <w:rsid w:val="4D8A180B"/>
    <w:rsid w:val="4DB432F6"/>
    <w:rsid w:val="4E954280"/>
    <w:rsid w:val="4EF349C3"/>
    <w:rsid w:val="4F500EF7"/>
    <w:rsid w:val="4FCD588C"/>
    <w:rsid w:val="4FF3183B"/>
    <w:rsid w:val="4FF56E75"/>
    <w:rsid w:val="4FF7762A"/>
    <w:rsid w:val="503A0A23"/>
    <w:rsid w:val="504313FF"/>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B7B3430"/>
    <w:rsid w:val="5C6357D3"/>
    <w:rsid w:val="5C76110E"/>
    <w:rsid w:val="5D322FFB"/>
    <w:rsid w:val="5D3C3B24"/>
    <w:rsid w:val="5D496449"/>
    <w:rsid w:val="5D6967E0"/>
    <w:rsid w:val="5F5175FF"/>
    <w:rsid w:val="5FDC1169"/>
    <w:rsid w:val="61E47B98"/>
    <w:rsid w:val="620E3E48"/>
    <w:rsid w:val="62272621"/>
    <w:rsid w:val="6248439C"/>
    <w:rsid w:val="62DE5A8A"/>
    <w:rsid w:val="638B4489"/>
    <w:rsid w:val="646F2F1F"/>
    <w:rsid w:val="64A2308F"/>
    <w:rsid w:val="64B4044D"/>
    <w:rsid w:val="650C7C0D"/>
    <w:rsid w:val="663514F4"/>
    <w:rsid w:val="67914094"/>
    <w:rsid w:val="69CB7928"/>
    <w:rsid w:val="6A105672"/>
    <w:rsid w:val="6A1D02D2"/>
    <w:rsid w:val="6A6909B1"/>
    <w:rsid w:val="6A724DC3"/>
    <w:rsid w:val="6C603669"/>
    <w:rsid w:val="6C6F771A"/>
    <w:rsid w:val="6C743ADB"/>
    <w:rsid w:val="6CBB3C39"/>
    <w:rsid w:val="6D550BB3"/>
    <w:rsid w:val="6E7A6DC8"/>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8215360"/>
    <w:rsid w:val="783F51C2"/>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unhideWhenUsed/>
    <w:qFormat/>
    <w:uiPriority w:val="99"/>
  </w:style>
  <w:style w:type="character" w:styleId="14">
    <w:name w:val="Hyperlink"/>
    <w:basedOn w:val="12"/>
    <w:autoRedefine/>
    <w:unhideWhenUsed/>
    <w:qFormat/>
    <w:uiPriority w:val="99"/>
    <w:rPr>
      <w:color w:val="0000FF"/>
      <w:u w:val="single"/>
    </w:rPr>
  </w:style>
  <w:style w:type="paragraph" w:customStyle="1" w:styleId="15">
    <w:name w:val="标4"/>
    <w:basedOn w:val="16"/>
    <w:next w:val="1"/>
    <w:autoRedefine/>
    <w:qFormat/>
    <w:uiPriority w:val="0"/>
    <w:pPr>
      <w:spacing w:before="240"/>
      <w:outlineLvl w:val="3"/>
    </w:pPr>
    <w:rPr>
      <w:rFonts w:cs="Arial"/>
    </w:rPr>
  </w:style>
  <w:style w:type="paragraph" w:customStyle="1" w:styleId="16">
    <w:name w:val="标3"/>
    <w:basedOn w:val="1"/>
    <w:autoRedefine/>
    <w:qFormat/>
    <w:uiPriority w:val="0"/>
    <w:pPr>
      <w:adjustRightInd w:val="0"/>
      <w:spacing w:before="360" w:after="360" w:line="240" w:lineRule="exact"/>
      <w:jc w:val="left"/>
      <w:outlineLvl w:val="2"/>
    </w:pPr>
    <w:rPr>
      <w:rFonts w:ascii="Arial" w:hAnsi="Arial"/>
      <w:b/>
      <w:bCs/>
      <w:kern w:val="24"/>
    </w:rPr>
  </w:style>
  <w:style w:type="character" w:customStyle="1" w:styleId="17">
    <w:name w:val="页脚 Char"/>
    <w:basedOn w:val="12"/>
    <w:link w:val="5"/>
    <w:autoRedefine/>
    <w:semiHidden/>
    <w:qFormat/>
    <w:uiPriority w:val="99"/>
    <w:rPr>
      <w:kern w:val="2"/>
      <w:sz w:val="18"/>
      <w:szCs w:val="18"/>
    </w:rPr>
  </w:style>
  <w:style w:type="character" w:customStyle="1" w:styleId="18">
    <w:name w:val="页眉 Char"/>
    <w:basedOn w:val="12"/>
    <w:link w:val="6"/>
    <w:autoRedefine/>
    <w:semiHidden/>
    <w:qFormat/>
    <w:uiPriority w:val="99"/>
    <w:rPr>
      <w:kern w:val="2"/>
      <w:sz w:val="18"/>
      <w:szCs w:val="18"/>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p0"/>
    <w:basedOn w:val="1"/>
    <w:qFormat/>
    <w:uiPriority w:val="0"/>
    <w:pPr>
      <w:widowControl/>
    </w:pPr>
    <w:rPr>
      <w:rFonts w:ascii="宋体" w:hAnsi="宋体" w:cs="宋体"/>
      <w:kern w:val="0"/>
      <w:sz w:val="32"/>
      <w:szCs w:val="32"/>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12019</Words>
  <Characters>13983</Characters>
  <Lines>98</Lines>
  <Paragraphs>27</Paragraphs>
  <TotalTime>2</TotalTime>
  <ScaleCrop>false</ScaleCrop>
  <LinksUpToDate>false</LinksUpToDate>
  <CharactersWithSpaces>14662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WPS_1681355457</cp:lastModifiedBy>
  <cp:lastPrinted>2022-04-01T02:04:00Z</cp:lastPrinted>
  <dcterms:modified xsi:type="dcterms:W3CDTF">2024-03-20T07:02:52Z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8D98799A7D8D44ACA4564D36E6C98673_13</vt:lpwstr>
  </property>
</Properties>
</file>