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int="eastAsia" w:hAnsi="宋体" w:eastAsia="宋体"/>
          <w:b/>
          <w:bCs/>
          <w:color w:val="auto"/>
          <w:sz w:val="36"/>
          <w:szCs w:val="44"/>
          <w:lang w:val="en-US" w:eastAsia="zh-CN"/>
        </w:rPr>
      </w:pPr>
      <w:r>
        <w:rPr>
          <w:rFonts w:hint="eastAsia" w:hAnsi="宋体"/>
          <w:b/>
          <w:bCs/>
          <w:color w:val="auto"/>
          <w:sz w:val="36"/>
          <w:szCs w:val="44"/>
          <w:lang w:val="en-US" w:eastAsia="zh-CN"/>
        </w:rPr>
        <w:t xml:space="preserve"> </w:t>
      </w: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2437130</wp:posOffset>
                </wp:positionH>
                <wp:positionV relativeFrom="paragraph">
                  <wp:posOffset>57150</wp:posOffset>
                </wp:positionV>
                <wp:extent cx="3239770"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39770"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交通运输局2022年</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城乡客运公交一体化改造项目</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 xml:space="preserve">35 </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4.5pt;height:131.4pt;width:255.1pt;z-index:251659264;mso-width-relative:page;mso-height-relative:page;" filled="f" stroked="f" coordsize="21600,21600" o:gfxdata="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nkHFrbAAAACQEAAA8AAAAAAAAAAQAgAAAAIgAA&#10;AGRycy9kb3ducmV2LnhtbFBLAQIUABQAAAAIAIdO4kBIy/ZtPgIAAGcEAAAOAAAAAAAAAAEAIAAA&#10;ACo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交通运输局2022年</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hint="eastAsia" w:ascii="方正小标宋简体" w:hAnsi="方正小标宋简体" w:eastAsia="方正小标宋简体" w:cs="方正小标宋简体"/>
                          <w:bCs/>
                          <w:sz w:val="32"/>
                          <w:szCs w:val="32"/>
                          <w:lang w:eastAsia="zh-CN"/>
                        </w:rPr>
                      </w:pPr>
                      <w:r>
                        <w:rPr>
                          <w:rFonts w:hint="eastAsia" w:ascii="方正小标宋简体" w:hAnsi="方正小标宋简体" w:eastAsia="方正小标宋简体" w:cs="方正小标宋简体"/>
                          <w:bCs/>
                          <w:sz w:val="32"/>
                          <w:szCs w:val="32"/>
                          <w:lang w:eastAsia="zh-CN"/>
                        </w:rPr>
                        <w:t>城乡客运公交一体化改造项目</w:t>
                      </w:r>
                    </w:p>
                    <w:p>
                      <w:pPr>
                        <w:keepNext w:val="0"/>
                        <w:keepLines w:val="0"/>
                        <w:pageBreakBefore w:val="0"/>
                        <w:widowControl w:val="0"/>
                        <w:kinsoku/>
                        <w:wordWrap/>
                        <w:overflowPunct/>
                        <w:topLinePunct w:val="0"/>
                        <w:bidi w:val="0"/>
                        <w:adjustRightInd w:val="0"/>
                        <w:snapToGrid/>
                        <w:spacing w:before="0" w:beforeLines="50" w:line="520" w:lineRule="exact"/>
                        <w:jc w:val="center"/>
                        <w:textAlignment w:val="auto"/>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cs="新宋体" w:asciiTheme="majorEastAsia" w:hAnsiTheme="majorEastAsia" w:eastAsiaTheme="majorEastAsia"/>
                          <w:b/>
                          <w:bCs/>
                          <w:sz w:val="21"/>
                          <w:szCs w:val="21"/>
                          <w:highlight w:val="none"/>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 11</w:t>
                      </w:r>
                      <w:r>
                        <w:rPr>
                          <w:rFonts w:hint="eastAsia" w:hAnsi="宋体" w:cs="宋体"/>
                          <w:b/>
                          <w:bCs/>
                          <w:sz w:val="24"/>
                          <w:szCs w:val="24"/>
                          <w:highlight w:val="none"/>
                          <w:lang w:val="en-US" w:eastAsia="zh-CN"/>
                        </w:rPr>
                        <w:t xml:space="preserve">35 </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highlight w:val="none"/>
          <w:lang w:val="en-US" w:eastAsia="zh-CN"/>
        </w:rPr>
        <w:t>财政局</w:t>
      </w:r>
    </w:p>
    <w:p>
      <w:pPr>
        <w:spacing w:line="360" w:lineRule="auto"/>
        <w:textAlignment w:val="baseline"/>
        <w:rPr>
          <w:rFonts w:hint="eastAsia" w:ascii="仿宋" w:hAnsi="仿宋" w:eastAsia="仿宋"/>
          <w:color w:val="auto"/>
          <w:sz w:val="30"/>
          <w:szCs w:val="30"/>
          <w:lang w:eastAsia="zh-CN"/>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w:t>
      </w:r>
      <w:r>
        <w:rPr>
          <w:rFonts w:hint="eastAsia" w:ascii="仿宋" w:hAnsi="仿宋" w:eastAsia="仿宋"/>
          <w:color w:val="auto"/>
          <w:sz w:val="30"/>
          <w:szCs w:val="30"/>
        </w:rPr>
        <w:t>城乡客运</w:t>
      </w:r>
      <w:r>
        <w:rPr>
          <w:rFonts w:hint="eastAsia" w:ascii="仿宋" w:hAnsi="仿宋" w:eastAsia="仿宋"/>
          <w:color w:val="auto"/>
          <w:sz w:val="30"/>
          <w:szCs w:val="30"/>
          <w:lang w:eastAsia="zh-CN"/>
        </w:rPr>
        <w:t>公交</w:t>
      </w:r>
      <w:r>
        <w:rPr>
          <w:rFonts w:hint="eastAsia" w:ascii="仿宋" w:hAnsi="仿宋" w:eastAsia="仿宋"/>
          <w:color w:val="auto"/>
          <w:sz w:val="30"/>
          <w:szCs w:val="30"/>
        </w:rPr>
        <w:t>一体化改造</w:t>
      </w:r>
    </w:p>
    <w:p>
      <w:pPr>
        <w:spacing w:line="360" w:lineRule="auto"/>
        <w:textAlignment w:val="baseline"/>
        <w:rPr>
          <w:rFonts w:hint="eastAsia" w:ascii="仿宋" w:hAnsi="仿宋" w:eastAsia="仿宋"/>
          <w:color w:val="auto"/>
          <w:sz w:val="30"/>
          <w:szCs w:val="30"/>
          <w:lang w:eastAsia="zh-CN"/>
        </w:rPr>
      </w:pPr>
      <w:r>
        <w:rPr>
          <w:rFonts w:hint="eastAsia" w:ascii="仿宋" w:hAnsi="仿宋" w:eastAsia="仿宋"/>
          <w:b/>
          <w:bCs/>
          <w:color w:val="auto"/>
          <w:sz w:val="30"/>
          <w:szCs w:val="30"/>
        </w:rPr>
        <w:t>项目单位：</w:t>
      </w:r>
      <w:r>
        <w:rPr>
          <w:rFonts w:hint="eastAsia" w:ascii="仿宋" w:hAnsi="仿宋" w:eastAsia="仿宋"/>
          <w:color w:val="auto"/>
          <w:sz w:val="30"/>
          <w:szCs w:val="30"/>
        </w:rPr>
        <w:t>遵化市</w:t>
      </w:r>
      <w:r>
        <w:rPr>
          <w:rFonts w:hint="eastAsia" w:ascii="仿宋" w:hAnsi="仿宋" w:eastAsia="仿宋"/>
          <w:color w:val="auto"/>
          <w:sz w:val="30"/>
          <w:szCs w:val="30"/>
          <w:lang w:eastAsia="zh-CN"/>
        </w:rPr>
        <w:t>交通运输局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41"/>
        <w:bidi w:val="0"/>
        <w:rPr>
          <w:rFonts w:hint="eastAsia"/>
          <w:lang w:val="en-US" w:eastAsia="zh-CN"/>
        </w:rPr>
      </w:pPr>
      <w:bookmarkStart w:id="0" w:name="_Toc57373820"/>
      <w:r>
        <w:rPr>
          <w:rFonts w:hint="eastAsia"/>
        </w:rPr>
        <w:t>遵化市</w:t>
      </w:r>
      <w:r>
        <w:rPr>
          <w:rFonts w:hint="eastAsia"/>
          <w:lang w:val="en-US" w:eastAsia="zh-CN"/>
        </w:rPr>
        <w:t>交通运输局2022年</w:t>
      </w:r>
    </w:p>
    <w:p>
      <w:pPr>
        <w:pStyle w:val="41"/>
        <w:bidi w:val="0"/>
      </w:pPr>
      <w:r>
        <w:rPr>
          <w:rFonts w:hint="eastAsia"/>
        </w:rPr>
        <w:t>城乡客运</w:t>
      </w:r>
      <w:r>
        <w:rPr>
          <w:rFonts w:hint="eastAsia"/>
          <w:lang w:eastAsia="zh-CN"/>
        </w:rPr>
        <w:t>公交</w:t>
      </w:r>
      <w:r>
        <w:rPr>
          <w:rFonts w:hint="eastAsia"/>
        </w:rPr>
        <w:t>一体化改造项目</w:t>
      </w:r>
    </w:p>
    <w:p>
      <w:pPr>
        <w:pStyle w:val="41"/>
        <w:bidi w:val="0"/>
      </w:pPr>
      <w:r>
        <w:rPr>
          <w:rFonts w:hint="eastAsia"/>
        </w:rPr>
        <w:t>绩效评价报告</w:t>
      </w:r>
      <w:bookmarkEnd w:id="0"/>
    </w:p>
    <w:p>
      <w:pPr>
        <w:jc w:val="center"/>
        <w:rPr>
          <w:rFonts w:asciiTheme="majorEastAsia" w:hAnsiTheme="majorEastAsia" w:eastAsiaTheme="majorEastAsia"/>
          <w:b/>
          <w:color w:val="auto"/>
          <w:sz w:val="36"/>
          <w:szCs w:val="36"/>
        </w:rPr>
      </w:pPr>
    </w:p>
    <w:p>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遵化市财政</w:t>
      </w:r>
      <w:r>
        <w:rPr>
          <w:rFonts w:hint="eastAsia" w:ascii="仿宋" w:hAnsi="仿宋" w:eastAsia="仿宋" w:cs="仿宋_GB2312"/>
          <w:b/>
          <w:color w:val="auto"/>
          <w:sz w:val="30"/>
          <w:szCs w:val="30"/>
        </w:rPr>
        <w:t>局：</w:t>
      </w:r>
      <w:bookmarkEnd w:id="1"/>
    </w:p>
    <w:p>
      <w:pPr>
        <w:pStyle w:val="39"/>
        <w:bidi w:val="0"/>
        <w:rPr>
          <w:lang w:val="zh-CN"/>
        </w:rPr>
      </w:pPr>
      <w:r>
        <w:rPr>
          <w:rFonts w:hint="eastAsia"/>
          <w:lang w:val="zh-CN"/>
        </w:rPr>
        <w:t>为了解遵化市</w:t>
      </w:r>
      <w:r>
        <w:rPr>
          <w:rFonts w:hint="eastAsia"/>
          <w:lang w:val="en-US"/>
        </w:rPr>
        <w:t>交通运输局2022年</w:t>
      </w:r>
      <w:r>
        <w:rPr>
          <w:rFonts w:hint="eastAsia"/>
          <w:lang w:val="zh-CN"/>
        </w:rPr>
        <w:t>城乡客运公交一体化改造项目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w:t>
      </w:r>
      <w:r>
        <w:rPr>
          <w:rFonts w:hint="eastAsia"/>
          <w:lang w:val="en-US"/>
        </w:rPr>
        <w:t>交通运输局2022年</w:t>
      </w:r>
      <w:r>
        <w:rPr>
          <w:rFonts w:hint="eastAsia"/>
          <w:lang w:val="zh-CN"/>
        </w:rPr>
        <w:t>城乡客运公交一体化改造项目进行绩效评价。在绩效评价过程中，我们结合项目的实际情况，实施了包括询问查证、实地查看等我们认为必要的程序。经评价，该项目综合绩效评价得分</w:t>
      </w:r>
      <w:r>
        <w:rPr>
          <w:rFonts w:hint="eastAsia"/>
          <w:lang w:val="en-US"/>
        </w:rPr>
        <w:t>75.50</w:t>
      </w:r>
      <w:r>
        <w:rPr>
          <w:rFonts w:hint="eastAsia"/>
          <w:lang w:val="zh-CN"/>
        </w:rPr>
        <w:t>分，评价等级为“</w:t>
      </w:r>
      <w:r>
        <w:rPr>
          <w:rFonts w:hint="eastAsia"/>
          <w:lang w:val="en-US"/>
        </w:rPr>
        <w:t>中</w:t>
      </w:r>
      <w:r>
        <w:rPr>
          <w:rFonts w:hint="eastAsia"/>
          <w:lang w:val="zh-CN"/>
        </w:rPr>
        <w:t>”。</w:t>
      </w:r>
    </w:p>
    <w:p>
      <w:pPr>
        <w:pStyle w:val="2"/>
        <w:ind w:left="400" w:firstLine="600"/>
        <w:rPr>
          <w:rFonts w:ascii="仿宋" w:hAnsi="仿宋" w:eastAsia="仿宋" w:cs="仿宋_GB2312"/>
          <w:color w:val="auto"/>
          <w:sz w:val="30"/>
          <w:szCs w:val="30"/>
          <w:highlight w:val="none"/>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color w:val="auto"/>
          <w:lang w:val="zh-CN"/>
        </w:rPr>
      </w:pPr>
    </w:p>
    <w:p>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eastAsia="zh-CN"/>
              </w:rPr>
              <w:t>七</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三十一</w:t>
            </w:r>
            <w:r>
              <w:rPr>
                <w:rFonts w:hint="eastAsia" w:ascii="仿宋" w:hAnsi="仿宋" w:eastAsia="仿宋" w:cs="仿宋"/>
                <w:b/>
                <w:color w:val="auto"/>
                <w:sz w:val="30"/>
                <w:szCs w:val="30"/>
                <w:highlight w:val="none"/>
              </w:rPr>
              <w:t>日</w:t>
            </w:r>
          </w:p>
        </w:tc>
      </w:tr>
    </w:tbl>
    <w:p>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jc w:val="center"/>
                <w:rPr>
                  <w:b/>
                  <w:bCs/>
                  <w:color w:val="auto"/>
                  <w:sz w:val="44"/>
                  <w:szCs w:val="44"/>
                </w:rPr>
              </w:pPr>
            </w:p>
            <w:p>
              <w:pPr>
                <w:pStyle w:val="15"/>
                <w:tabs>
                  <w:tab w:val="right" w:leader="dot" w:pos="8845"/>
                </w:tabs>
                <w:rPr>
                  <w:sz w:val="28"/>
                  <w:szCs w:val="28"/>
                </w:rPr>
              </w:pPr>
              <w:r>
                <w:rPr>
                  <w:rFonts w:hAnsi="宋体"/>
                  <w:b/>
                  <w:bCs/>
                  <w:color w:val="auto"/>
                  <w:sz w:val="28"/>
                  <w:szCs w:val="28"/>
                </w:rPr>
                <w:fldChar w:fldCharType="begin"/>
              </w:r>
              <w:r>
                <w:rPr>
                  <w:rFonts w:hAnsi="宋体"/>
                  <w:b/>
                  <w:bCs/>
                  <w:color w:val="auto"/>
                  <w:sz w:val="28"/>
                  <w:szCs w:val="28"/>
                </w:rPr>
                <w:instrText xml:space="preserve">TOC \o "1-2" \h \u </w:instrText>
              </w:r>
              <w:r>
                <w:rPr>
                  <w:rFonts w:hAnsi="宋体"/>
                  <w:b/>
                  <w:bCs/>
                  <w:color w:val="auto"/>
                  <w:sz w:val="28"/>
                  <w:szCs w:val="28"/>
                </w:rPr>
                <w:fldChar w:fldCharType="separate"/>
              </w:r>
              <w:r>
                <w:rPr>
                  <w:rFonts w:hAnsi="宋体"/>
                  <w:bCs/>
                  <w:color w:val="auto"/>
                  <w:sz w:val="28"/>
                  <w:szCs w:val="28"/>
                </w:rPr>
                <w:fldChar w:fldCharType="begin"/>
              </w:r>
              <w:r>
                <w:rPr>
                  <w:rFonts w:hAnsi="宋体"/>
                  <w:bCs/>
                  <w:sz w:val="28"/>
                  <w:szCs w:val="28"/>
                </w:rPr>
                <w:instrText xml:space="preserve"> HYPERLINK \l _Toc18007 </w:instrText>
              </w:r>
              <w:r>
                <w:rPr>
                  <w:rFonts w:hAnsi="宋体"/>
                  <w:bCs/>
                  <w:sz w:val="28"/>
                  <w:szCs w:val="28"/>
                </w:rPr>
                <w:fldChar w:fldCharType="separate"/>
              </w:r>
              <w:r>
                <w:rPr>
                  <w:rFonts w:hint="eastAsia" w:ascii="黑体" w:hAnsi="黑体" w:eastAsia="黑体" w:cs="黑体"/>
                  <w:bCs/>
                  <w:sz w:val="28"/>
                  <w:szCs w:val="28"/>
                </w:rPr>
                <w:t>一、项目基本情况</w:t>
              </w:r>
              <w:r>
                <w:rPr>
                  <w:sz w:val="28"/>
                  <w:szCs w:val="28"/>
                </w:rPr>
                <w:tab/>
              </w:r>
              <w:r>
                <w:rPr>
                  <w:sz w:val="28"/>
                  <w:szCs w:val="28"/>
                </w:rPr>
                <w:fldChar w:fldCharType="begin"/>
              </w:r>
              <w:r>
                <w:rPr>
                  <w:sz w:val="28"/>
                  <w:szCs w:val="28"/>
                </w:rPr>
                <w:instrText xml:space="preserve"> PAGEREF _Toc18007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_Toc22010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_Toc22010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_Toc5907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_Toc5907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_Toc23086 </w:instrText>
              </w:r>
              <w:r>
                <w:rPr>
                  <w:rFonts w:hAnsi="宋体"/>
                  <w:bCs/>
                  <w:sz w:val="28"/>
                  <w:szCs w:val="28"/>
                </w:rPr>
                <w:fldChar w:fldCharType="separate"/>
              </w:r>
              <w:r>
                <w:rPr>
                  <w:rFonts w:hint="eastAsia" w:ascii="黑体" w:hAnsi="黑体" w:eastAsia="黑体" w:cs="黑体"/>
                  <w:bCs/>
                  <w:sz w:val="28"/>
                  <w:szCs w:val="28"/>
                </w:rPr>
                <w:t>二、项目实施情况</w:t>
              </w:r>
              <w:r>
                <w:rPr>
                  <w:sz w:val="28"/>
                  <w:szCs w:val="28"/>
                </w:rPr>
                <w:tab/>
              </w:r>
              <w:r>
                <w:rPr>
                  <w:sz w:val="28"/>
                  <w:szCs w:val="28"/>
                </w:rPr>
                <w:fldChar w:fldCharType="begin"/>
              </w:r>
              <w:r>
                <w:rPr>
                  <w:sz w:val="28"/>
                  <w:szCs w:val="28"/>
                </w:rPr>
                <w:instrText xml:space="preserve"> PAGEREF _Toc23086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_Toc14937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_Toc14937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_Toc10074 </w:instrText>
              </w:r>
              <w:r>
                <w:rPr>
                  <w:rFonts w:hAnsi="宋体"/>
                  <w:bCs/>
                  <w:sz w:val="28"/>
                  <w:szCs w:val="28"/>
                </w:rPr>
                <w:fldChar w:fldCharType="separate"/>
              </w:r>
              <w:r>
                <w:rPr>
                  <w:rFonts w:hint="eastAsia" w:ascii="华文楷体" w:hAnsi="华文楷体" w:eastAsia="华文楷体" w:cs="华文楷体"/>
                  <w:bCs/>
                  <w:sz w:val="28"/>
                  <w:szCs w:val="28"/>
                </w:rPr>
                <w:t>（二）项目组织实施管理情况</w:t>
              </w:r>
              <w:r>
                <w:rPr>
                  <w:sz w:val="28"/>
                  <w:szCs w:val="28"/>
                </w:rPr>
                <w:tab/>
              </w:r>
              <w:r>
                <w:rPr>
                  <w:sz w:val="28"/>
                  <w:szCs w:val="28"/>
                </w:rPr>
                <w:fldChar w:fldCharType="begin"/>
              </w:r>
              <w:r>
                <w:rPr>
                  <w:sz w:val="28"/>
                  <w:szCs w:val="28"/>
                </w:rPr>
                <w:instrText xml:space="preserve"> PAGEREF _Toc10074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_Toc23037 </w:instrText>
              </w:r>
              <w:r>
                <w:rPr>
                  <w:rFonts w:hAnsi="宋体"/>
                  <w:bCs/>
                  <w:sz w:val="28"/>
                  <w:szCs w:val="28"/>
                </w:rPr>
                <w:fldChar w:fldCharType="separate"/>
              </w:r>
              <w:r>
                <w:rPr>
                  <w:rFonts w:hint="eastAsia" w:ascii="黑体" w:hAnsi="黑体" w:eastAsia="黑体" w:cs="黑体"/>
                  <w:bCs/>
                  <w:sz w:val="28"/>
                  <w:szCs w:val="28"/>
                  <w:highlight w:val="none"/>
                </w:rPr>
                <w:t>三、绩效评价工作情况</w:t>
              </w:r>
              <w:r>
                <w:rPr>
                  <w:sz w:val="28"/>
                  <w:szCs w:val="28"/>
                </w:rPr>
                <w:tab/>
              </w:r>
              <w:r>
                <w:rPr>
                  <w:sz w:val="28"/>
                  <w:szCs w:val="28"/>
                </w:rPr>
                <w:fldChar w:fldCharType="begin"/>
              </w:r>
              <w:r>
                <w:rPr>
                  <w:sz w:val="28"/>
                  <w:szCs w:val="28"/>
                </w:rPr>
                <w:instrText xml:space="preserve"> PAGEREF _Toc23037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_Toc11918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_Toc11918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_Toc7966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_Toc7966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_Toc10128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_Toc10128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_Toc20739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_Toc20739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_Toc22723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_Toc22723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_Toc4078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_Toc4078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_Toc12057 </w:instrText>
              </w:r>
              <w:r>
                <w:rPr>
                  <w:rFonts w:hAnsi="宋体"/>
                  <w:bCs/>
                  <w:sz w:val="28"/>
                  <w:szCs w:val="28"/>
                </w:rPr>
                <w:fldChar w:fldCharType="separate"/>
              </w:r>
              <w:r>
                <w:rPr>
                  <w:rFonts w:hint="eastAsia" w:ascii="黑体" w:hAnsi="黑体" w:eastAsia="黑体" w:cs="黑体"/>
                  <w:bCs/>
                  <w:sz w:val="28"/>
                  <w:szCs w:val="28"/>
                </w:rPr>
                <w:t>四、项目绩效情况</w:t>
              </w:r>
              <w:r>
                <w:rPr>
                  <w:sz w:val="28"/>
                  <w:szCs w:val="28"/>
                </w:rPr>
                <w:tab/>
              </w:r>
              <w:r>
                <w:rPr>
                  <w:sz w:val="28"/>
                  <w:szCs w:val="28"/>
                </w:rPr>
                <w:fldChar w:fldCharType="begin"/>
              </w:r>
              <w:r>
                <w:rPr>
                  <w:sz w:val="28"/>
                  <w:szCs w:val="28"/>
                </w:rPr>
                <w:instrText xml:space="preserve"> PAGEREF _Toc12057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_Toc13246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_Toc13246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_Toc11984 </w:instrText>
              </w:r>
              <w:r>
                <w:rPr>
                  <w:rFonts w:hAnsi="宋体"/>
                  <w:bCs/>
                  <w:sz w:val="28"/>
                  <w:szCs w:val="28"/>
                </w:rPr>
                <w:fldChar w:fldCharType="separate"/>
              </w:r>
              <w:r>
                <w:rPr>
                  <w:rFonts w:hint="eastAsia" w:ascii="华文楷体" w:hAnsi="华文楷体" w:eastAsia="华文楷体" w:cs="华文楷体"/>
                  <w:bCs/>
                  <w:sz w:val="28"/>
                  <w:szCs w:val="28"/>
                  <w:highlight w:val="none"/>
                </w:rPr>
                <w:t>（二）项目效益</w:t>
              </w:r>
              <w:r>
                <w:rPr>
                  <w:sz w:val="28"/>
                  <w:szCs w:val="28"/>
                </w:rPr>
                <w:tab/>
              </w:r>
              <w:r>
                <w:rPr>
                  <w:sz w:val="28"/>
                  <w:szCs w:val="28"/>
                </w:rPr>
                <w:fldChar w:fldCharType="begin"/>
              </w:r>
              <w:r>
                <w:rPr>
                  <w:sz w:val="28"/>
                  <w:szCs w:val="28"/>
                </w:rPr>
                <w:instrText xml:space="preserve"> PAGEREF _Toc11984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_Toc21577 </w:instrText>
              </w:r>
              <w:r>
                <w:rPr>
                  <w:rFonts w:hAnsi="宋体"/>
                  <w:bCs/>
                  <w:sz w:val="28"/>
                  <w:szCs w:val="28"/>
                </w:rPr>
                <w:fldChar w:fldCharType="separate"/>
              </w:r>
              <w:r>
                <w:rPr>
                  <w:rFonts w:hint="eastAsia" w:ascii="黑体" w:hAnsi="黑体" w:eastAsia="黑体" w:cs="黑体"/>
                  <w:bCs/>
                  <w:sz w:val="28"/>
                  <w:szCs w:val="28"/>
                </w:rPr>
                <w:t>五、综合评价情况及评价结论</w:t>
              </w:r>
              <w:r>
                <w:rPr>
                  <w:sz w:val="28"/>
                  <w:szCs w:val="28"/>
                </w:rPr>
                <w:tab/>
              </w:r>
              <w:r>
                <w:rPr>
                  <w:sz w:val="28"/>
                  <w:szCs w:val="28"/>
                </w:rPr>
                <w:fldChar w:fldCharType="begin"/>
              </w:r>
              <w:r>
                <w:rPr>
                  <w:sz w:val="28"/>
                  <w:szCs w:val="28"/>
                </w:rPr>
                <w:instrText xml:space="preserve"> PAGEREF _Toc21577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_Toc19139 </w:instrText>
              </w:r>
              <w:r>
                <w:rPr>
                  <w:rFonts w:hAnsi="宋体"/>
                  <w:bCs/>
                  <w:sz w:val="28"/>
                  <w:szCs w:val="28"/>
                </w:rPr>
                <w:fldChar w:fldCharType="separate"/>
              </w:r>
              <w:r>
                <w:rPr>
                  <w:rFonts w:hint="eastAsia" w:ascii="黑体" w:hAnsi="黑体" w:eastAsia="黑体" w:cs="黑体"/>
                  <w:bCs/>
                  <w:sz w:val="28"/>
                  <w:szCs w:val="28"/>
                </w:rPr>
                <w:t>六、存在的主要问题</w:t>
              </w:r>
              <w:r>
                <w:rPr>
                  <w:sz w:val="28"/>
                  <w:szCs w:val="28"/>
                </w:rPr>
                <w:tab/>
              </w:r>
              <w:r>
                <w:rPr>
                  <w:sz w:val="28"/>
                  <w:szCs w:val="28"/>
                </w:rPr>
                <w:fldChar w:fldCharType="begin"/>
              </w:r>
              <w:r>
                <w:rPr>
                  <w:sz w:val="28"/>
                  <w:szCs w:val="28"/>
                </w:rPr>
                <w:instrText xml:space="preserve"> PAGEREF _Toc19139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_Toc29140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（一）奖励金发放不合规</w:t>
              </w:r>
              <w:r>
                <w:rPr>
                  <w:sz w:val="28"/>
                  <w:szCs w:val="28"/>
                </w:rPr>
                <w:tab/>
              </w:r>
              <w:r>
                <w:rPr>
                  <w:sz w:val="28"/>
                  <w:szCs w:val="28"/>
                </w:rPr>
                <w:fldChar w:fldCharType="begin"/>
              </w:r>
              <w:r>
                <w:rPr>
                  <w:sz w:val="28"/>
                  <w:szCs w:val="28"/>
                </w:rPr>
                <w:instrText xml:space="preserve"> PAGEREF _Toc29140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_Toc24470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（二）资金支出不合规</w:t>
              </w:r>
              <w:r>
                <w:rPr>
                  <w:sz w:val="28"/>
                  <w:szCs w:val="28"/>
                </w:rPr>
                <w:tab/>
              </w:r>
              <w:r>
                <w:rPr>
                  <w:sz w:val="28"/>
                  <w:szCs w:val="28"/>
                </w:rPr>
                <w:fldChar w:fldCharType="begin"/>
              </w:r>
              <w:r>
                <w:rPr>
                  <w:sz w:val="28"/>
                  <w:szCs w:val="28"/>
                </w:rPr>
                <w:instrText xml:space="preserve"> PAGEREF _Toc24470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7"/>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_Toc9758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（三）管理制度不健全</w:t>
              </w:r>
              <w:r>
                <w:rPr>
                  <w:sz w:val="28"/>
                  <w:szCs w:val="28"/>
                </w:rPr>
                <w:tab/>
              </w:r>
              <w:r>
                <w:rPr>
                  <w:sz w:val="28"/>
                  <w:szCs w:val="28"/>
                </w:rPr>
                <w:fldChar w:fldCharType="begin"/>
              </w:r>
              <w:r>
                <w:rPr>
                  <w:sz w:val="28"/>
                  <w:szCs w:val="28"/>
                </w:rPr>
                <w:instrText xml:space="preserve"> PAGEREF _Toc9758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5"/>
                <w:tabs>
                  <w:tab w:val="right" w:leader="dot" w:pos="8845"/>
                </w:tabs>
                <w:rPr>
                  <w:sz w:val="28"/>
                  <w:szCs w:val="28"/>
                </w:rPr>
              </w:pPr>
              <w:r>
                <w:rPr>
                  <w:rFonts w:hAnsi="宋体"/>
                  <w:bCs/>
                  <w:color w:val="auto"/>
                  <w:sz w:val="28"/>
                  <w:szCs w:val="28"/>
                </w:rPr>
                <w:fldChar w:fldCharType="begin"/>
              </w:r>
              <w:r>
                <w:rPr>
                  <w:rFonts w:hAnsi="宋体"/>
                  <w:bCs/>
                  <w:sz w:val="28"/>
                  <w:szCs w:val="28"/>
                </w:rPr>
                <w:instrText xml:space="preserve"> HYPERLINK \l _Toc14608 </w:instrText>
              </w:r>
              <w:r>
                <w:rPr>
                  <w:rFonts w:hAnsi="宋体"/>
                  <w:bCs/>
                  <w:sz w:val="28"/>
                  <w:szCs w:val="28"/>
                </w:rPr>
                <w:fldChar w:fldCharType="separate"/>
              </w:r>
              <w:r>
                <w:rPr>
                  <w:rFonts w:hint="eastAsia" w:ascii="黑体" w:hAnsi="黑体" w:eastAsia="黑体" w:cs="黑体"/>
                  <w:bCs/>
                  <w:sz w:val="28"/>
                  <w:szCs w:val="28"/>
                </w:rPr>
                <w:t>七、意见建议</w:t>
              </w:r>
              <w:r>
                <w:rPr>
                  <w:sz w:val="28"/>
                  <w:szCs w:val="28"/>
                </w:rPr>
                <w:tab/>
              </w:r>
              <w:r>
                <w:rPr>
                  <w:sz w:val="28"/>
                  <w:szCs w:val="28"/>
                </w:rPr>
                <w:fldChar w:fldCharType="begin"/>
              </w:r>
              <w:r>
                <w:rPr>
                  <w:sz w:val="28"/>
                  <w:szCs w:val="28"/>
                </w:rPr>
                <w:instrText xml:space="preserve"> PAGEREF _Toc14608 \h </w:instrText>
              </w:r>
              <w:r>
                <w:rPr>
                  <w:sz w:val="28"/>
                  <w:szCs w:val="28"/>
                </w:rPr>
                <w:fldChar w:fldCharType="separate"/>
              </w:r>
              <w:r>
                <w:rPr>
                  <w:sz w:val="28"/>
                  <w:szCs w:val="28"/>
                </w:rPr>
                <w:t>13</w:t>
              </w:r>
              <w:r>
                <w:rPr>
                  <w:sz w:val="28"/>
                  <w:szCs w:val="28"/>
                </w:rPr>
                <w:fldChar w:fldCharType="end"/>
              </w:r>
              <w:r>
                <w:rPr>
                  <w:rFonts w:hAnsi="宋体"/>
                  <w:bCs/>
                  <w:color w:val="auto"/>
                  <w:sz w:val="28"/>
                  <w:szCs w:val="28"/>
                </w:rPr>
                <w:fldChar w:fldCharType="end"/>
              </w:r>
            </w:p>
            <w:p>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 w:val="28"/>
                  <w:szCs w:val="28"/>
                </w:rPr>
                <w:fldChar w:fldCharType="end"/>
              </w:r>
            </w:p>
          </w:sdtContent>
        </w:sdt>
      </w:sdtContent>
    </w:sdt>
    <w:p>
      <w:pPr>
        <w:pStyle w:val="41"/>
        <w:bidi w:val="0"/>
        <w:rPr>
          <w:rFonts w:hint="eastAsia"/>
          <w:lang w:val="en-US" w:eastAsia="zh-CN"/>
        </w:rPr>
      </w:pPr>
      <w:bookmarkStart w:id="2" w:name="_Toc57373818"/>
      <w:bookmarkEnd w:id="2"/>
      <w:r>
        <w:rPr>
          <w:rFonts w:hint="eastAsia"/>
          <w:lang w:eastAsia="zh-CN"/>
        </w:rPr>
        <w:t>遵化市</w:t>
      </w:r>
      <w:r>
        <w:rPr>
          <w:rFonts w:hint="eastAsia"/>
          <w:lang w:val="en-US" w:eastAsia="zh-CN"/>
        </w:rPr>
        <w:t>交通运输局2022年</w:t>
      </w:r>
    </w:p>
    <w:p>
      <w:pPr>
        <w:pStyle w:val="41"/>
        <w:bidi w:val="0"/>
        <w:rPr>
          <w:rFonts w:hint="eastAsia"/>
          <w:lang w:eastAsia="zh-CN"/>
        </w:rPr>
      </w:pPr>
      <w:r>
        <w:rPr>
          <w:rFonts w:hint="eastAsia"/>
          <w:lang w:eastAsia="zh-CN"/>
        </w:rPr>
        <w:t>城乡客运公交一体化改造项目</w:t>
      </w:r>
    </w:p>
    <w:p>
      <w:pPr>
        <w:pStyle w:val="41"/>
        <w:bidi w:val="0"/>
      </w:pPr>
      <w:bookmarkStart w:id="3" w:name="_Toc57373823"/>
      <w:r>
        <w:rPr>
          <w:rFonts w:hint="eastAsia"/>
        </w:rPr>
        <w:t>绩效评价报告</w:t>
      </w:r>
      <w:bookmarkEnd w:id="3"/>
    </w:p>
    <w:p>
      <w:pPr>
        <w:pStyle w:val="37"/>
        <w:bidi w:val="0"/>
      </w:pPr>
      <w:bookmarkStart w:id="4" w:name="_Toc18007"/>
      <w:bookmarkStart w:id="5" w:name="_Toc29302676"/>
      <w:r>
        <w:rPr>
          <w:rFonts w:hint="eastAsia"/>
        </w:rPr>
        <w:t>一、项目基本情况</w:t>
      </w:r>
      <w:bookmarkEnd w:id="4"/>
      <w:bookmarkEnd w:id="5"/>
    </w:p>
    <w:p>
      <w:pPr>
        <w:pStyle w:val="38"/>
        <w:bidi w:val="0"/>
      </w:pPr>
      <w:bookmarkStart w:id="6" w:name="_Toc29302677"/>
      <w:bookmarkStart w:id="7" w:name="_Toc22010"/>
      <w:r>
        <w:rPr>
          <w:rFonts w:hint="eastAsia"/>
        </w:rPr>
        <w:t>（一）项目概况</w:t>
      </w:r>
      <w:bookmarkEnd w:id="6"/>
      <w:bookmarkEnd w:id="7"/>
    </w:p>
    <w:p>
      <w:pPr>
        <w:pStyle w:val="39"/>
        <w:bidi w:val="0"/>
        <w:rPr>
          <w:rFonts w:hint="default"/>
          <w:lang w:val="en-US"/>
        </w:rPr>
      </w:pPr>
      <w:r>
        <w:rPr>
          <w:rFonts w:hint="eastAsia"/>
          <w:lang w:val="en-US"/>
        </w:rPr>
        <w:t>为统筹遵化市城乡发展，加快推进城乡客运公交一体化工作，更好地满足广大人民群众出行需求，根据（遵政办字[2021]45号）遵化市人民政府办公室关于印发《遵化市城乡客运公交一体化改造实施方案》的通知，由遵化市交通运输局（以下简称“交通局”）负责城乡公交一体化改造和政策解释、做好各项车辆收购、线路改造和车辆购置等方案落实工作。城投公司负责成立公交公司，做好公交一体化建设资金的筹集。</w:t>
      </w:r>
      <w:r>
        <w:rPr>
          <w:rFonts w:hint="eastAsia"/>
          <w:lang w:val="en-US" w:eastAsia="zh-CN"/>
        </w:rPr>
        <w:t>唐山交通发展集团有限公司第五运输分公司（以下简称“</w:t>
      </w:r>
      <w:r>
        <w:rPr>
          <w:rFonts w:hint="eastAsia"/>
          <w:lang w:val="en-US"/>
        </w:rPr>
        <w:t>唐运集团五公司</w:t>
      </w:r>
      <w:r>
        <w:rPr>
          <w:rFonts w:hint="eastAsia"/>
          <w:lang w:val="en-US" w:eastAsia="zh-CN"/>
        </w:rPr>
        <w:t>”）</w:t>
      </w:r>
      <w:r>
        <w:rPr>
          <w:rFonts w:hint="eastAsia"/>
          <w:lang w:val="en-US"/>
        </w:rPr>
        <w:t>负责收购原有班线运营车辆，并与经营者逐一签订车辆收购协议。做好购置新车，及时完善新车运营相关手续等工作。遵化市财政局（以下简称“财政局”）负责做好城乡公交一体化建设工作的财政资金政策扶持、公交化改造、运营亏损补贴、资金筹措等工作。</w:t>
      </w:r>
    </w:p>
    <w:p>
      <w:pPr>
        <w:pStyle w:val="39"/>
        <w:bidi w:val="0"/>
        <w:rPr>
          <w:rFonts w:hint="eastAsia"/>
          <w:lang w:val="en-US"/>
        </w:rPr>
      </w:pPr>
      <w:r>
        <w:rPr>
          <w:rFonts w:hint="eastAsia"/>
          <w:lang w:val="en-US"/>
        </w:rPr>
        <w:t>根据遵化市目前公交现状，收回原有班线运营承包人所承包客运车辆并支付承包人、车辆驾驶员、乘务员补偿款。</w:t>
      </w:r>
    </w:p>
    <w:p>
      <w:pPr>
        <w:pStyle w:val="38"/>
        <w:bidi w:val="0"/>
      </w:pPr>
      <w:bookmarkStart w:id="8" w:name="_Toc29302678"/>
      <w:bookmarkStart w:id="9" w:name="_Toc5907"/>
      <w:r>
        <w:rPr>
          <w:rFonts w:hint="eastAsia"/>
        </w:rPr>
        <w:t>（二）项目绩效目标</w:t>
      </w:r>
      <w:bookmarkEnd w:id="8"/>
      <w:bookmarkEnd w:id="9"/>
    </w:p>
    <w:p>
      <w:pPr>
        <w:pStyle w:val="39"/>
        <w:bidi w:val="0"/>
        <w:rPr>
          <w:lang w:val="zh-CN"/>
        </w:rPr>
      </w:pPr>
      <w:bookmarkStart w:id="10" w:name="_Toc29302679"/>
      <w:r>
        <w:rPr>
          <w:rFonts w:hint="eastAsia"/>
          <w:lang w:val="en-US"/>
        </w:rPr>
        <w:t>积极落实市政府八届三次常务会议精神，于2022年底实现公交化全覆盖，带动经济快速发展、提高社会发展活力、提高城乡居民生产生活水平、降低车辆排放，减少空气污染。</w:t>
      </w:r>
    </w:p>
    <w:p>
      <w:pPr>
        <w:pStyle w:val="37"/>
        <w:bidi w:val="0"/>
        <w:rPr>
          <w:rFonts w:hint="eastAsia"/>
        </w:rPr>
      </w:pPr>
      <w:bookmarkStart w:id="11" w:name="_Toc23086"/>
      <w:r>
        <w:rPr>
          <w:rFonts w:hint="eastAsia"/>
        </w:rPr>
        <w:t>二、项目实施情况</w:t>
      </w:r>
      <w:bookmarkEnd w:id="11"/>
    </w:p>
    <w:p>
      <w:pPr>
        <w:pStyle w:val="38"/>
        <w:bidi w:val="0"/>
        <w:rPr>
          <w:rFonts w:hint="eastAsia"/>
        </w:rPr>
      </w:pPr>
      <w:bookmarkStart w:id="12" w:name="_Toc14937"/>
      <w:r>
        <w:rPr>
          <w:rFonts w:hint="eastAsia"/>
        </w:rPr>
        <w:t>（一）项目资金</w:t>
      </w:r>
      <w:r>
        <w:rPr>
          <w:rFonts w:hint="eastAsia"/>
          <w:lang w:val="en-US" w:eastAsia="zh-CN"/>
        </w:rPr>
        <w:t>到位、</w:t>
      </w:r>
      <w:r>
        <w:rPr>
          <w:rFonts w:hint="eastAsia"/>
        </w:rPr>
        <w:t>使用及管理情况</w:t>
      </w:r>
      <w:bookmarkEnd w:id="12"/>
    </w:p>
    <w:p>
      <w:pPr>
        <w:pStyle w:val="39"/>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39"/>
        <w:bidi w:val="0"/>
        <w:rPr>
          <w:lang w:val="en-US"/>
        </w:rPr>
      </w:pPr>
      <w:r>
        <w:rPr>
          <w:rFonts w:hint="eastAsia"/>
          <w:lang w:val="en-US"/>
        </w:rPr>
        <w:t>交通局年初预算城乡客运公交一体化建设项目资金1,765.00万元。2022年1月20日，根据遵化市财政局（遵财答复﹝2022﹞28号）《关于拨付城乡客运公交一体化改造收购补偿资金请示的答复》，财政局安排2022年</w:t>
      </w:r>
      <w:r>
        <w:rPr>
          <w:rFonts w:hint="eastAsia"/>
          <w:lang w:val="zh-CN"/>
        </w:rPr>
        <w:t>城乡客运一体化改造收购补偿资金</w:t>
      </w:r>
      <w:r>
        <w:rPr>
          <w:rFonts w:hint="eastAsia"/>
          <w:lang w:val="en-US"/>
        </w:rPr>
        <w:t>1,104.9769万元，资金于202</w:t>
      </w:r>
      <w:r>
        <w:rPr>
          <w:rFonts w:hint="eastAsia"/>
          <w:lang w:val="en-US" w:eastAsia="zh-CN"/>
        </w:rPr>
        <w:t>2</w:t>
      </w:r>
      <w:r>
        <w:rPr>
          <w:rFonts w:hint="eastAsia"/>
          <w:lang w:val="en-US"/>
        </w:rPr>
        <w:t>年</w:t>
      </w:r>
      <w:r>
        <w:rPr>
          <w:rFonts w:hint="eastAsia"/>
          <w:lang w:val="en-US" w:eastAsia="zh-CN"/>
        </w:rPr>
        <w:t>01月20日到位</w:t>
      </w:r>
      <w:r>
        <w:rPr>
          <w:rFonts w:hint="eastAsia"/>
          <w:lang w:val="en-US"/>
        </w:rPr>
        <w:t>，资金到位率</w:t>
      </w:r>
      <w:r>
        <w:rPr>
          <w:rFonts w:hint="eastAsia"/>
          <w:lang w:val="en-US" w:eastAsia="zh-CN"/>
        </w:rPr>
        <w:t>62.60</w:t>
      </w:r>
      <w:r>
        <w:rPr>
          <w:rFonts w:hint="eastAsia"/>
          <w:lang w:val="en-US"/>
        </w:rPr>
        <w:t>%。</w:t>
      </w:r>
    </w:p>
    <w:p>
      <w:pPr>
        <w:pStyle w:val="39"/>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39"/>
        <w:bidi w:val="0"/>
        <w:rPr>
          <w:rFonts w:hint="eastAsia"/>
          <w:lang w:val="en-US"/>
        </w:rPr>
      </w:pPr>
      <w:r>
        <w:rPr>
          <w:rFonts w:hint="eastAsia"/>
          <w:lang w:val="en-US"/>
        </w:rPr>
        <w:t>截至202</w:t>
      </w:r>
      <w:r>
        <w:rPr>
          <w:rFonts w:hint="eastAsia"/>
          <w:lang w:val="en-US" w:eastAsia="zh-CN"/>
        </w:rPr>
        <w:t>2</w:t>
      </w:r>
      <w:r>
        <w:rPr>
          <w:rFonts w:hint="eastAsia"/>
          <w:lang w:val="en-US"/>
        </w:rPr>
        <w:t>年</w:t>
      </w:r>
      <w:r>
        <w:rPr>
          <w:rFonts w:hint="eastAsia"/>
          <w:lang w:val="en-US" w:eastAsia="zh-CN"/>
        </w:rPr>
        <w:t>01月</w:t>
      </w:r>
      <w:r>
        <w:rPr>
          <w:rFonts w:hint="eastAsia"/>
          <w:lang w:val="en-US"/>
        </w:rPr>
        <w:t>底</w:t>
      </w:r>
      <w:r>
        <w:rPr>
          <w:rFonts w:hint="eastAsia"/>
          <w:lang w:val="en-US" w:eastAsia="zh-CN"/>
        </w:rPr>
        <w:t>，交通局</w:t>
      </w:r>
      <w:r>
        <w:rPr>
          <w:rFonts w:hint="eastAsia"/>
          <w:lang w:val="en-US"/>
        </w:rPr>
        <w:t>支出2022年收购补偿费</w:t>
      </w:r>
      <w:r>
        <w:rPr>
          <w:rFonts w:hint="eastAsia"/>
          <w:lang w:val="en-US" w:eastAsia="zh-CN"/>
        </w:rPr>
        <w:t>1,104.9769万</w:t>
      </w:r>
      <w:r>
        <w:rPr>
          <w:rFonts w:hint="eastAsia"/>
          <w:lang w:val="en-US"/>
        </w:rPr>
        <w:t>元，预算执行率100.00%，支出明细如下：</w:t>
      </w:r>
    </w:p>
    <w:p>
      <w:pPr>
        <w:pStyle w:val="40"/>
        <w:bidi w:val="0"/>
        <w:rPr>
          <w:rFonts w:hint="eastAsia"/>
          <w:lang w:val="en-US" w:eastAsia="zh-CN"/>
        </w:rPr>
      </w:pPr>
      <w:r>
        <w:rPr>
          <w:rFonts w:hint="eastAsia"/>
          <w:lang w:val="en-US" w:eastAsia="zh-CN"/>
        </w:rPr>
        <w:t>资金支出明细表</w:t>
      </w:r>
    </w:p>
    <w:p>
      <w:pPr>
        <w:pStyle w:val="8"/>
        <w:spacing w:line="360" w:lineRule="auto"/>
        <w:jc w:val="right"/>
        <w:rPr>
          <w:rFonts w:ascii="仿宋" w:hAnsi="仿宋" w:eastAsia="仿宋" w:cs="仿宋_GB2312"/>
          <w:color w:val="000000"/>
          <w:lang w:val="en-US"/>
        </w:rPr>
      </w:pPr>
      <w:r>
        <w:rPr>
          <w:rFonts w:hint="eastAsia" w:ascii="仿宋" w:hAnsi="仿宋" w:eastAsia="仿宋" w:cs="宋体"/>
          <w:b/>
          <w:color w:val="000000"/>
          <w:sz w:val="24"/>
          <w:szCs w:val="24"/>
          <w:lang w:val="en-US" w:eastAsia="zh-CN" w:bidi="ar-SA"/>
        </w:rPr>
        <w:t>单位：万元</w:t>
      </w:r>
    </w:p>
    <w:tbl>
      <w:tblPr>
        <w:tblStyle w:val="19"/>
        <w:tblW w:w="4998" w:type="pct"/>
        <w:tblInd w:w="0" w:type="dxa"/>
        <w:tblLayout w:type="autofit"/>
        <w:tblCellMar>
          <w:top w:w="0" w:type="dxa"/>
          <w:left w:w="108" w:type="dxa"/>
          <w:bottom w:w="0" w:type="dxa"/>
          <w:right w:w="108" w:type="dxa"/>
        </w:tblCellMar>
      </w:tblPr>
      <w:tblGrid>
        <w:gridCol w:w="2024"/>
        <w:gridCol w:w="1190"/>
        <w:gridCol w:w="3783"/>
        <w:gridCol w:w="1528"/>
      </w:tblGrid>
      <w:tr>
        <w:tblPrEx>
          <w:tblCellMar>
            <w:top w:w="0" w:type="dxa"/>
            <w:left w:w="108" w:type="dxa"/>
            <w:bottom w:w="0" w:type="dxa"/>
            <w:right w:w="108" w:type="dxa"/>
          </w:tblCellMar>
        </w:tblPrEx>
        <w:trPr>
          <w:trHeight w:val="454" w:hRule="atLeast"/>
          <w:tblHeader/>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rPr>
            </w:pPr>
            <w:r>
              <w:rPr>
                <w:rFonts w:hint="eastAsia" w:hAnsi="宋体" w:cs="宋体"/>
                <w:b/>
                <w:bCs/>
                <w:color w:val="000000"/>
                <w:lang w:bidi="ar"/>
              </w:rPr>
              <w:t>记账凭证日期</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rPr>
            </w:pPr>
            <w:r>
              <w:rPr>
                <w:rFonts w:hint="eastAsia" w:hAnsi="宋体" w:cs="宋体"/>
                <w:b/>
                <w:bCs/>
                <w:color w:val="000000"/>
                <w:lang w:bidi="ar"/>
              </w:rPr>
              <w:t>凭证号</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rPr>
            </w:pPr>
            <w:r>
              <w:rPr>
                <w:rFonts w:hint="eastAsia" w:hAnsi="宋体" w:cs="宋体"/>
                <w:b/>
                <w:bCs/>
                <w:color w:val="000000"/>
                <w:lang w:bidi="ar"/>
              </w:rPr>
              <w:t>摘要</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rPr>
            </w:pPr>
            <w:r>
              <w:rPr>
                <w:rFonts w:hint="eastAsia" w:hAnsi="宋体" w:cs="宋体"/>
                <w:b/>
                <w:bCs/>
                <w:color w:val="000000"/>
                <w:lang w:bidi="ar"/>
              </w:rPr>
              <w:t>金额</w:t>
            </w:r>
          </w:p>
        </w:tc>
      </w:tr>
      <w:tr>
        <w:tblPrEx>
          <w:tblCellMar>
            <w:top w:w="0" w:type="dxa"/>
            <w:left w:w="108" w:type="dxa"/>
            <w:bottom w:w="0" w:type="dxa"/>
            <w:right w:w="108" w:type="dxa"/>
          </w:tblCellMar>
        </w:tblPrEx>
        <w:trPr>
          <w:trHeight w:val="454" w:hRule="atLeast"/>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rPr>
            </w:pPr>
            <w:r>
              <w:rPr>
                <w:rFonts w:hint="eastAsia" w:hAnsi="宋体" w:cs="宋体"/>
                <w:color w:val="000000"/>
                <w:lang w:bidi="ar"/>
              </w:rPr>
              <w:t>2022年</w:t>
            </w:r>
            <w:r>
              <w:rPr>
                <w:rFonts w:hint="eastAsia" w:hAnsi="宋体" w:cs="宋体"/>
                <w:color w:val="000000"/>
                <w:lang w:val="en-US" w:eastAsia="zh-CN" w:bidi="ar"/>
              </w:rPr>
              <w:t>01</w:t>
            </w:r>
            <w:r>
              <w:rPr>
                <w:rFonts w:hint="eastAsia" w:hAnsi="宋体" w:cs="宋体"/>
                <w:color w:val="000000"/>
                <w:lang w:bidi="ar"/>
              </w:rPr>
              <w:t>月</w:t>
            </w:r>
            <w:r>
              <w:rPr>
                <w:rFonts w:hint="eastAsia" w:hAnsi="宋体" w:cs="宋体"/>
                <w:color w:val="000000"/>
                <w:lang w:val="en-US" w:eastAsia="zh-CN" w:bidi="ar"/>
              </w:rPr>
              <w:t>25</w:t>
            </w:r>
            <w:r>
              <w:rPr>
                <w:rFonts w:hint="eastAsia" w:hAnsi="宋体" w:cs="宋体"/>
                <w:color w:val="000000"/>
                <w:lang w:bidi="ar"/>
              </w:rPr>
              <w:t>日</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hAnsi="宋体" w:eastAsia="宋体" w:cs="宋体"/>
                <w:color w:val="000000"/>
                <w:lang w:val="en-US" w:eastAsia="zh-CN"/>
              </w:rPr>
            </w:pPr>
            <w:r>
              <w:rPr>
                <w:rFonts w:hint="eastAsia" w:hAnsi="宋体" w:cs="宋体"/>
                <w:color w:val="000000"/>
                <w:lang w:val="en-US" w:eastAsia="zh-CN"/>
              </w:rPr>
              <w:t>49</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Ansi="宋体" w:cs="宋体"/>
                <w:color w:val="000000"/>
              </w:rPr>
            </w:pPr>
            <w:r>
              <w:rPr>
                <w:rFonts w:hint="eastAsia" w:hAnsi="宋体" w:cs="宋体"/>
                <w:color w:val="000000"/>
                <w:lang w:bidi="ar"/>
              </w:rPr>
              <w:t>付</w:t>
            </w:r>
            <w:r>
              <w:rPr>
                <w:rFonts w:hint="eastAsia" w:hAnsi="宋体" w:cs="宋体"/>
                <w:color w:val="000000"/>
                <w:lang w:eastAsia="zh-CN" w:bidi="ar"/>
              </w:rPr>
              <w:t>城乡客运一体化建设补贴</w:t>
            </w:r>
            <w:r>
              <w:rPr>
                <w:rFonts w:hint="eastAsia" w:hAnsi="宋体" w:cs="宋体"/>
                <w:color w:val="000000"/>
                <w:lang w:bidi="ar"/>
              </w:rPr>
              <w:t>款</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Ansi="宋体" w:cs="宋体"/>
                <w:color w:val="000000"/>
              </w:rPr>
            </w:pPr>
            <w:r>
              <w:rPr>
                <w:rFonts w:hint="eastAsia" w:hAnsi="宋体" w:cs="宋体"/>
                <w:color w:val="000000"/>
                <w:lang w:val="en-US" w:eastAsia="zh-CN" w:bidi="ar"/>
              </w:rPr>
              <w:t>100.00</w:t>
            </w:r>
            <w:r>
              <w:rPr>
                <w:rFonts w:hint="eastAsia" w:hAnsi="宋体" w:cs="宋体"/>
                <w:color w:val="000000"/>
                <w:lang w:bidi="ar"/>
              </w:rPr>
              <w:t xml:space="preserve"> </w:t>
            </w:r>
          </w:p>
        </w:tc>
      </w:tr>
      <w:tr>
        <w:tblPrEx>
          <w:tblCellMar>
            <w:top w:w="0" w:type="dxa"/>
            <w:left w:w="108" w:type="dxa"/>
            <w:bottom w:w="0" w:type="dxa"/>
            <w:right w:w="108" w:type="dxa"/>
          </w:tblCellMar>
        </w:tblPrEx>
        <w:trPr>
          <w:trHeight w:val="454" w:hRule="atLeast"/>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rPr>
            </w:pPr>
            <w:r>
              <w:rPr>
                <w:rFonts w:hint="eastAsia" w:hAnsi="宋体" w:cs="宋体"/>
                <w:color w:val="000000"/>
                <w:lang w:bidi="ar"/>
              </w:rPr>
              <w:t>2022年</w:t>
            </w:r>
            <w:r>
              <w:rPr>
                <w:rFonts w:hint="eastAsia" w:hAnsi="宋体" w:cs="宋体"/>
                <w:color w:val="000000"/>
                <w:lang w:val="en-US" w:eastAsia="zh-CN" w:bidi="ar"/>
              </w:rPr>
              <w:t>01</w:t>
            </w:r>
            <w:r>
              <w:rPr>
                <w:rFonts w:hint="eastAsia" w:hAnsi="宋体" w:cs="宋体"/>
                <w:color w:val="000000"/>
                <w:lang w:bidi="ar"/>
              </w:rPr>
              <w:t>月</w:t>
            </w:r>
            <w:r>
              <w:rPr>
                <w:rFonts w:hint="eastAsia" w:hAnsi="宋体" w:cs="宋体"/>
                <w:color w:val="000000"/>
                <w:lang w:val="en-US" w:eastAsia="zh-CN" w:bidi="ar"/>
              </w:rPr>
              <w:t>25</w:t>
            </w:r>
            <w:r>
              <w:rPr>
                <w:rFonts w:hint="eastAsia" w:hAnsi="宋体" w:cs="宋体"/>
                <w:color w:val="000000"/>
                <w:lang w:bidi="ar"/>
              </w:rPr>
              <w:t>日</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rPr>
            </w:pPr>
            <w:r>
              <w:rPr>
                <w:rFonts w:hint="eastAsia" w:hAnsi="宋体" w:cs="宋体"/>
                <w:color w:val="000000"/>
                <w:lang w:val="en-US" w:eastAsia="zh-CN"/>
              </w:rPr>
              <w:t>49</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Ansi="宋体" w:cs="宋体"/>
                <w:color w:val="000000"/>
              </w:rPr>
            </w:pPr>
            <w:r>
              <w:rPr>
                <w:rFonts w:hint="eastAsia" w:hAnsi="宋体" w:cs="宋体"/>
                <w:color w:val="000000"/>
                <w:lang w:bidi="ar"/>
              </w:rPr>
              <w:t>付</w:t>
            </w:r>
            <w:r>
              <w:rPr>
                <w:rFonts w:hint="eastAsia" w:hAnsi="宋体" w:cs="宋体"/>
                <w:color w:val="000000"/>
                <w:lang w:eastAsia="zh-CN" w:bidi="ar"/>
              </w:rPr>
              <w:t>城乡客运一体化建设补贴</w:t>
            </w:r>
            <w:r>
              <w:rPr>
                <w:rFonts w:hint="eastAsia" w:hAnsi="宋体" w:cs="宋体"/>
                <w:color w:val="000000"/>
                <w:lang w:bidi="ar"/>
              </w:rPr>
              <w:t>款</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Ansi="宋体" w:cs="宋体"/>
                <w:color w:val="000000"/>
              </w:rPr>
            </w:pPr>
            <w:r>
              <w:rPr>
                <w:rFonts w:hint="eastAsia" w:hAnsi="宋体" w:cs="宋体"/>
                <w:color w:val="000000"/>
                <w:lang w:val="en-US" w:eastAsia="zh-CN" w:bidi="ar"/>
              </w:rPr>
              <w:t>100.00</w:t>
            </w:r>
            <w:r>
              <w:rPr>
                <w:rFonts w:hint="eastAsia" w:hAnsi="宋体" w:cs="宋体"/>
                <w:color w:val="000000"/>
                <w:lang w:bidi="ar"/>
              </w:rPr>
              <w:t xml:space="preserve"> </w:t>
            </w:r>
          </w:p>
        </w:tc>
      </w:tr>
      <w:tr>
        <w:tblPrEx>
          <w:tblCellMar>
            <w:top w:w="0" w:type="dxa"/>
            <w:left w:w="108" w:type="dxa"/>
            <w:bottom w:w="0" w:type="dxa"/>
            <w:right w:w="108" w:type="dxa"/>
          </w:tblCellMar>
        </w:tblPrEx>
        <w:trPr>
          <w:trHeight w:val="454" w:hRule="atLeast"/>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cs="宋体"/>
                <w:color w:val="000000"/>
                <w:lang w:bidi="ar"/>
              </w:rPr>
            </w:pPr>
            <w:r>
              <w:rPr>
                <w:rFonts w:hint="eastAsia" w:hAnsi="宋体" w:cs="宋体"/>
                <w:color w:val="000000"/>
                <w:lang w:bidi="ar"/>
              </w:rPr>
              <w:t>2022年</w:t>
            </w:r>
            <w:r>
              <w:rPr>
                <w:rFonts w:hint="eastAsia" w:hAnsi="宋体" w:cs="宋体"/>
                <w:color w:val="000000"/>
                <w:lang w:val="en-US" w:eastAsia="zh-CN" w:bidi="ar"/>
              </w:rPr>
              <w:t>01</w:t>
            </w:r>
            <w:r>
              <w:rPr>
                <w:rFonts w:hint="eastAsia" w:hAnsi="宋体" w:cs="宋体"/>
                <w:color w:val="000000"/>
                <w:lang w:bidi="ar"/>
              </w:rPr>
              <w:t>月</w:t>
            </w:r>
            <w:r>
              <w:rPr>
                <w:rFonts w:hint="eastAsia" w:hAnsi="宋体" w:cs="宋体"/>
                <w:color w:val="000000"/>
                <w:lang w:val="en-US" w:eastAsia="zh-CN" w:bidi="ar"/>
              </w:rPr>
              <w:t>25</w:t>
            </w:r>
            <w:r>
              <w:rPr>
                <w:rFonts w:hint="eastAsia" w:hAnsi="宋体" w:cs="宋体"/>
                <w:color w:val="000000"/>
                <w:lang w:bidi="ar"/>
              </w:rPr>
              <w:t>日</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cs="宋体"/>
                <w:color w:val="000000"/>
                <w:lang w:bidi="ar"/>
              </w:rPr>
            </w:pPr>
            <w:r>
              <w:rPr>
                <w:rFonts w:hint="eastAsia" w:hAnsi="宋体" w:cs="宋体"/>
                <w:color w:val="000000"/>
                <w:lang w:val="en-US" w:eastAsia="zh-CN"/>
              </w:rPr>
              <w:t>49</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hAnsi="宋体" w:cs="宋体"/>
                <w:color w:val="000000"/>
                <w:lang w:bidi="ar"/>
              </w:rPr>
            </w:pPr>
            <w:r>
              <w:rPr>
                <w:rFonts w:hint="eastAsia" w:hAnsi="宋体" w:cs="宋体"/>
                <w:color w:val="000000"/>
                <w:lang w:bidi="ar"/>
              </w:rPr>
              <w:t>付</w:t>
            </w:r>
            <w:r>
              <w:rPr>
                <w:rFonts w:hint="eastAsia" w:hAnsi="宋体" w:cs="宋体"/>
                <w:color w:val="000000"/>
                <w:lang w:eastAsia="zh-CN" w:bidi="ar"/>
              </w:rPr>
              <w:t>城乡客运一体化建设补贴</w:t>
            </w:r>
            <w:r>
              <w:rPr>
                <w:rFonts w:hint="eastAsia" w:hAnsi="宋体" w:cs="宋体"/>
                <w:color w:val="000000"/>
                <w:lang w:bidi="ar"/>
              </w:rPr>
              <w:t>款</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hAnsi="宋体" w:eastAsia="宋体" w:cs="宋体"/>
                <w:color w:val="000000"/>
                <w:lang w:val="en-US" w:eastAsia="zh-CN" w:bidi="ar"/>
              </w:rPr>
            </w:pPr>
            <w:r>
              <w:rPr>
                <w:rFonts w:hint="eastAsia" w:hAnsi="宋体" w:cs="宋体"/>
                <w:color w:val="000000"/>
                <w:lang w:val="en-US" w:eastAsia="zh-CN" w:bidi="ar"/>
              </w:rPr>
              <w:t>100.00</w:t>
            </w:r>
          </w:p>
        </w:tc>
      </w:tr>
      <w:tr>
        <w:tblPrEx>
          <w:tblCellMar>
            <w:top w:w="0" w:type="dxa"/>
            <w:left w:w="108" w:type="dxa"/>
            <w:bottom w:w="0" w:type="dxa"/>
            <w:right w:w="108" w:type="dxa"/>
          </w:tblCellMar>
        </w:tblPrEx>
        <w:trPr>
          <w:trHeight w:val="454" w:hRule="atLeast"/>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cs="宋体"/>
                <w:color w:val="000000"/>
                <w:lang w:bidi="ar"/>
              </w:rPr>
            </w:pPr>
            <w:r>
              <w:rPr>
                <w:rFonts w:hint="eastAsia" w:hAnsi="宋体" w:cs="宋体"/>
                <w:color w:val="000000"/>
                <w:lang w:bidi="ar"/>
              </w:rPr>
              <w:t>2022年</w:t>
            </w:r>
            <w:r>
              <w:rPr>
                <w:rFonts w:hint="eastAsia" w:hAnsi="宋体" w:cs="宋体"/>
                <w:color w:val="000000"/>
                <w:lang w:val="en-US" w:eastAsia="zh-CN" w:bidi="ar"/>
              </w:rPr>
              <w:t>01</w:t>
            </w:r>
            <w:r>
              <w:rPr>
                <w:rFonts w:hint="eastAsia" w:hAnsi="宋体" w:cs="宋体"/>
                <w:color w:val="000000"/>
                <w:lang w:bidi="ar"/>
              </w:rPr>
              <w:t>月</w:t>
            </w:r>
            <w:r>
              <w:rPr>
                <w:rFonts w:hint="eastAsia" w:hAnsi="宋体" w:cs="宋体"/>
                <w:color w:val="000000"/>
                <w:lang w:val="en-US" w:eastAsia="zh-CN" w:bidi="ar"/>
              </w:rPr>
              <w:t>25</w:t>
            </w:r>
            <w:r>
              <w:rPr>
                <w:rFonts w:hint="eastAsia" w:hAnsi="宋体" w:cs="宋体"/>
                <w:color w:val="000000"/>
                <w:lang w:bidi="ar"/>
              </w:rPr>
              <w:t>日</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cs="宋体"/>
                <w:color w:val="000000"/>
                <w:lang w:bidi="ar"/>
              </w:rPr>
            </w:pPr>
            <w:r>
              <w:rPr>
                <w:rFonts w:hint="eastAsia" w:hAnsi="宋体" w:cs="宋体"/>
                <w:color w:val="000000"/>
                <w:lang w:val="en-US" w:eastAsia="zh-CN"/>
              </w:rPr>
              <w:t>49</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hAnsi="宋体" w:cs="宋体"/>
                <w:color w:val="000000"/>
                <w:lang w:bidi="ar"/>
              </w:rPr>
            </w:pPr>
            <w:r>
              <w:rPr>
                <w:rFonts w:hint="eastAsia" w:hAnsi="宋体" w:cs="宋体"/>
                <w:color w:val="000000"/>
                <w:lang w:bidi="ar"/>
              </w:rPr>
              <w:t>付</w:t>
            </w:r>
            <w:r>
              <w:rPr>
                <w:rFonts w:hint="eastAsia" w:hAnsi="宋体" w:cs="宋体"/>
                <w:color w:val="000000"/>
                <w:lang w:eastAsia="zh-CN" w:bidi="ar"/>
              </w:rPr>
              <w:t>城乡客运一体化建设补贴</w:t>
            </w:r>
            <w:r>
              <w:rPr>
                <w:rFonts w:hint="eastAsia" w:hAnsi="宋体" w:cs="宋体"/>
                <w:color w:val="000000"/>
                <w:lang w:bidi="ar"/>
              </w:rPr>
              <w:t>款</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hAnsi="宋体" w:cs="宋体"/>
                <w:color w:val="000000"/>
                <w:lang w:val="en-US" w:bidi="ar"/>
              </w:rPr>
            </w:pPr>
            <w:r>
              <w:rPr>
                <w:rFonts w:hint="eastAsia" w:hAnsi="宋体" w:cs="宋体"/>
                <w:color w:val="000000"/>
                <w:lang w:val="en-US" w:eastAsia="zh-CN" w:bidi="ar"/>
              </w:rPr>
              <w:t>490.00</w:t>
            </w:r>
          </w:p>
        </w:tc>
      </w:tr>
      <w:tr>
        <w:tblPrEx>
          <w:tblCellMar>
            <w:top w:w="0" w:type="dxa"/>
            <w:left w:w="108" w:type="dxa"/>
            <w:bottom w:w="0" w:type="dxa"/>
            <w:right w:w="108" w:type="dxa"/>
          </w:tblCellMar>
        </w:tblPrEx>
        <w:trPr>
          <w:trHeight w:val="454" w:hRule="atLeast"/>
        </w:trPr>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rPr>
            </w:pPr>
            <w:r>
              <w:rPr>
                <w:rFonts w:hint="eastAsia" w:hAnsi="宋体" w:cs="宋体"/>
                <w:color w:val="000000"/>
                <w:lang w:bidi="ar"/>
              </w:rPr>
              <w:t>2022年</w:t>
            </w:r>
            <w:r>
              <w:rPr>
                <w:rFonts w:hint="eastAsia" w:hAnsi="宋体" w:cs="宋体"/>
                <w:color w:val="000000"/>
                <w:lang w:val="en-US" w:eastAsia="zh-CN" w:bidi="ar"/>
              </w:rPr>
              <w:t>01</w:t>
            </w:r>
            <w:r>
              <w:rPr>
                <w:rFonts w:hint="eastAsia" w:hAnsi="宋体" w:cs="宋体"/>
                <w:color w:val="000000"/>
                <w:lang w:bidi="ar"/>
              </w:rPr>
              <w:t>月</w:t>
            </w:r>
            <w:r>
              <w:rPr>
                <w:rFonts w:hint="eastAsia" w:hAnsi="宋体" w:cs="宋体"/>
                <w:color w:val="000000"/>
                <w:lang w:val="en-US" w:eastAsia="zh-CN" w:bidi="ar"/>
              </w:rPr>
              <w:t>25</w:t>
            </w:r>
            <w:r>
              <w:rPr>
                <w:rFonts w:hint="eastAsia" w:hAnsi="宋体" w:cs="宋体"/>
                <w:color w:val="000000"/>
                <w:lang w:bidi="ar"/>
              </w:rPr>
              <w:t>日</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rPr>
            </w:pPr>
            <w:r>
              <w:rPr>
                <w:rFonts w:hint="eastAsia" w:hAnsi="宋体" w:cs="宋体"/>
                <w:color w:val="000000"/>
                <w:lang w:val="en-US" w:eastAsia="zh-CN"/>
              </w:rPr>
              <w:t>49</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Ansi="宋体" w:cs="宋体"/>
                <w:color w:val="000000"/>
              </w:rPr>
            </w:pPr>
            <w:r>
              <w:rPr>
                <w:rFonts w:hint="eastAsia" w:hAnsi="宋体" w:cs="宋体"/>
                <w:color w:val="000000"/>
                <w:lang w:bidi="ar"/>
              </w:rPr>
              <w:t>付</w:t>
            </w:r>
            <w:r>
              <w:rPr>
                <w:rFonts w:hint="eastAsia" w:hAnsi="宋体" w:cs="宋体"/>
                <w:color w:val="000000"/>
                <w:lang w:eastAsia="zh-CN" w:bidi="ar"/>
              </w:rPr>
              <w:t>城乡客运一体化建设补贴</w:t>
            </w:r>
            <w:r>
              <w:rPr>
                <w:rFonts w:hint="eastAsia" w:hAnsi="宋体" w:cs="宋体"/>
                <w:color w:val="000000"/>
                <w:lang w:bidi="ar"/>
              </w:rPr>
              <w:t>款</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Ansi="宋体" w:cs="宋体"/>
                <w:color w:val="000000"/>
              </w:rPr>
            </w:pPr>
            <w:r>
              <w:rPr>
                <w:rFonts w:hint="eastAsia" w:hAnsi="宋体" w:cs="宋体"/>
                <w:color w:val="000000"/>
                <w:lang w:val="en-US" w:eastAsia="zh-CN" w:bidi="ar"/>
              </w:rPr>
              <w:t>314.9769</w:t>
            </w:r>
          </w:p>
        </w:tc>
      </w:tr>
      <w:tr>
        <w:tblPrEx>
          <w:tblCellMar>
            <w:top w:w="0" w:type="dxa"/>
            <w:left w:w="108" w:type="dxa"/>
            <w:bottom w:w="0" w:type="dxa"/>
            <w:right w:w="108" w:type="dxa"/>
          </w:tblCellMar>
        </w:tblPrEx>
        <w:trPr>
          <w:trHeight w:val="454" w:hRule="atLeast"/>
        </w:trPr>
        <w:tc>
          <w:tcPr>
            <w:tcW w:w="1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hAnsi="宋体" w:cs="宋体"/>
                <w:color w:val="000000"/>
                <w:lang w:val="en-US" w:eastAsia="zh-CN"/>
              </w:rPr>
            </w:pPr>
            <w:r>
              <w:rPr>
                <w:rFonts w:hint="eastAsia" w:hAnsi="宋体" w:cs="宋体"/>
                <w:color w:val="000000"/>
                <w:lang w:val="en-US" w:eastAsia="zh-CN"/>
              </w:rPr>
              <w:t>合计</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hAnsi="宋体" w:cs="宋体"/>
                <w:color w:val="000000"/>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hAnsi="宋体" w:cs="宋体"/>
                <w:color w:val="000000"/>
                <w:lang w:val="en-US" w:eastAsia="zh-CN" w:bidi="ar"/>
              </w:rPr>
            </w:pPr>
            <w:r>
              <w:rPr>
                <w:rFonts w:hint="eastAsia" w:hAnsi="宋体" w:cs="宋体"/>
                <w:color w:val="000000"/>
                <w:lang w:val="en-US" w:eastAsia="zh-CN" w:bidi="ar"/>
              </w:rPr>
              <w:fldChar w:fldCharType="begin"/>
            </w:r>
            <w:r>
              <w:rPr>
                <w:rFonts w:hint="eastAsia" w:hAnsi="宋体" w:cs="宋体"/>
                <w:color w:val="000000"/>
                <w:lang w:val="en-US" w:eastAsia="zh-CN" w:bidi="ar"/>
              </w:rPr>
              <w:instrText xml:space="preserve"> = sum(D2:D6) \* MERGEFORMAT </w:instrText>
            </w:r>
            <w:r>
              <w:rPr>
                <w:rFonts w:hint="eastAsia" w:hAnsi="宋体" w:cs="宋体"/>
                <w:color w:val="000000"/>
                <w:lang w:val="en-US" w:eastAsia="zh-CN" w:bidi="ar"/>
              </w:rPr>
              <w:fldChar w:fldCharType="separate"/>
            </w:r>
            <w:r>
              <w:rPr>
                <w:rFonts w:hint="eastAsia" w:hAnsi="宋体" w:cs="宋体"/>
                <w:color w:val="000000"/>
                <w:lang w:val="en-US" w:eastAsia="zh-CN" w:bidi="ar"/>
              </w:rPr>
              <w:t>1104.9769</w:t>
            </w:r>
            <w:r>
              <w:rPr>
                <w:rFonts w:hint="eastAsia" w:hAnsi="宋体" w:cs="宋体"/>
                <w:color w:val="000000"/>
                <w:lang w:val="en-US" w:eastAsia="zh-CN" w:bidi="ar"/>
              </w:rPr>
              <w:fldChar w:fldCharType="end"/>
            </w:r>
          </w:p>
        </w:tc>
      </w:tr>
    </w:tbl>
    <w:p>
      <w:pPr>
        <w:pStyle w:val="8"/>
        <w:spacing w:line="360" w:lineRule="auto"/>
        <w:ind w:firstLine="600" w:firstLineChars="200"/>
        <w:rPr>
          <w:rFonts w:hint="eastAsia" w:ascii="仿宋" w:hAnsi="仿宋" w:eastAsia="仿宋" w:cs="仿宋_GB2312"/>
          <w:color w:val="auto"/>
          <w:sz w:val="30"/>
          <w:szCs w:val="30"/>
          <w:lang w:val="en-US" w:eastAsia="zh-CN" w:bidi="zh-CN"/>
        </w:rPr>
      </w:pPr>
    </w:p>
    <w:p>
      <w:pPr>
        <w:pStyle w:val="39"/>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39"/>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，交通局</w:t>
      </w:r>
      <w:r>
        <w:rPr>
          <w:rFonts w:hint="eastAsia"/>
          <w:lang w:val="en-US"/>
        </w:rPr>
        <w:t>按照相关会计制度规定申请财政资金，未</w:t>
      </w:r>
      <w:r>
        <w:rPr>
          <w:rFonts w:hint="eastAsia"/>
          <w:lang w:val="en-US" w:eastAsia="zh-CN"/>
        </w:rPr>
        <w:t>出</w:t>
      </w:r>
      <w:r>
        <w:rPr>
          <w:rFonts w:hint="eastAsia"/>
          <w:lang w:val="en-US"/>
        </w:rPr>
        <w:t>现违规使用资金行为。</w:t>
      </w:r>
    </w:p>
    <w:p>
      <w:pPr>
        <w:pStyle w:val="38"/>
        <w:bidi w:val="0"/>
        <w:rPr>
          <w:rFonts w:hint="eastAsia"/>
        </w:rPr>
      </w:pPr>
      <w:bookmarkStart w:id="13" w:name="_Toc10074"/>
      <w:r>
        <w:rPr>
          <w:rFonts w:hint="eastAsia"/>
        </w:rPr>
        <w:t>（二）项目组织实施管理情况</w:t>
      </w:r>
      <w:bookmarkEnd w:id="13"/>
    </w:p>
    <w:p>
      <w:pPr>
        <w:pStyle w:val="39"/>
        <w:bidi w:val="0"/>
        <w:rPr>
          <w:rFonts w:hint="default"/>
          <w:lang w:val="en-US" w:eastAsia="zh-CN"/>
        </w:rPr>
      </w:pPr>
      <w:r>
        <w:rPr>
          <w:rFonts w:hint="eastAsia"/>
          <w:lang w:val="en-US" w:eastAsia="zh-CN"/>
        </w:rPr>
        <w:t>2021年12月6日，唐运集团五公司发布《遵化市城乡客运公交一体化改造退出经营客车收购补偿方案》。依据公平、公正、公开的原则作出如下补偿：</w:t>
      </w:r>
    </w:p>
    <w:p>
      <w:pPr>
        <w:pStyle w:val="39"/>
        <w:bidi w:val="0"/>
        <w:rPr>
          <w:rFonts w:hint="eastAsia"/>
          <w:lang w:val="en-US" w:eastAsia="zh-CN"/>
        </w:rPr>
      </w:pPr>
      <w:r>
        <w:rPr>
          <w:rFonts w:hint="eastAsia"/>
          <w:lang w:val="en-US" w:eastAsia="zh-CN"/>
        </w:rPr>
        <w:t>1.收购城区30公里以内农村客运班车66辆，聘请具有合法评估资质的评估机构，对全部车辆的残值进行评估并出具评估报告，由市政府有关部门审核后，将残值以货币形式支付给车辆承包人，车辆所有权归收购人公交公司。</w:t>
      </w:r>
    </w:p>
    <w:p>
      <w:pPr>
        <w:pStyle w:val="39"/>
        <w:bidi w:val="0"/>
        <w:rPr>
          <w:rFonts w:hint="eastAsia"/>
          <w:lang w:val="en-US" w:eastAsia="zh-CN"/>
        </w:rPr>
      </w:pPr>
      <w:r>
        <w:rPr>
          <w:rFonts w:hint="eastAsia"/>
          <w:lang w:val="en-US" w:eastAsia="zh-CN"/>
        </w:rPr>
        <w:t>2.对原承包人所承包客运车辆的驾驶员、乘务员依据《中华人民共和国劳动合同法》的规定，给予其9个月的经济补偿，标准以遵化市2020年城镇居民人均可支配收入43,362.00元为基数，每名驾驶员及乘务员补偿约为32,522.00元。</w:t>
      </w:r>
    </w:p>
    <w:p>
      <w:pPr>
        <w:pStyle w:val="39"/>
        <w:bidi w:val="0"/>
        <w:rPr>
          <w:rFonts w:hint="eastAsia"/>
          <w:lang w:val="en-US" w:eastAsia="zh-CN"/>
        </w:rPr>
      </w:pPr>
      <w:r>
        <w:rPr>
          <w:rFonts w:hint="eastAsia"/>
          <w:lang w:val="en-US" w:eastAsia="zh-CN"/>
        </w:rPr>
        <w:t>3.以最近3年每年经营收益平均值为基数，一次性为该承包人发放2.5年（30个月）的经营性补偿费用。</w:t>
      </w:r>
    </w:p>
    <w:p>
      <w:pPr>
        <w:pStyle w:val="39"/>
        <w:bidi w:val="0"/>
        <w:rPr>
          <w:rFonts w:hint="default"/>
          <w:lang w:val="en-US" w:eastAsia="zh-CN"/>
        </w:rPr>
      </w:pPr>
      <w:r>
        <w:rPr>
          <w:rFonts w:hint="eastAsia"/>
          <w:lang w:val="en-US" w:eastAsia="zh-CN"/>
        </w:rPr>
        <w:t>此上合计补偿约为每车15.76万元。</w:t>
      </w:r>
    </w:p>
    <w:p>
      <w:pPr>
        <w:pStyle w:val="39"/>
        <w:bidi w:val="0"/>
        <w:rPr>
          <w:rFonts w:hint="eastAsia"/>
          <w:lang w:val="en-US" w:eastAsia="zh-CN"/>
        </w:rPr>
      </w:pPr>
      <w:r>
        <w:rPr>
          <w:rFonts w:hint="eastAsia"/>
          <w:lang w:val="en-US" w:eastAsia="zh-CN"/>
        </w:rPr>
        <w:t>在公告确定的收车开始之日起三日内签订协议并交车的车辆承包人给予一次性奖励1万元，第4-6天签订协议并交车的给予奖励6千元，第7-9天签订协议并交车的给予奖励3千元，之后签订协议并交车的不予奖励。</w:t>
      </w:r>
    </w:p>
    <w:p>
      <w:pPr>
        <w:pStyle w:val="39"/>
        <w:bidi w:val="0"/>
        <w:rPr>
          <w:rFonts w:hint="default"/>
          <w:lang w:val="en-US" w:eastAsia="zh-CN"/>
        </w:rPr>
      </w:pPr>
      <w:r>
        <w:rPr>
          <w:rFonts w:hint="eastAsia"/>
          <w:lang w:val="en-US" w:eastAsia="zh-CN"/>
        </w:rPr>
        <w:t>2021年12月21至23日唐运集团五公司与66辆农村客运班车实际经营者签订《公交车改造协议》。</w:t>
      </w:r>
    </w:p>
    <w:p>
      <w:pPr>
        <w:pStyle w:val="39"/>
        <w:bidi w:val="0"/>
        <w:rPr>
          <w:rFonts w:hint="default"/>
          <w:lang w:val="en-US" w:eastAsia="zh-CN"/>
        </w:rPr>
      </w:pPr>
      <w:r>
        <w:rPr>
          <w:rFonts w:hint="eastAsia"/>
          <w:lang w:val="en-US" w:eastAsia="zh-CN"/>
        </w:rPr>
        <w:t>2022年1月20日，遵化财政局答复交通局关于拨付城乡客运公交一体化改造收购补偿资金的请示：“经市政府同意，安排城乡客运公交一体化改造收购补偿资金1,104.9769万元，其中：停运停业补偿326.70万元；驾驶员补偿214.6452万元；乘务员补偿214.6452万元；车辆残值282.9865万元（已评估）；车主奖励66.00万元，根据工作进度进行拨付，资金由2022年预算中列支”。</w:t>
      </w:r>
    </w:p>
    <w:p>
      <w:pPr>
        <w:pStyle w:val="39"/>
        <w:bidi w:val="0"/>
        <w:rPr>
          <w:rFonts w:hint="eastAsia"/>
          <w:lang w:val="en-US" w:eastAsia="zh-CN"/>
        </w:rPr>
      </w:pPr>
      <w:r>
        <w:rPr>
          <w:rFonts w:hint="eastAsia"/>
          <w:lang w:val="en-US" w:eastAsia="zh-CN"/>
        </w:rPr>
        <w:t>2022年1月20，财政局支付交通局城乡客运公交一体化改造收购补偿资金1,104.9769万元。</w:t>
      </w:r>
    </w:p>
    <w:p>
      <w:pPr>
        <w:pStyle w:val="39"/>
        <w:bidi w:val="0"/>
        <w:rPr>
          <w:rFonts w:hint="eastAsia"/>
          <w:lang w:val="en-US" w:eastAsia="zh-CN"/>
        </w:rPr>
      </w:pPr>
      <w:r>
        <w:rPr>
          <w:rFonts w:hint="eastAsia"/>
          <w:lang w:val="en-US" w:eastAsia="zh-CN"/>
        </w:rPr>
        <w:t>2022年1月21日，交通局将城乡客运公交一体化改造收购补偿资金1,104.9769万元拨付至遵化市国铠公交有限公司（国铠公交于2021年12月9日由城投</w:t>
      </w:r>
      <w:r>
        <w:rPr>
          <w:rFonts w:hint="eastAsia"/>
          <w:lang w:val="en-US"/>
        </w:rPr>
        <w:t>公司成立</w:t>
      </w:r>
      <w:r>
        <w:rPr>
          <w:rFonts w:hint="eastAsia"/>
          <w:lang w:val="en-US" w:eastAsia="zh-CN"/>
        </w:rPr>
        <w:t>）。</w:t>
      </w:r>
    </w:p>
    <w:p>
      <w:pPr>
        <w:pStyle w:val="39"/>
        <w:bidi w:val="0"/>
        <w:rPr>
          <w:rFonts w:hint="eastAsia"/>
          <w:lang w:val="en-US" w:eastAsia="zh-CN"/>
        </w:rPr>
      </w:pPr>
      <w:r>
        <w:rPr>
          <w:rFonts w:hint="eastAsia"/>
          <w:lang w:val="en-US" w:eastAsia="zh-CN"/>
        </w:rPr>
        <w:t>2022年1月25日，国铠公交有限公司将城乡客运公交一体化改造收购补偿资金1,104.9769万元拨付至唐运集团五公司。</w:t>
      </w:r>
    </w:p>
    <w:p>
      <w:pPr>
        <w:pStyle w:val="39"/>
        <w:bidi w:val="0"/>
        <w:rPr>
          <w:rFonts w:hint="eastAsia"/>
          <w:lang w:val="en-US" w:eastAsia="zh-CN"/>
        </w:rPr>
      </w:pPr>
      <w:r>
        <w:rPr>
          <w:rFonts w:hint="eastAsia"/>
          <w:lang w:val="en-US" w:eastAsia="zh-CN"/>
        </w:rPr>
        <w:t>2022年1月27日，唐运集团五公司支付实际经营者补偿款785.0064万元；2022年1月28日，唐运集团五公司支付实际经营者补偿款287.5215万元；2022年5月10日，唐运集团五公司支付实际经营者补偿款32.4490万元。</w:t>
      </w:r>
    </w:p>
    <w:p>
      <w:pPr>
        <w:pStyle w:val="39"/>
        <w:bidi w:val="0"/>
        <w:rPr>
          <w:rFonts w:hint="default"/>
          <w:lang w:val="en-US" w:eastAsia="zh-CN"/>
        </w:rPr>
      </w:pPr>
      <w:r>
        <w:rPr>
          <w:rFonts w:hint="eastAsia"/>
          <w:lang w:val="en-US" w:eastAsia="zh-CN"/>
        </w:rPr>
        <w:t>截至2022年5月10日，唐运集团五公司完成城乡客运公交一体化改造收购补偿资金发放工作。</w:t>
      </w:r>
    </w:p>
    <w:p>
      <w:pPr>
        <w:pStyle w:val="37"/>
        <w:bidi w:val="0"/>
        <w:rPr>
          <w:rFonts w:hint="eastAsia"/>
        </w:rPr>
      </w:pPr>
      <w:bookmarkStart w:id="14" w:name="_Toc23037"/>
      <w:r>
        <w:rPr>
          <w:rFonts w:hint="eastAsia"/>
        </w:rPr>
        <w:t>三、绩效评价工作情况</w:t>
      </w:r>
      <w:bookmarkEnd w:id="10"/>
      <w:bookmarkEnd w:id="14"/>
    </w:p>
    <w:p>
      <w:pPr>
        <w:pStyle w:val="38"/>
        <w:bidi w:val="0"/>
        <w:rPr>
          <w:rFonts w:hint="eastAsia"/>
        </w:rPr>
      </w:pPr>
      <w:bookmarkStart w:id="15" w:name="_Toc29302680"/>
      <w:bookmarkStart w:id="16" w:name="_Toc11918"/>
      <w:r>
        <w:rPr>
          <w:rFonts w:hint="eastAsia"/>
        </w:rPr>
        <w:t>（一）绩效评价目的</w:t>
      </w:r>
      <w:bookmarkEnd w:id="15"/>
      <w:bookmarkEnd w:id="16"/>
    </w:p>
    <w:p>
      <w:pPr>
        <w:pStyle w:val="39"/>
        <w:bidi w:val="0"/>
        <w:rPr>
          <w:lang w:val="zh-CN"/>
        </w:rPr>
      </w:pPr>
      <w:bookmarkStart w:id="17" w:name="_Toc29302681"/>
      <w:r>
        <w:rPr>
          <w:rFonts w:hint="eastAsia"/>
          <w:lang w:val="zh-CN"/>
        </w:rPr>
        <w:t>1</w:t>
      </w:r>
      <w:r>
        <w:rPr>
          <w:rFonts w:hint="eastAsia"/>
          <w:lang w:val="en-US"/>
        </w:rPr>
        <w:t>.</w:t>
      </w:r>
      <w:r>
        <w:rPr>
          <w:rFonts w:hint="eastAsia"/>
          <w:lang w:val="zh-CN"/>
        </w:rPr>
        <w:t>通过对</w:t>
      </w:r>
      <w:r>
        <w:rPr>
          <w:rFonts w:hint="eastAsia"/>
          <w:lang w:val="en-US"/>
        </w:rPr>
        <w:t>遵化市城乡客运公交一体化改造项目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39"/>
        <w:bidi w:val="0"/>
        <w:rPr>
          <w:lang w:val="zh-CN"/>
        </w:rPr>
      </w:pPr>
      <w:r>
        <w:rPr>
          <w:rFonts w:hint="eastAsia"/>
          <w:lang w:val="zh-CN"/>
        </w:rPr>
        <w:t>2</w:t>
      </w:r>
      <w:r>
        <w:rPr>
          <w:rFonts w:hint="eastAsia"/>
          <w:lang w:val="en-US"/>
        </w:rPr>
        <w:t>.</w:t>
      </w:r>
      <w:r>
        <w:rPr>
          <w:rFonts w:hint="eastAsia"/>
          <w:lang w:val="zh-CN"/>
        </w:rPr>
        <w:t>促使项目单位根据绩效评价中发现的问题，认真加以整改，及时调整和完善单位的工作计划和绩效目标并加强项目管理，提高管理水平，同时为项目后续资金投入、分配和管理提供决策依据。</w:t>
      </w:r>
    </w:p>
    <w:p>
      <w:pPr>
        <w:pStyle w:val="38"/>
        <w:bidi w:val="0"/>
        <w:rPr>
          <w:rFonts w:hint="eastAsia"/>
        </w:rPr>
      </w:pPr>
      <w:bookmarkStart w:id="18" w:name="_Toc7966"/>
      <w:r>
        <w:rPr>
          <w:rFonts w:hint="eastAsia"/>
        </w:rPr>
        <w:t>（二）绩效评价依据</w:t>
      </w:r>
      <w:bookmarkEnd w:id="17"/>
      <w:bookmarkEnd w:id="18"/>
    </w:p>
    <w:p>
      <w:pPr>
        <w:pStyle w:val="39"/>
        <w:bidi w:val="0"/>
        <w:rPr>
          <w:lang w:val="zh-CN"/>
        </w:rPr>
      </w:pPr>
      <w:r>
        <w:rPr>
          <w:rFonts w:hint="eastAsia"/>
          <w:lang w:val="zh-CN"/>
        </w:rPr>
        <w:t>1</w:t>
      </w:r>
      <w:r>
        <w:rPr>
          <w:rFonts w:hint="eastAsia"/>
          <w:lang w:val="en-US"/>
        </w:rPr>
        <w:t>.</w:t>
      </w:r>
      <w:r>
        <w:rPr>
          <w:lang w:val="zh-CN"/>
        </w:rPr>
        <w:t>《</w:t>
      </w:r>
      <w:r>
        <w:rPr>
          <w:rFonts w:hint="eastAsia"/>
          <w:lang w:val="zh-CN"/>
        </w:rPr>
        <w:t>中华人民共和国预算法</w:t>
      </w:r>
      <w:r>
        <w:rPr>
          <w:lang w:val="zh-CN"/>
        </w:rPr>
        <w:t>》</w:t>
      </w:r>
      <w:r>
        <w:rPr>
          <w:rFonts w:hint="eastAsia"/>
          <w:lang w:val="zh-CN"/>
        </w:rPr>
        <w:t>；</w:t>
      </w:r>
    </w:p>
    <w:p>
      <w:pPr>
        <w:pStyle w:val="39"/>
        <w:bidi w:val="0"/>
        <w:rPr>
          <w:lang w:val="zh-CN"/>
        </w:rPr>
      </w:pPr>
      <w:r>
        <w:rPr>
          <w:rFonts w:hint="eastAsia"/>
          <w:lang w:val="zh-CN"/>
        </w:rPr>
        <w:t>2</w:t>
      </w:r>
      <w:r>
        <w:rPr>
          <w:rFonts w:hint="eastAsia"/>
          <w:lang w:val="en-US"/>
        </w:rPr>
        <w:t>.</w:t>
      </w:r>
      <w:r>
        <w:rPr>
          <w:lang w:val="zh-CN"/>
        </w:rPr>
        <w:t>中共中央国务院《关于全面实施预算绩效管理的意见》</w:t>
      </w:r>
      <w:r>
        <w:rPr>
          <w:rFonts w:hint="eastAsia"/>
          <w:lang w:val="zh-CN"/>
        </w:rPr>
        <w:t>（</w:t>
      </w:r>
      <w:r>
        <w:rPr>
          <w:lang w:val="zh-CN"/>
        </w:rPr>
        <w:t>中发〔2018〕34号</w:t>
      </w:r>
      <w:r>
        <w:rPr>
          <w:rFonts w:hint="eastAsia"/>
          <w:lang w:val="zh-CN"/>
        </w:rPr>
        <w:t>）</w:t>
      </w:r>
      <w:r>
        <w:rPr>
          <w:lang w:val="zh-CN"/>
        </w:rPr>
        <w:t>;</w:t>
      </w:r>
    </w:p>
    <w:p>
      <w:pPr>
        <w:pStyle w:val="39"/>
        <w:bidi w:val="0"/>
        <w:rPr>
          <w:lang w:val="zh-CN"/>
        </w:rPr>
      </w:pPr>
      <w:r>
        <w:rPr>
          <w:rFonts w:hint="eastAsia"/>
          <w:lang w:val="zh-CN"/>
        </w:rPr>
        <w:t>3</w:t>
      </w:r>
      <w:r>
        <w:rPr>
          <w:rFonts w:hint="eastAsia"/>
          <w:lang w:val="en-US"/>
        </w:rPr>
        <w:t>.</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39"/>
        <w:bidi w:val="0"/>
        <w:rPr>
          <w:rFonts w:hint="eastAsia"/>
          <w:lang w:val="zh-CN"/>
        </w:rPr>
      </w:pPr>
      <w:r>
        <w:rPr>
          <w:rFonts w:hint="eastAsia"/>
          <w:lang w:val="zh-CN"/>
        </w:rPr>
        <w:t>4</w:t>
      </w:r>
      <w:r>
        <w:rPr>
          <w:rFonts w:hint="eastAsia"/>
          <w:lang w:val="en-US"/>
        </w:rPr>
        <w:t>.</w:t>
      </w:r>
      <w:r>
        <w:rPr>
          <w:rFonts w:hint="eastAsia"/>
          <w:lang w:val="zh-CN"/>
        </w:rPr>
        <w:t>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39"/>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39"/>
        <w:bidi w:val="0"/>
        <w:rPr>
          <w:lang w:val="zh-CN"/>
        </w:rPr>
      </w:pPr>
      <w:r>
        <w:rPr>
          <w:rFonts w:hint="eastAsia"/>
          <w:lang w:val="en-US"/>
        </w:rPr>
        <w:t>6.</w:t>
      </w:r>
      <w:r>
        <w:rPr>
          <w:lang w:val="zh-CN"/>
        </w:rPr>
        <w:t>唐山市委、市政府印发《唐山市全面实施预算绩效管理的实施意见》(唐发〔2019〕22号);</w:t>
      </w:r>
    </w:p>
    <w:p>
      <w:pPr>
        <w:pStyle w:val="39"/>
        <w:bidi w:val="0"/>
        <w:rPr>
          <w:lang w:val="zh-CN"/>
        </w:rPr>
      </w:pPr>
      <w:r>
        <w:rPr>
          <w:rFonts w:hint="eastAsia"/>
          <w:lang w:val="en-US"/>
        </w:rPr>
        <w:t>7.</w:t>
      </w:r>
      <w:r>
        <w:rPr>
          <w:rFonts w:hint="eastAsia"/>
          <w:lang w:val="zh-CN"/>
        </w:rPr>
        <w:t>唐山市财政局《唐山市分行业分领域绩效指标和标准体系》；</w:t>
      </w:r>
    </w:p>
    <w:p>
      <w:pPr>
        <w:pStyle w:val="39"/>
        <w:bidi w:val="0"/>
        <w:rPr>
          <w:lang w:val="zh-CN"/>
        </w:rPr>
      </w:pPr>
      <w:r>
        <w:rPr>
          <w:rFonts w:hint="eastAsia"/>
          <w:lang w:val="en-US"/>
        </w:rPr>
        <w:t>8.</w:t>
      </w:r>
      <w:r>
        <w:rPr>
          <w:rFonts w:hint="eastAsia"/>
          <w:lang w:val="zh-CN"/>
        </w:rPr>
        <w:t>中国注册会计师协会《会计师事务所财政支出绩效评价业务指引》（会协〔2016〕10号）；</w:t>
      </w:r>
    </w:p>
    <w:p>
      <w:pPr>
        <w:pStyle w:val="39"/>
        <w:bidi w:val="0"/>
      </w:pPr>
      <w:r>
        <w:rPr>
          <w:rFonts w:hint="eastAsia"/>
          <w:lang w:val="en-US"/>
        </w:rPr>
        <w:t>9.</w:t>
      </w:r>
      <w:r>
        <w:rPr>
          <w:rFonts w:hint="eastAsia"/>
          <w:lang w:val="zh-CN"/>
        </w:rPr>
        <w:t>其他相关依据。</w:t>
      </w:r>
      <w:bookmarkStart w:id="19" w:name="_bookmark11"/>
      <w:bookmarkEnd w:id="19"/>
      <w:bookmarkStart w:id="20" w:name="_bookmark13"/>
      <w:bookmarkEnd w:id="20"/>
      <w:bookmarkStart w:id="21" w:name="_bookmark12"/>
      <w:bookmarkEnd w:id="21"/>
    </w:p>
    <w:p>
      <w:pPr>
        <w:pStyle w:val="38"/>
        <w:bidi w:val="0"/>
      </w:pPr>
      <w:bookmarkStart w:id="22" w:name="_Toc29302682"/>
      <w:bookmarkStart w:id="23" w:name="_Toc10128"/>
      <w:r>
        <w:rPr>
          <w:rFonts w:hint="eastAsia"/>
        </w:rPr>
        <w:t>（三）评价对象、范围</w:t>
      </w:r>
      <w:bookmarkEnd w:id="22"/>
      <w:r>
        <w:rPr>
          <w:rFonts w:hint="eastAsia"/>
        </w:rPr>
        <w:t>及内容</w:t>
      </w:r>
      <w:bookmarkEnd w:id="23"/>
    </w:p>
    <w:p>
      <w:pPr>
        <w:pStyle w:val="39"/>
        <w:bidi w:val="0"/>
        <w:rPr>
          <w:lang w:val="zh-CN"/>
        </w:rPr>
      </w:pPr>
      <w:r>
        <w:rPr>
          <w:rFonts w:hint="eastAsia"/>
          <w:lang w:val="zh-CN"/>
        </w:rPr>
        <w:t>1</w:t>
      </w:r>
      <w:r>
        <w:rPr>
          <w:rFonts w:hint="eastAsia"/>
          <w:lang w:val="en-US"/>
        </w:rPr>
        <w:t>.</w:t>
      </w:r>
      <w:r>
        <w:rPr>
          <w:rFonts w:hint="eastAsia"/>
        </w:rPr>
        <w:t>绩效评价的对象</w:t>
      </w:r>
    </w:p>
    <w:p>
      <w:pPr>
        <w:pStyle w:val="39"/>
        <w:bidi w:val="0"/>
        <w:rPr>
          <w:lang w:val="zh-CN"/>
        </w:rPr>
      </w:pPr>
      <w:r>
        <w:rPr>
          <w:rFonts w:hint="eastAsia"/>
          <w:lang w:val="en-US"/>
        </w:rPr>
        <w:t>遵化市交通运输局2022年城乡客运公交一体化改造项目</w:t>
      </w:r>
      <w:r>
        <w:rPr>
          <w:rFonts w:hint="eastAsia"/>
          <w:lang w:val="zh-CN"/>
        </w:rPr>
        <w:t>。</w:t>
      </w:r>
    </w:p>
    <w:p>
      <w:pPr>
        <w:pStyle w:val="39"/>
        <w:bidi w:val="0"/>
        <w:rPr>
          <w:lang w:val="zh-CN"/>
        </w:rPr>
      </w:pPr>
      <w:r>
        <w:rPr>
          <w:rFonts w:hint="eastAsia"/>
          <w:lang w:val="zh-CN"/>
        </w:rPr>
        <w:t>2</w:t>
      </w:r>
      <w:r>
        <w:rPr>
          <w:rFonts w:hint="eastAsia"/>
          <w:lang w:val="en-US"/>
        </w:rPr>
        <w:t>.</w:t>
      </w:r>
      <w:r>
        <w:rPr>
          <w:rFonts w:hint="eastAsia"/>
          <w:lang w:val="zh-CN"/>
        </w:rPr>
        <w:t>绩效评价的范围</w:t>
      </w:r>
    </w:p>
    <w:p>
      <w:pPr>
        <w:pStyle w:val="39"/>
        <w:bidi w:val="0"/>
        <w:rPr>
          <w:lang w:val="zh-CN"/>
        </w:rPr>
      </w:pPr>
      <w:r>
        <w:rPr>
          <w:rFonts w:hint="eastAsia"/>
          <w:lang w:val="en-US"/>
        </w:rPr>
        <w:t>遵化市交通运输局2022年城乡客运公交一体化改造项目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39"/>
        <w:bidi w:val="0"/>
        <w:rPr>
          <w:lang w:val="zh-CN"/>
        </w:rPr>
      </w:pPr>
      <w:r>
        <w:rPr>
          <w:rFonts w:hint="eastAsia"/>
          <w:lang w:val="zh-CN"/>
        </w:rPr>
        <w:t>3</w:t>
      </w:r>
      <w:r>
        <w:rPr>
          <w:rFonts w:hint="eastAsia"/>
          <w:lang w:val="en-US"/>
        </w:rPr>
        <w:t>.</w:t>
      </w:r>
      <w:r>
        <w:rPr>
          <w:rFonts w:hint="eastAsia"/>
        </w:rPr>
        <w:t>绩效评价的内容</w:t>
      </w:r>
    </w:p>
    <w:p>
      <w:pPr>
        <w:pStyle w:val="39"/>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39"/>
        <w:bidi w:val="0"/>
      </w:pPr>
      <w:r>
        <w:rPr>
          <w:rFonts w:hint="eastAsia"/>
        </w:rPr>
        <w:t>（</w:t>
      </w:r>
      <w:r>
        <w:t>2</w:t>
      </w:r>
      <w:r>
        <w:rPr>
          <w:rFonts w:hint="eastAsia"/>
        </w:rPr>
        <w:t>）资金投入和使用情况。重点评价资金分配过程、投入方式、资金到位、预算执行和结果。</w:t>
      </w:r>
    </w:p>
    <w:p>
      <w:pPr>
        <w:pStyle w:val="39"/>
        <w:bidi w:val="0"/>
      </w:pPr>
      <w:r>
        <w:rPr>
          <w:rFonts w:hint="eastAsia"/>
        </w:rPr>
        <w:t>（</w:t>
      </w:r>
      <w:r>
        <w:t>3</w:t>
      </w:r>
      <w:r>
        <w:rPr>
          <w:rFonts w:hint="eastAsia"/>
        </w:rPr>
        <w:t>）为实现绩效目标制定的制度、采取的措施等，包括项目管理制度、财务管理制度和绩效跟踪管理措施等。</w:t>
      </w:r>
    </w:p>
    <w:p>
      <w:pPr>
        <w:pStyle w:val="39"/>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pPr>
        <w:pStyle w:val="39"/>
        <w:bidi w:val="0"/>
        <w:rPr>
          <w:lang w:val="zh-CN"/>
        </w:rPr>
      </w:pPr>
      <w:r>
        <w:rPr>
          <w:rFonts w:hint="eastAsia"/>
          <w:lang w:val="zh-CN"/>
        </w:rPr>
        <w:t>（5）其他相关内容。</w:t>
      </w:r>
    </w:p>
    <w:p>
      <w:pPr>
        <w:pStyle w:val="38"/>
        <w:bidi w:val="0"/>
        <w:rPr>
          <w:rFonts w:hint="eastAsia"/>
        </w:rPr>
      </w:pPr>
      <w:bookmarkStart w:id="26" w:name="_Toc20739"/>
      <w:r>
        <w:rPr>
          <w:rFonts w:hint="eastAsia"/>
        </w:rPr>
        <w:t>（四）绩效评价指标体系</w:t>
      </w:r>
      <w:bookmarkEnd w:id="25"/>
      <w:bookmarkEnd w:id="26"/>
    </w:p>
    <w:p>
      <w:pPr>
        <w:pStyle w:val="39"/>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ru-RU"/>
        </w:rPr>
        <w:t>决策指标</w:t>
      </w:r>
      <w:r>
        <w:rPr>
          <w:rFonts w:hint="eastAsia"/>
          <w:lang w:val="zh-CN"/>
        </w:rPr>
        <w:t>”“过程指标”“产出指标”“效益指标”4个一级评价指标、10个二级评价指标、1</w:t>
      </w:r>
      <w:r>
        <w:rPr>
          <w:rFonts w:hint="eastAsia"/>
          <w:lang w:val="en-US"/>
        </w:rPr>
        <w:t>7</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39"/>
        <w:bidi w:val="0"/>
        <w:rPr>
          <w:lang w:val="ru-RU"/>
        </w:rPr>
      </w:pPr>
      <w:r>
        <w:rPr>
          <w:rFonts w:hint="eastAsia"/>
          <w:lang w:val="ru-RU"/>
        </w:rPr>
        <w:t>1</w:t>
      </w:r>
      <w:r>
        <w:rPr>
          <w:rFonts w:hint="eastAsia"/>
          <w:lang w:val="en-US"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39"/>
        <w:bidi w:val="0"/>
      </w:pPr>
      <w:r>
        <w:rPr>
          <w:rFonts w:hint="eastAsia"/>
        </w:rPr>
        <w:t>2</w:t>
      </w:r>
      <w:r>
        <w:rPr>
          <w:rFonts w:hint="eastAsia"/>
          <w:lang w:val="en-US" w:eastAsia="zh-CN"/>
        </w:rPr>
        <w:t>.</w:t>
      </w:r>
      <w:r>
        <w:rPr>
          <w:rFonts w:hint="eastAsia"/>
        </w:rPr>
        <w:t>过程指标：包含资金管理和组织实施，主要考核项目资金到位率、预算执行率、资金使用合规性以及制度建设的健全性、执行的有效性以及程序实施的规范性等。</w:t>
      </w:r>
    </w:p>
    <w:p>
      <w:pPr>
        <w:pStyle w:val="39"/>
        <w:bidi w:val="0"/>
      </w:pPr>
      <w:r>
        <w:rPr>
          <w:rFonts w:hint="eastAsia"/>
        </w:rPr>
        <w:t>3</w:t>
      </w:r>
      <w:r>
        <w:rPr>
          <w:rFonts w:hint="eastAsia"/>
          <w:lang w:val="en-US" w:eastAsia="zh-CN"/>
        </w:rPr>
        <w:t>.</w:t>
      </w:r>
      <w:r>
        <w:rPr>
          <w:rFonts w:hint="eastAsia"/>
        </w:rPr>
        <w:t>产出指标：包含产出数量、产出质量、产出时效和产出成本，对各项具体指标完成情况进行定性及定量分析评价。</w:t>
      </w:r>
    </w:p>
    <w:p>
      <w:pPr>
        <w:pStyle w:val="39"/>
        <w:bidi w:val="0"/>
        <w:rPr>
          <w:lang w:val="zh-CN"/>
        </w:rPr>
      </w:pPr>
      <w:r>
        <w:rPr>
          <w:rFonts w:hint="eastAsia"/>
        </w:rPr>
        <w:t>4</w:t>
      </w:r>
      <w:r>
        <w:rPr>
          <w:rFonts w:hint="eastAsia"/>
          <w:lang w:val="en-US" w:eastAsia="zh-CN"/>
        </w:rPr>
        <w:t>.</w:t>
      </w:r>
      <w:r>
        <w:rPr>
          <w:rFonts w:hint="eastAsia"/>
        </w:rPr>
        <w:t>效益指标：</w:t>
      </w:r>
      <w:r>
        <w:rPr>
          <w:rFonts w:hint="eastAsia"/>
          <w:lang w:val="zh-CN"/>
        </w:rPr>
        <w:t>包含社会效益</w:t>
      </w:r>
      <w:r>
        <w:rPr>
          <w:rFonts w:hint="eastAsia"/>
          <w:lang w:val="en-US"/>
        </w:rPr>
        <w:t>及</w:t>
      </w:r>
      <w:r>
        <w:rPr>
          <w:rFonts w:hint="eastAsia"/>
        </w:rPr>
        <w:t>可持续影响</w:t>
      </w:r>
      <w:r>
        <w:rPr>
          <w:rFonts w:hint="eastAsia"/>
          <w:lang w:val="zh-CN"/>
        </w:rPr>
        <w:t>，主要反映和考核项目实施所产生的效益。</w:t>
      </w:r>
    </w:p>
    <w:p>
      <w:pPr>
        <w:pStyle w:val="39"/>
        <w:bidi w:val="0"/>
        <w:rPr>
          <w:lang w:val="zh-CN"/>
        </w:rPr>
      </w:pPr>
      <w:r>
        <w:rPr>
          <w:rFonts w:hint="eastAsia"/>
          <w:lang w:val="zh-CN"/>
        </w:rPr>
        <w:t>指标体系和评分标准参见附表2《</w:t>
      </w:r>
      <w:r>
        <w:rPr>
          <w:rFonts w:hint="eastAsia"/>
          <w:lang w:val="en-US"/>
        </w:rPr>
        <w:t>遵化市交通运输局2022年城乡客运公交一体化改造项目</w:t>
      </w:r>
      <w:r>
        <w:rPr>
          <w:rFonts w:hint="eastAsia"/>
          <w:lang w:val="zh-CN"/>
        </w:rPr>
        <w:t>绩效评价指标表》。</w:t>
      </w:r>
    </w:p>
    <w:p>
      <w:pPr>
        <w:pStyle w:val="38"/>
        <w:bidi w:val="0"/>
        <w:rPr>
          <w:rFonts w:hint="eastAsia"/>
        </w:rPr>
      </w:pPr>
      <w:bookmarkStart w:id="27" w:name="_Toc29302684"/>
      <w:bookmarkStart w:id="28" w:name="_Toc22723"/>
      <w:bookmarkStart w:id="29" w:name="_Toc29302685"/>
      <w:r>
        <w:rPr>
          <w:rFonts w:hint="eastAsia"/>
        </w:rPr>
        <w:t>（五）绩效评价原则、评价方法</w:t>
      </w:r>
      <w:bookmarkEnd w:id="27"/>
      <w:bookmarkEnd w:id="28"/>
    </w:p>
    <w:p>
      <w:pPr>
        <w:pStyle w:val="39"/>
        <w:bidi w:val="0"/>
        <w:rPr>
          <w:lang w:val="zh-CN"/>
        </w:rPr>
      </w:pPr>
      <w:r>
        <w:rPr>
          <w:rFonts w:hint="eastAsia"/>
          <w:lang w:val="zh-CN"/>
        </w:rPr>
        <w:t>1</w:t>
      </w:r>
      <w:r>
        <w:rPr>
          <w:rFonts w:hint="eastAsia"/>
          <w:lang w:val="en-US"/>
        </w:rPr>
        <w:t>.</w:t>
      </w:r>
      <w:r>
        <w:rPr>
          <w:rFonts w:hint="eastAsia"/>
          <w:lang w:val="zh-CN"/>
        </w:rPr>
        <w:t>绩效评价原则</w:t>
      </w:r>
    </w:p>
    <w:p>
      <w:pPr>
        <w:pStyle w:val="39"/>
        <w:bidi w:val="0"/>
      </w:pPr>
      <w:r>
        <w:rPr>
          <w:rFonts w:hint="eastAsia"/>
        </w:rPr>
        <w:t>科学规范：绩效评价注重财政资金支出的经济性、效率性和有效性，严格执行规定的程序，采用定量与定性分析相结合的方法。</w:t>
      </w:r>
    </w:p>
    <w:p>
      <w:pPr>
        <w:pStyle w:val="39"/>
        <w:bidi w:val="0"/>
      </w:pPr>
      <w:r>
        <w:rPr>
          <w:rFonts w:hint="eastAsia"/>
        </w:rPr>
        <w:t>公正公开：绩效评价客观、公正，标准统一、资料可靠，依法公开并接受监督。</w:t>
      </w:r>
    </w:p>
    <w:p>
      <w:pPr>
        <w:pStyle w:val="39"/>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39"/>
        <w:bidi w:val="0"/>
        <w:rPr>
          <w:lang w:val="zh-CN"/>
        </w:rPr>
      </w:pPr>
      <w:r>
        <w:rPr>
          <w:rFonts w:hint="eastAsia"/>
          <w:lang w:val="zh-CN"/>
        </w:rPr>
        <w:t>2</w:t>
      </w:r>
      <w:r>
        <w:rPr>
          <w:rFonts w:hint="eastAsia"/>
          <w:lang w:val="en-US"/>
        </w:rPr>
        <w:t>.</w:t>
      </w:r>
      <w:r>
        <w:rPr>
          <w:rFonts w:hint="eastAsia"/>
          <w:lang w:val="zh-CN"/>
        </w:rPr>
        <w:t>绩效评价方法</w:t>
      </w:r>
    </w:p>
    <w:p>
      <w:pPr>
        <w:pStyle w:val="39"/>
        <w:bidi w:val="0"/>
      </w:pPr>
      <w:r>
        <w:t>成本效益分析法：在绩效评价指标分析过程中，将项目实施投入的资金、人员及技术力量等与项目产出、效益进行关联性分析，以判断项目投入与产出是否成比例。</w:t>
      </w:r>
    </w:p>
    <w:p>
      <w:pPr>
        <w:pStyle w:val="39"/>
        <w:bidi w:val="0"/>
      </w:pPr>
      <w:bookmarkStart w:id="30" w:name="_bookmark14"/>
      <w:bookmarkEnd w:id="30"/>
      <w:r>
        <w:t>比较分析法</w:t>
      </w:r>
      <w:r>
        <w:rPr>
          <w:rFonts w:hint="eastAsia"/>
        </w:rPr>
        <w:t>：</w:t>
      </w:r>
      <w:r>
        <w:t>通过对项目的实际产出和取得效益与计 划标准及设定目标进行对比，判断项目的绩效产出和效益的实现程度。</w:t>
      </w:r>
    </w:p>
    <w:p>
      <w:pPr>
        <w:pStyle w:val="39"/>
        <w:bidi w:val="0"/>
      </w:pPr>
      <w:r>
        <w:t>因素分析法</w:t>
      </w:r>
      <w:r>
        <w:rPr>
          <w:rFonts w:hint="eastAsia"/>
        </w:rPr>
        <w:t>：</w:t>
      </w:r>
      <w:r>
        <w:t>在对共性指标的评价时，主要通过对设置考察点进行因素分析，来确定对应指标的实现程度和存在问题。</w:t>
      </w:r>
    </w:p>
    <w:p>
      <w:pPr>
        <w:pStyle w:val="39"/>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39"/>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8"/>
        <w:bidi w:val="0"/>
        <w:rPr>
          <w:rFonts w:hint="eastAsia"/>
        </w:rPr>
      </w:pPr>
      <w:bookmarkStart w:id="31" w:name="_Toc4078"/>
      <w:r>
        <w:rPr>
          <w:rFonts w:hint="eastAsia"/>
        </w:rPr>
        <w:t>（六）绩效评价工作过程</w:t>
      </w:r>
      <w:bookmarkEnd w:id="29"/>
      <w:bookmarkEnd w:id="31"/>
    </w:p>
    <w:p>
      <w:pPr>
        <w:pStyle w:val="39"/>
        <w:bidi w:val="0"/>
        <w:rPr>
          <w:lang w:val="zh-CN"/>
        </w:rPr>
      </w:pPr>
      <w:bookmarkStart w:id="32" w:name="_Toc56500100"/>
      <w:bookmarkStart w:id="33" w:name="_Toc35502614"/>
      <w:bookmarkStart w:id="34" w:name="_Toc29302686"/>
      <w:r>
        <w:rPr>
          <w:rFonts w:hint="eastAsia"/>
          <w:lang w:val="zh-CN"/>
        </w:rPr>
        <w:t>1</w:t>
      </w:r>
      <w:r>
        <w:rPr>
          <w:rFonts w:hint="eastAsia"/>
          <w:lang w:val="en-US"/>
        </w:rPr>
        <w:t>.</w:t>
      </w:r>
      <w:r>
        <w:rPr>
          <w:rFonts w:hint="eastAsia"/>
          <w:lang w:val="zh-CN"/>
        </w:rPr>
        <w:t>评价前期准备阶段</w:t>
      </w:r>
      <w:bookmarkEnd w:id="32"/>
      <w:bookmarkEnd w:id="33"/>
    </w:p>
    <w:p>
      <w:pPr>
        <w:pStyle w:val="39"/>
        <w:bidi w:val="0"/>
        <w:rPr>
          <w:lang w:val="zh-CN"/>
        </w:rPr>
      </w:pPr>
      <w:r>
        <w:rPr>
          <w:rFonts w:hint="eastAsia"/>
          <w:lang w:val="zh-CN"/>
        </w:rPr>
        <w:t>（1）财政局召开三方会议并介绍绩效评价相关情况，向</w:t>
      </w:r>
      <w:r>
        <w:rPr>
          <w:rFonts w:hint="eastAsia"/>
          <w:lang w:val="en-US"/>
        </w:rPr>
        <w:t>交通局</w:t>
      </w:r>
      <w:r>
        <w:rPr>
          <w:rFonts w:hint="eastAsia"/>
          <w:lang w:val="zh-CN"/>
        </w:rPr>
        <w:t>下达《绩效评价通知书》，事务所向</w:t>
      </w:r>
      <w:r>
        <w:rPr>
          <w:rFonts w:hint="eastAsia"/>
          <w:lang w:val="en-US"/>
        </w:rPr>
        <w:t>交通局</w:t>
      </w:r>
      <w:r>
        <w:rPr>
          <w:rFonts w:hint="eastAsia"/>
          <w:lang w:val="zh-CN"/>
        </w:rPr>
        <w:t>发放《绩效评价资料清单》并确定资料提交时间。</w:t>
      </w:r>
    </w:p>
    <w:p>
      <w:pPr>
        <w:pStyle w:val="39"/>
        <w:bidi w:val="0"/>
        <w:rPr>
          <w:lang w:val="zh-CN"/>
        </w:rPr>
      </w:pPr>
      <w:r>
        <w:rPr>
          <w:rFonts w:hint="eastAsia"/>
          <w:lang w:val="zh-CN"/>
        </w:rPr>
        <w:t>（2）成立评价组，明确工作范围和职责，提出本次绩效评价的要求，初步确定评价的总体时间安排。</w:t>
      </w:r>
    </w:p>
    <w:p>
      <w:pPr>
        <w:pStyle w:val="39"/>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39"/>
        <w:bidi w:val="0"/>
        <w:rPr>
          <w:lang w:val="zh-CN"/>
        </w:rPr>
      </w:pPr>
      <w:bookmarkStart w:id="35" w:name="_Toc35502615"/>
      <w:bookmarkStart w:id="36" w:name="_Toc56500101"/>
      <w:r>
        <w:rPr>
          <w:rFonts w:hint="eastAsia"/>
          <w:lang w:val="zh-CN"/>
        </w:rPr>
        <w:t>2</w:t>
      </w:r>
      <w:r>
        <w:rPr>
          <w:rFonts w:hint="eastAsia"/>
          <w:lang w:val="en-US"/>
        </w:rPr>
        <w:t>.</w:t>
      </w:r>
      <w:r>
        <w:rPr>
          <w:rFonts w:hint="eastAsia"/>
          <w:lang w:val="zh-CN"/>
        </w:rPr>
        <w:t>评价指标体系设计阶段</w:t>
      </w:r>
      <w:bookmarkEnd w:id="35"/>
      <w:bookmarkEnd w:id="36"/>
    </w:p>
    <w:p>
      <w:pPr>
        <w:pStyle w:val="39"/>
        <w:bidi w:val="0"/>
      </w:pPr>
      <w:bookmarkStart w:id="37" w:name="_Toc56500102"/>
      <w:bookmarkStart w:id="38"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39"/>
        <w:bidi w:val="0"/>
      </w:pPr>
      <w:r>
        <w:rPr>
          <w:rFonts w:hint="eastAsia"/>
        </w:rPr>
        <w:t>（</w:t>
      </w:r>
      <w:r>
        <w:t>2</w:t>
      </w:r>
      <w:r>
        <w:rPr>
          <w:rFonts w:hint="eastAsia"/>
        </w:rPr>
        <w:t>）拟定的指标体系，在征求项目单位意见后进行补充和完善。</w:t>
      </w:r>
    </w:p>
    <w:p>
      <w:pPr>
        <w:pStyle w:val="39"/>
        <w:bidi w:val="0"/>
        <w:rPr>
          <w:lang w:val="zh-CN"/>
        </w:rPr>
      </w:pPr>
      <w:r>
        <w:rPr>
          <w:rFonts w:hint="eastAsia"/>
          <w:lang w:val="zh-CN"/>
        </w:rPr>
        <w:t>3</w:t>
      </w:r>
      <w:r>
        <w:rPr>
          <w:rFonts w:hint="eastAsia"/>
          <w:lang w:val="en-US"/>
        </w:rPr>
        <w:t>.</w:t>
      </w:r>
      <w:r>
        <w:rPr>
          <w:rFonts w:hint="eastAsia"/>
          <w:lang w:val="zh-CN"/>
        </w:rPr>
        <w:t>评价实施阶段</w:t>
      </w:r>
      <w:bookmarkEnd w:id="37"/>
      <w:bookmarkEnd w:id="38"/>
    </w:p>
    <w:p>
      <w:pPr>
        <w:pStyle w:val="39"/>
        <w:bidi w:val="0"/>
      </w:pPr>
      <w:r>
        <w:rPr>
          <w:rFonts w:hint="eastAsia"/>
        </w:rPr>
        <w:t>（</w:t>
      </w:r>
      <w:r>
        <w:t>1</w:t>
      </w:r>
      <w:r>
        <w:rPr>
          <w:rFonts w:hint="eastAsia"/>
        </w:rPr>
        <w:t>）对项目单位提交的项目资料进行汇总、整理</w:t>
      </w:r>
      <w:r>
        <w:rPr>
          <w:rFonts w:hint="eastAsia"/>
          <w:lang w:eastAsia="zh-CN"/>
        </w:rPr>
        <w:t>，</w:t>
      </w:r>
      <w:r>
        <w:rPr>
          <w:rFonts w:hint="eastAsia"/>
        </w:rPr>
        <w:t>检查、核实项目资料中的数据后，确定检查重点和疑点问题、检查方法及具体时间安排等。</w:t>
      </w:r>
    </w:p>
    <w:p>
      <w:pPr>
        <w:pStyle w:val="39"/>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39"/>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39"/>
        <w:bidi w:val="0"/>
        <w:rPr>
          <w:lang w:val="zh-CN"/>
        </w:rPr>
      </w:pPr>
      <w:bookmarkStart w:id="39" w:name="_Toc56500103"/>
      <w:bookmarkStart w:id="40" w:name="_Toc35502617"/>
      <w:r>
        <w:rPr>
          <w:rFonts w:hint="eastAsia"/>
          <w:lang w:val="zh-CN"/>
        </w:rPr>
        <w:t>4</w:t>
      </w:r>
      <w:r>
        <w:rPr>
          <w:rFonts w:hint="eastAsia"/>
          <w:lang w:val="en-US"/>
        </w:rPr>
        <w:t>.</w:t>
      </w:r>
      <w:r>
        <w:rPr>
          <w:rFonts w:hint="eastAsia"/>
          <w:lang w:val="zh-CN"/>
        </w:rPr>
        <w:t>评价报告阶段</w:t>
      </w:r>
      <w:bookmarkEnd w:id="39"/>
      <w:bookmarkEnd w:id="40"/>
    </w:p>
    <w:p>
      <w:pPr>
        <w:pStyle w:val="39"/>
        <w:bidi w:val="0"/>
        <w:rPr>
          <w:lang w:val="zh-CN"/>
        </w:rPr>
      </w:pPr>
      <w:r>
        <w:rPr>
          <w:rFonts w:hint="eastAsia"/>
          <w:lang w:val="zh-CN"/>
        </w:rPr>
        <w:t>（1）对项目的相关资料进行分析汇总。</w:t>
      </w:r>
    </w:p>
    <w:p>
      <w:pPr>
        <w:pStyle w:val="39"/>
        <w:bidi w:val="0"/>
        <w:rPr>
          <w:lang w:val="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遵化市城乡客运公交一体化改造项目</w:t>
      </w:r>
      <w:r>
        <w:rPr>
          <w:rFonts w:hint="eastAsia"/>
          <w:lang w:val="zh-CN"/>
        </w:rPr>
        <w:t xml:space="preserve">绩效评价报告（包括文字和表格部分）。   </w:t>
      </w:r>
    </w:p>
    <w:p>
      <w:pPr>
        <w:pStyle w:val="37"/>
        <w:bidi w:val="0"/>
        <w:rPr>
          <w:rFonts w:hint="eastAsia"/>
        </w:rPr>
      </w:pPr>
      <w:bookmarkStart w:id="41" w:name="_Toc12057"/>
      <w:r>
        <w:rPr>
          <w:rFonts w:hint="eastAsia"/>
        </w:rPr>
        <w:t>四、</w:t>
      </w:r>
      <w:bookmarkEnd w:id="34"/>
      <w:r>
        <w:rPr>
          <w:rFonts w:hint="eastAsia"/>
        </w:rPr>
        <w:t>项目绩效情况</w:t>
      </w:r>
      <w:bookmarkEnd w:id="41"/>
    </w:p>
    <w:p>
      <w:pPr>
        <w:pStyle w:val="38"/>
        <w:bidi w:val="0"/>
        <w:rPr>
          <w:rFonts w:hint="eastAsia"/>
        </w:rPr>
      </w:pPr>
      <w:bookmarkStart w:id="42" w:name="_Toc13246"/>
      <w:r>
        <w:rPr>
          <w:rFonts w:hint="eastAsia"/>
        </w:rPr>
        <w:t>（一）项目产出</w:t>
      </w:r>
      <w:bookmarkEnd w:id="42"/>
    </w:p>
    <w:p>
      <w:pPr>
        <w:pStyle w:val="39"/>
        <w:bidi w:val="0"/>
        <w:rPr>
          <w:rFonts w:hint="default"/>
          <w:lang w:val="en-US"/>
        </w:rPr>
      </w:pPr>
      <w:r>
        <w:rPr>
          <w:rFonts w:hint="eastAsia"/>
          <w:lang w:val="en-US" w:eastAsia="zh-CN"/>
        </w:rPr>
        <w:t>截至2022年底，唐运集团五公司完成城乡客运公交一体化改造所涉及车辆收购共66辆，其中城区30公里以内农村客运班车18辆，城市公交48辆。支付城乡客运公交一体化改造收购补偿资金1,104.9769万元，其中：停运停业补偿326.70万元；驾驶员补偿214.6452万元；乘务员补偿214.6452万元；车辆残值282.9865万元（已评估）；车主奖励66.00万元。</w:t>
      </w:r>
    </w:p>
    <w:p>
      <w:pPr>
        <w:pStyle w:val="38"/>
        <w:bidi w:val="0"/>
        <w:rPr>
          <w:rFonts w:hint="eastAsia"/>
        </w:rPr>
      </w:pPr>
      <w:bookmarkStart w:id="43" w:name="_Toc11984"/>
      <w:r>
        <w:rPr>
          <w:rFonts w:hint="eastAsia"/>
        </w:rPr>
        <w:t>（二）项目效益</w:t>
      </w:r>
      <w:bookmarkEnd w:id="43"/>
    </w:p>
    <w:p>
      <w:pPr>
        <w:pStyle w:val="39"/>
        <w:bidi w:val="0"/>
        <w:rPr>
          <w:rFonts w:hint="eastAsia"/>
          <w:lang w:val="en-US"/>
        </w:rPr>
      </w:pPr>
      <w:r>
        <w:rPr>
          <w:rFonts w:hint="eastAsia"/>
          <w:lang w:val="en-US"/>
        </w:rPr>
        <w:t xml:space="preserve"> 遵化市交通运输局2022年城乡客运公交一体化改造项目的实施，能够更好地满足城乡居民的出行需求；加快了构建市、乡镇、行政村、自然村之间完善的城乡公交客运网络，促进了城乡经济发展；在一定程度上能够降低尾气污染物排放，减少空气污染的程度，利于改善人民的健康状况和环境质量。</w:t>
      </w:r>
    </w:p>
    <w:p>
      <w:pPr>
        <w:pStyle w:val="37"/>
        <w:bidi w:val="0"/>
      </w:pPr>
      <w:bookmarkStart w:id="44" w:name="_Toc21577"/>
      <w:r>
        <w:rPr>
          <w:rFonts w:hint="eastAsia"/>
        </w:rPr>
        <w:t>五、综合评价情况及评价结论</w:t>
      </w:r>
      <w:bookmarkEnd w:id="44"/>
    </w:p>
    <w:p>
      <w:pPr>
        <w:pStyle w:val="39"/>
        <w:bidi w:val="0"/>
      </w:pPr>
      <w:r>
        <w:rPr>
          <w:rFonts w:hint="eastAsia"/>
          <w:lang w:val="zh-CN"/>
        </w:rPr>
        <w:t>根据遵化市城乡客运公交一体化改造项目绩效评价指标和相关数据，对照评分标准和绩效分值，通过对决策、过程、产出与效益四个方面的逐项分析评价，遵化市城乡客运公交一体化改造项目绩效评价得分</w:t>
      </w:r>
      <w:r>
        <w:rPr>
          <w:rFonts w:hint="eastAsia"/>
          <w:lang w:val="en-US"/>
        </w:rPr>
        <w:t>75.50</w:t>
      </w:r>
      <w:r>
        <w:rPr>
          <w:rFonts w:hint="eastAsia"/>
          <w:lang w:val="zh-CN"/>
        </w:rPr>
        <w:t>分，评价等级为“</w:t>
      </w:r>
      <w:r>
        <w:rPr>
          <w:rFonts w:hint="eastAsia"/>
          <w:lang w:val="en-US"/>
        </w:rPr>
        <w:t>中</w:t>
      </w:r>
      <w:r>
        <w:rPr>
          <w:rFonts w:hint="eastAsia"/>
          <w:lang w:val="zh-CN"/>
        </w:rPr>
        <w:t>”。具体情况如下：</w:t>
      </w:r>
    </w:p>
    <w:p>
      <w:pPr>
        <w:pStyle w:val="40"/>
        <w:bidi w:val="0"/>
      </w:pPr>
      <w:r>
        <w:rPr>
          <w:rFonts w:hint="eastAsia"/>
          <w:lang w:eastAsia="zh-CN"/>
        </w:rPr>
        <w:t>遵化市城乡客运公交一体化改造</w:t>
      </w:r>
      <w:r>
        <w:rPr>
          <w:rFonts w:hint="eastAsia"/>
          <w:lang w:val="zh-CN"/>
        </w:rPr>
        <w:t>项目</w:t>
      </w:r>
    </w:p>
    <w:p>
      <w:pPr>
        <w:pStyle w:val="40"/>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rPr>
              <w:t>得分率</w:t>
            </w:r>
            <w:r>
              <w:rPr>
                <w:rFonts w:hint="eastAsia" w:ascii="仿宋" w:hAnsi="仿宋" w:eastAsia="仿宋" w:cs="宋体"/>
                <w:b/>
                <w:color w:val="auto"/>
                <w:sz w:val="24"/>
                <w:szCs w:val="24"/>
                <w:lang w:eastAsia="zh-CN"/>
              </w:rPr>
              <w:t>（</w:t>
            </w:r>
            <w:r>
              <w:rPr>
                <w:rFonts w:hint="eastAsia" w:ascii="仿宋" w:hAnsi="仿宋" w:eastAsia="仿宋" w:cs="宋体"/>
                <w:b/>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19.90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28.60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79.44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highlight w:val="none"/>
                <w:lang w:bidi="zh-CN"/>
              </w:rPr>
            </w:pPr>
            <w:r>
              <w:rPr>
                <w:rFonts w:hint="eastAsia" w:ascii="仿宋" w:hAnsi="仿宋" w:eastAsia="仿宋" w:cs="仿宋_GB2312"/>
                <w:color w:val="auto"/>
                <w:sz w:val="24"/>
                <w:szCs w:val="24"/>
                <w:highlight w:val="none"/>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highlight w:val="none"/>
                <w:lang w:val="en-US" w:bidi="zh-CN"/>
              </w:rPr>
            </w:pPr>
            <w:r>
              <w:rPr>
                <w:rFonts w:hint="eastAsia" w:ascii="仿宋" w:hAnsi="仿宋" w:eastAsia="仿宋" w:cs="仿宋_GB2312"/>
                <w:color w:val="auto"/>
                <w:sz w:val="24"/>
                <w:szCs w:val="24"/>
                <w:highlight w:val="none"/>
                <w:lang w:val="en-US" w:bidi="zh-CN"/>
              </w:rPr>
              <w:t>18.00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highlight w:val="none"/>
              </w:rPr>
            </w:pPr>
            <w:r>
              <w:rPr>
                <w:rFonts w:hint="eastAsia" w:ascii="仿宋" w:hAnsi="仿宋" w:eastAsia="仿宋" w:cs="仿宋_GB2312"/>
                <w:color w:val="auto"/>
                <w:sz w:val="24"/>
                <w:szCs w:val="24"/>
                <w:highlight w:val="none"/>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default" w:ascii="仿宋" w:hAnsi="仿宋" w:eastAsia="仿宋" w:cs="宋体"/>
                <w:bCs/>
                <w:color w:val="auto"/>
                <w:sz w:val="24"/>
                <w:szCs w:val="24"/>
                <w:highlight w:val="none"/>
                <w:lang w:val="en-US" w:eastAsia="zh-CN"/>
              </w:rPr>
              <w:fldChar w:fldCharType="begin"/>
            </w:r>
            <w:r>
              <w:rPr>
                <w:rFonts w:hint="default" w:ascii="仿宋" w:hAnsi="仿宋" w:eastAsia="仿宋" w:cs="宋体"/>
                <w:bCs/>
                <w:color w:val="auto"/>
                <w:sz w:val="24"/>
                <w:szCs w:val="24"/>
                <w:highlight w:val="none"/>
                <w:lang w:val="en-US" w:eastAsia="zh-CN"/>
              </w:rPr>
              <w:instrText xml:space="preserve"> = sum(C2:C5) \* MERGEFORMAT </w:instrText>
            </w:r>
            <w:r>
              <w:rPr>
                <w:rFonts w:hint="default" w:ascii="仿宋" w:hAnsi="仿宋" w:eastAsia="仿宋" w:cs="宋体"/>
                <w:bCs/>
                <w:color w:val="auto"/>
                <w:sz w:val="24"/>
                <w:szCs w:val="24"/>
                <w:highlight w:val="none"/>
                <w:lang w:val="en-US" w:eastAsia="zh-CN"/>
              </w:rPr>
              <w:fldChar w:fldCharType="separate"/>
            </w:r>
            <w:r>
              <w:rPr>
                <w:rFonts w:hint="default" w:ascii="仿宋" w:hAnsi="仿宋" w:eastAsia="仿宋" w:cs="宋体"/>
                <w:bCs/>
                <w:color w:val="auto"/>
                <w:sz w:val="24"/>
                <w:szCs w:val="24"/>
                <w:highlight w:val="none"/>
                <w:lang w:val="en-US" w:eastAsia="zh-CN"/>
              </w:rPr>
              <w:t>75.5</w:t>
            </w:r>
            <w:r>
              <w:rPr>
                <w:rFonts w:hint="default" w:ascii="仿宋" w:hAnsi="仿宋" w:eastAsia="仿宋" w:cs="宋体"/>
                <w:bCs/>
                <w:color w:val="auto"/>
                <w:sz w:val="24"/>
                <w:szCs w:val="24"/>
                <w:highlight w:val="none"/>
                <w:lang w:val="en-US" w:eastAsia="zh-CN"/>
              </w:rPr>
              <w:fldChar w:fldCharType="end"/>
            </w:r>
            <w:r>
              <w:rPr>
                <w:rFonts w:hint="eastAsia" w:ascii="仿宋" w:hAnsi="仿宋" w:eastAsia="仿宋" w:cs="宋体"/>
                <w:bCs/>
                <w:color w:val="auto"/>
                <w:sz w:val="24"/>
                <w:szCs w:val="24"/>
                <w:highlight w:val="none"/>
                <w:lang w:val="en-US" w:eastAsia="zh-CN"/>
              </w:rPr>
              <w:t>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val="en-US" w:eastAsia="zh-CN"/>
              </w:rPr>
              <w:t>75.50</w:t>
            </w:r>
          </w:p>
        </w:tc>
      </w:tr>
    </w:tbl>
    <w:p>
      <w:pPr>
        <w:autoSpaceDE/>
        <w:autoSpaceDN/>
        <w:adjustRightInd/>
        <w:jc w:val="both"/>
        <w:rPr>
          <w:rFonts w:ascii="Calibri" w:hAnsi="Calibri"/>
          <w:color w:val="auto"/>
          <w:kern w:val="2"/>
          <w:sz w:val="21"/>
          <w:szCs w:val="22"/>
          <w:highlight w:val="none"/>
        </w:rPr>
      </w:pPr>
    </w:p>
    <w:p>
      <w:pPr>
        <w:pStyle w:val="37"/>
        <w:bidi w:val="0"/>
        <w:rPr>
          <w:rFonts w:hint="eastAsia"/>
        </w:rPr>
      </w:pPr>
      <w:bookmarkStart w:id="45" w:name="_Toc19139"/>
      <w:r>
        <w:rPr>
          <w:rFonts w:hint="eastAsia"/>
        </w:rPr>
        <w:t>六、存在的主要问题</w:t>
      </w:r>
      <w:bookmarkEnd w:id="45"/>
    </w:p>
    <w:p>
      <w:pPr>
        <w:pStyle w:val="38"/>
        <w:bidi w:val="0"/>
        <w:rPr>
          <w:rFonts w:hint="default"/>
          <w:lang w:val="en-US" w:eastAsia="zh-CN"/>
        </w:rPr>
      </w:pPr>
      <w:bookmarkStart w:id="46" w:name="_Toc29140"/>
      <w:r>
        <w:rPr>
          <w:rFonts w:hint="eastAsia"/>
          <w:lang w:val="en-US" w:eastAsia="zh-CN"/>
        </w:rPr>
        <w:t>（一）奖励金发放不合规</w:t>
      </w:r>
      <w:bookmarkEnd w:id="46"/>
    </w:p>
    <w:p>
      <w:pPr>
        <w:pStyle w:val="39"/>
        <w:bidi w:val="0"/>
        <w:rPr>
          <w:rFonts w:hint="eastAsia"/>
          <w:lang w:val="en-US"/>
        </w:rPr>
      </w:pPr>
      <w:r>
        <w:rPr>
          <w:rFonts w:hint="eastAsia"/>
          <w:lang w:val="en-US" w:eastAsia="zh-CN"/>
        </w:rPr>
        <w:t>《遵化市</w:t>
      </w:r>
      <w:r>
        <w:rPr>
          <w:rFonts w:hint="eastAsia"/>
          <w:lang w:val="en-US"/>
        </w:rPr>
        <w:t>城乡客运公交一体化改造退出经营客车收购补偿方案</w:t>
      </w:r>
      <w:r>
        <w:rPr>
          <w:rFonts w:hint="eastAsia"/>
          <w:lang w:val="en-US" w:eastAsia="zh-CN"/>
        </w:rPr>
        <w:t>》</w:t>
      </w:r>
      <w:r>
        <w:rPr>
          <w:rFonts w:hint="eastAsia"/>
          <w:lang w:val="en-US"/>
        </w:rPr>
        <w:t>规定：“在公告确定的收车开始日起三日内签订协议并交车的车辆承包人给予一次性奖励1万元，第4-6天签订协议并交车的给予奖励6千元，第7-9天签订协议并交车的给予奖励3千元，之后签订协议并交车的不予奖励。”</w:t>
      </w:r>
    </w:p>
    <w:p>
      <w:pPr>
        <w:pStyle w:val="39"/>
        <w:bidi w:val="0"/>
        <w:rPr>
          <w:rFonts w:hint="eastAsia"/>
          <w:lang w:val="en-US"/>
        </w:rPr>
      </w:pPr>
      <w:r>
        <w:rPr>
          <w:rFonts w:hint="eastAsia"/>
          <w:lang w:val="en-US"/>
        </w:rPr>
        <w:t>根据项目单位提供的相关资料，显示</w:t>
      </w:r>
      <w:r>
        <w:rPr>
          <w:rFonts w:hint="default"/>
          <w:lang w:val="en-US"/>
        </w:rPr>
        <w:t>66辆农村客运班车实际经营者</w:t>
      </w:r>
      <w:r>
        <w:rPr>
          <w:rFonts w:hint="eastAsia"/>
          <w:lang w:val="en-US"/>
        </w:rPr>
        <w:t>每位获得奖励1万元，《公交改造协议》签署日期在</w:t>
      </w:r>
      <w:r>
        <w:rPr>
          <w:rFonts w:hint="default"/>
          <w:lang w:val="en-US"/>
        </w:rPr>
        <w:t>2021年12月21-23日</w:t>
      </w:r>
      <w:r>
        <w:rPr>
          <w:rFonts w:hint="eastAsia"/>
          <w:lang w:val="en-US"/>
        </w:rPr>
        <w:t>之间，2022年8月2日完成车辆移交手续，签订协议及收车日期晚于收购方案规定的享受1万元奖励的日期，经营者获得奖励不符合客车收购补偿方案的规定。</w:t>
      </w:r>
    </w:p>
    <w:p>
      <w:pPr>
        <w:pStyle w:val="38"/>
        <w:bidi w:val="0"/>
        <w:rPr>
          <w:rFonts w:hint="default"/>
          <w:lang w:val="en-US" w:eastAsia="zh-CN"/>
        </w:rPr>
      </w:pPr>
      <w:bookmarkStart w:id="47" w:name="_Toc24470"/>
      <w:r>
        <w:rPr>
          <w:rFonts w:hint="eastAsia"/>
          <w:lang w:val="en-US" w:eastAsia="zh-CN"/>
        </w:rPr>
        <w:t>（二）资金支出不合规</w:t>
      </w:r>
      <w:bookmarkEnd w:id="47"/>
    </w:p>
    <w:p>
      <w:pPr>
        <w:pStyle w:val="39"/>
        <w:bidi w:val="0"/>
        <w:rPr>
          <w:rFonts w:hint="eastAsia"/>
          <w:lang w:val="en-US"/>
        </w:rPr>
      </w:pPr>
      <w:r>
        <w:rPr>
          <w:rFonts w:hint="eastAsia"/>
          <w:lang w:val="en-US" w:eastAsia="zh-CN"/>
        </w:rPr>
        <w:t>《遵化市</w:t>
      </w:r>
      <w:r>
        <w:rPr>
          <w:rFonts w:hint="eastAsia"/>
          <w:lang w:val="en-US"/>
        </w:rPr>
        <w:t>城乡客运公交一体化改造退出经营客车收购补偿方案</w:t>
      </w:r>
      <w:r>
        <w:rPr>
          <w:rFonts w:hint="eastAsia"/>
          <w:lang w:val="en-US" w:eastAsia="zh-CN"/>
        </w:rPr>
        <w:t>》</w:t>
      </w:r>
      <w:r>
        <w:rPr>
          <w:rFonts w:hint="eastAsia"/>
          <w:lang w:val="en-US"/>
        </w:rPr>
        <w:t>规定：“对该承包人所承包客运车辆的驾驶员依据</w:t>
      </w:r>
      <w:r>
        <w:rPr>
          <w:rFonts w:hint="eastAsia"/>
          <w:lang w:val="en-US" w:eastAsia="zh-CN"/>
        </w:rPr>
        <w:t>《中华人民共和国劳动合同法》</w:t>
      </w:r>
      <w:r>
        <w:rPr>
          <w:rFonts w:hint="eastAsia"/>
          <w:lang w:val="en-US"/>
        </w:rPr>
        <w:t>的规定，给予其9个月的经济补偿，标准以遵化市2020年城镇居民人均可支配收入43362元为基数，每名驾驶员补偿约为32522元”“对该承包人所承包客运车辆的乘务员依据</w:t>
      </w:r>
      <w:r>
        <w:rPr>
          <w:rFonts w:hint="eastAsia"/>
          <w:lang w:val="en-US" w:eastAsia="zh-CN"/>
        </w:rPr>
        <w:t>《中华人民共和国劳动合同法》</w:t>
      </w:r>
      <w:bookmarkStart w:id="50" w:name="_GoBack"/>
      <w:bookmarkEnd w:id="50"/>
      <w:r>
        <w:rPr>
          <w:rFonts w:hint="eastAsia"/>
          <w:lang w:val="en-US"/>
        </w:rPr>
        <w:t>的规定，给予其9个月的经济补偿，标准以遵化市2020年城镇居民人均可支配收入43362元为基数，每名乘务员补偿约为32522元”。</w:t>
      </w:r>
    </w:p>
    <w:p>
      <w:pPr>
        <w:pStyle w:val="39"/>
        <w:bidi w:val="0"/>
        <w:rPr>
          <w:rFonts w:hint="default"/>
          <w:lang w:val="en-US" w:eastAsia="zh-CN"/>
        </w:rPr>
      </w:pPr>
      <w:r>
        <w:rPr>
          <w:rFonts w:hint="eastAsia"/>
          <w:lang w:val="en-US" w:eastAsia="zh-CN"/>
        </w:rPr>
        <w:t>唐运集团五公司未与驾驶员、乘务员签订补偿协议，直接与经营者签订</w:t>
      </w:r>
      <w:r>
        <w:rPr>
          <w:rFonts w:hint="eastAsia"/>
          <w:lang w:val="en-US"/>
        </w:rPr>
        <w:t>《公交改造协议》，</w:t>
      </w:r>
      <w:r>
        <w:rPr>
          <w:rFonts w:hint="eastAsia"/>
          <w:lang w:val="en-US" w:eastAsia="zh-CN"/>
        </w:rPr>
        <w:t>补偿款直接支付至经营者银行卡资金，资金支持不合规。</w:t>
      </w:r>
    </w:p>
    <w:p>
      <w:pPr>
        <w:pStyle w:val="38"/>
        <w:bidi w:val="0"/>
        <w:rPr>
          <w:rFonts w:hint="eastAsia"/>
          <w:lang w:val="en-US" w:eastAsia="zh-CN"/>
        </w:rPr>
      </w:pPr>
      <w:bookmarkStart w:id="48" w:name="_Toc9758"/>
      <w:r>
        <w:rPr>
          <w:rFonts w:hint="eastAsia"/>
          <w:lang w:val="en-US" w:eastAsia="zh-CN"/>
        </w:rPr>
        <w:t>（三）管理制度不健全</w:t>
      </w:r>
      <w:bookmarkEnd w:id="48"/>
    </w:p>
    <w:p>
      <w:pPr>
        <w:pStyle w:val="39"/>
        <w:bidi w:val="0"/>
        <w:rPr>
          <w:rFonts w:hint="eastAsia"/>
          <w:lang w:val="en-US" w:eastAsia="zh-CN"/>
        </w:rPr>
      </w:pPr>
      <w:r>
        <w:rPr>
          <w:rFonts w:hint="eastAsia"/>
          <w:lang w:val="en-US" w:eastAsia="zh-CN"/>
        </w:rPr>
        <w:t>未见本项目相应的财务、业务管理制度，项目执行依据不充分。</w:t>
      </w:r>
    </w:p>
    <w:p>
      <w:pPr>
        <w:pStyle w:val="37"/>
        <w:bidi w:val="0"/>
        <w:rPr>
          <w:rFonts w:hint="eastAsia"/>
          <w:lang w:val="zh-CN"/>
        </w:rPr>
      </w:pPr>
      <w:bookmarkStart w:id="49" w:name="_Toc14608"/>
      <w:r>
        <w:rPr>
          <w:rFonts w:hint="eastAsia"/>
        </w:rPr>
        <w:t>七、意见建议</w:t>
      </w:r>
      <w:bookmarkEnd w:id="49"/>
    </w:p>
    <w:p>
      <w:pPr>
        <w:pStyle w:val="39"/>
        <w:bidi w:val="0"/>
        <w:rPr>
          <w:lang w:val="zh-CN"/>
        </w:rPr>
      </w:pPr>
      <w:r>
        <w:rPr>
          <w:rFonts w:hint="eastAsia"/>
          <w:lang w:val="en-US"/>
        </w:rPr>
        <w:t>1.</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39"/>
        <w:bidi w:val="0"/>
        <w:rPr>
          <w:rFonts w:hint="default"/>
          <w:lang w:val="en-US" w:eastAsia="zh-CN"/>
        </w:rPr>
      </w:pPr>
      <w:r>
        <w:rPr>
          <w:rFonts w:hint="eastAsia"/>
          <w:lang w:val="en-US" w:eastAsia="zh-CN"/>
        </w:rPr>
        <w:t>2.健全制度，强化管理，进一步制定、修订和完善各项规章制度，为工作的正常开展提供制度保障，做到有章可循，违章必究，促进项目实施制度化、规范化。</w:t>
      </w:r>
    </w:p>
    <w:p>
      <w:pPr>
        <w:spacing w:line="360" w:lineRule="auto"/>
        <w:ind w:firstLine="602" w:firstLineChars="200"/>
        <w:jc w:val="both"/>
        <w:textAlignment w:val="baseline"/>
        <w:rPr>
          <w:rFonts w:hint="eastAsia" w:ascii="仿宋" w:hAnsi="仿宋" w:eastAsia="仿宋" w:cs="仿宋_GB2312"/>
          <w:b/>
          <w:bCs/>
          <w:color w:val="auto"/>
          <w:sz w:val="30"/>
          <w:szCs w:val="30"/>
          <w:lang w:val="zh-CN" w:bidi="zh-CN"/>
        </w:rPr>
      </w:pPr>
    </w:p>
    <w:p>
      <w:pPr>
        <w:pStyle w:val="37"/>
        <w:bidi w:val="0"/>
        <w:rPr>
          <w:rFonts w:hint="eastAsia"/>
          <w:lang w:val="zh-CN"/>
        </w:rPr>
      </w:pPr>
    </w:p>
    <w:p>
      <w:pPr>
        <w:pStyle w:val="37"/>
        <w:bidi w:val="0"/>
        <w:rPr>
          <w:lang w:val="zh-CN"/>
        </w:rPr>
      </w:pPr>
      <w:r>
        <w:rPr>
          <w:rFonts w:hint="eastAsia"/>
          <w:lang w:val="zh-CN"/>
        </w:rPr>
        <w:t xml:space="preserve">附表： </w:t>
      </w:r>
    </w:p>
    <w:p>
      <w:pPr>
        <w:pStyle w:val="39"/>
        <w:bidi w:val="0"/>
        <w:rPr>
          <w:lang w:val="zh-CN"/>
        </w:rPr>
      </w:pPr>
      <w:r>
        <w:rPr>
          <w:rFonts w:hint="eastAsia"/>
          <w:lang w:val="en-US"/>
        </w:rPr>
        <w:t>1、遵化市城乡客运公交一体化改造项目</w:t>
      </w:r>
      <w:r>
        <w:rPr>
          <w:rFonts w:hint="eastAsia"/>
          <w:lang w:val="zh-CN"/>
        </w:rPr>
        <w:t>绩效评价得分情况表</w:t>
      </w:r>
    </w:p>
    <w:p>
      <w:pPr>
        <w:pStyle w:val="39"/>
        <w:bidi w:val="0"/>
        <w:rPr>
          <w:lang w:val="zh-CN"/>
        </w:rPr>
      </w:pPr>
      <w:r>
        <w:rPr>
          <w:rFonts w:hint="eastAsia"/>
          <w:lang w:val="en-US"/>
        </w:rPr>
        <w:t>2、遵化市城乡客运公交一体化改造项目</w:t>
      </w:r>
      <w:r>
        <w:rPr>
          <w:rFonts w:hint="eastAsia"/>
          <w:lang w:val="zh-CN"/>
        </w:rPr>
        <w:t>绩效评价指标表</w:t>
      </w: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w:t>
    </w:r>
    <w:r>
      <w:rPr>
        <w:rFonts w:hint="eastAsia"/>
        <w:lang w:val="en-US" w:eastAsia="zh-CN"/>
      </w:rPr>
      <w:t>交通运输局2022年城乡客运公交一体化改造项目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DUwYjQyOTYyNmJmMWJmMjVlMTA5MTk5YjZhNWI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3FD4E3D"/>
    <w:rsid w:val="0414147C"/>
    <w:rsid w:val="049A58D3"/>
    <w:rsid w:val="04B073F7"/>
    <w:rsid w:val="04D501F8"/>
    <w:rsid w:val="04D8694E"/>
    <w:rsid w:val="05263468"/>
    <w:rsid w:val="05760B91"/>
    <w:rsid w:val="05BD34C6"/>
    <w:rsid w:val="05DF10BE"/>
    <w:rsid w:val="06AC0F25"/>
    <w:rsid w:val="06BD6003"/>
    <w:rsid w:val="08E1547C"/>
    <w:rsid w:val="08E3549B"/>
    <w:rsid w:val="08ED4403"/>
    <w:rsid w:val="08F019E0"/>
    <w:rsid w:val="092254AC"/>
    <w:rsid w:val="09797E46"/>
    <w:rsid w:val="09E50FA8"/>
    <w:rsid w:val="0ADA267A"/>
    <w:rsid w:val="0B8503B4"/>
    <w:rsid w:val="0BA40C75"/>
    <w:rsid w:val="0BD4298E"/>
    <w:rsid w:val="0DEA241E"/>
    <w:rsid w:val="0E0124A9"/>
    <w:rsid w:val="0E2877D0"/>
    <w:rsid w:val="0F232C0E"/>
    <w:rsid w:val="10C30531"/>
    <w:rsid w:val="11115459"/>
    <w:rsid w:val="11AB23AA"/>
    <w:rsid w:val="11FE4B03"/>
    <w:rsid w:val="12584A32"/>
    <w:rsid w:val="12772F73"/>
    <w:rsid w:val="131F4B85"/>
    <w:rsid w:val="1354447C"/>
    <w:rsid w:val="14CA009D"/>
    <w:rsid w:val="15DF4FB2"/>
    <w:rsid w:val="1673333D"/>
    <w:rsid w:val="16C260F0"/>
    <w:rsid w:val="16EC1B0F"/>
    <w:rsid w:val="1711481A"/>
    <w:rsid w:val="175521C4"/>
    <w:rsid w:val="17576DCE"/>
    <w:rsid w:val="17EC1A1B"/>
    <w:rsid w:val="186B171B"/>
    <w:rsid w:val="188E339C"/>
    <w:rsid w:val="18CB25F9"/>
    <w:rsid w:val="19B054B3"/>
    <w:rsid w:val="1A5D6F52"/>
    <w:rsid w:val="1A7949F4"/>
    <w:rsid w:val="1B3C45FF"/>
    <w:rsid w:val="1B6B767C"/>
    <w:rsid w:val="1BE96DA4"/>
    <w:rsid w:val="1C3D6577"/>
    <w:rsid w:val="1C5754D7"/>
    <w:rsid w:val="1C5C013C"/>
    <w:rsid w:val="1C817C78"/>
    <w:rsid w:val="1C835314"/>
    <w:rsid w:val="1F75556F"/>
    <w:rsid w:val="1F993BDF"/>
    <w:rsid w:val="20492CFD"/>
    <w:rsid w:val="20EF6765"/>
    <w:rsid w:val="238E4C84"/>
    <w:rsid w:val="25102EC3"/>
    <w:rsid w:val="25314F72"/>
    <w:rsid w:val="25344BDB"/>
    <w:rsid w:val="276C26CA"/>
    <w:rsid w:val="284101E2"/>
    <w:rsid w:val="289D7DA2"/>
    <w:rsid w:val="29915199"/>
    <w:rsid w:val="2AE5579D"/>
    <w:rsid w:val="2B0C1FDA"/>
    <w:rsid w:val="2B23063D"/>
    <w:rsid w:val="2D9E7A09"/>
    <w:rsid w:val="2E1B38F1"/>
    <w:rsid w:val="2F4D05FD"/>
    <w:rsid w:val="2F5D3F8F"/>
    <w:rsid w:val="2F6955C8"/>
    <w:rsid w:val="2F7E2A72"/>
    <w:rsid w:val="2FA01BB6"/>
    <w:rsid w:val="2FE763FD"/>
    <w:rsid w:val="309679D2"/>
    <w:rsid w:val="31567508"/>
    <w:rsid w:val="327708BF"/>
    <w:rsid w:val="329428E2"/>
    <w:rsid w:val="32F45EF6"/>
    <w:rsid w:val="336165A4"/>
    <w:rsid w:val="33744269"/>
    <w:rsid w:val="33C57B0C"/>
    <w:rsid w:val="346321BB"/>
    <w:rsid w:val="360D457A"/>
    <w:rsid w:val="3646059A"/>
    <w:rsid w:val="36781C61"/>
    <w:rsid w:val="37210C65"/>
    <w:rsid w:val="372751E3"/>
    <w:rsid w:val="378D173C"/>
    <w:rsid w:val="37EF5A09"/>
    <w:rsid w:val="387719FE"/>
    <w:rsid w:val="39BE0ACC"/>
    <w:rsid w:val="3AEC21CD"/>
    <w:rsid w:val="3B3F3604"/>
    <w:rsid w:val="3C3357E6"/>
    <w:rsid w:val="3CD2571E"/>
    <w:rsid w:val="3D7E1BF1"/>
    <w:rsid w:val="3DEC5291"/>
    <w:rsid w:val="3E79102E"/>
    <w:rsid w:val="3EBD718B"/>
    <w:rsid w:val="3EF9009E"/>
    <w:rsid w:val="3F0464D4"/>
    <w:rsid w:val="40503350"/>
    <w:rsid w:val="406A6ED2"/>
    <w:rsid w:val="41175B2C"/>
    <w:rsid w:val="426C06D4"/>
    <w:rsid w:val="42A461D5"/>
    <w:rsid w:val="43941B0C"/>
    <w:rsid w:val="443F1AB1"/>
    <w:rsid w:val="4490644F"/>
    <w:rsid w:val="45020FF2"/>
    <w:rsid w:val="45E91091"/>
    <w:rsid w:val="465C608A"/>
    <w:rsid w:val="46910613"/>
    <w:rsid w:val="46A95DCB"/>
    <w:rsid w:val="46DF70EC"/>
    <w:rsid w:val="47305B9A"/>
    <w:rsid w:val="481F55E7"/>
    <w:rsid w:val="483E2CF5"/>
    <w:rsid w:val="484241B8"/>
    <w:rsid w:val="48847F4B"/>
    <w:rsid w:val="48924C93"/>
    <w:rsid w:val="48D53720"/>
    <w:rsid w:val="48EE0F73"/>
    <w:rsid w:val="48F143EB"/>
    <w:rsid w:val="4A006617"/>
    <w:rsid w:val="4A215C27"/>
    <w:rsid w:val="4C45046E"/>
    <w:rsid w:val="4CD64D36"/>
    <w:rsid w:val="4CF00129"/>
    <w:rsid w:val="4D4C7943"/>
    <w:rsid w:val="4E2F2C3D"/>
    <w:rsid w:val="4E577EB0"/>
    <w:rsid w:val="4F4F52B5"/>
    <w:rsid w:val="4FB0653A"/>
    <w:rsid w:val="4FE41EFB"/>
    <w:rsid w:val="50A741E0"/>
    <w:rsid w:val="50D64DB0"/>
    <w:rsid w:val="515B02E3"/>
    <w:rsid w:val="51B04DD1"/>
    <w:rsid w:val="51B16329"/>
    <w:rsid w:val="528C359C"/>
    <w:rsid w:val="52955ABE"/>
    <w:rsid w:val="537A2BAA"/>
    <w:rsid w:val="53B042EA"/>
    <w:rsid w:val="53E050EE"/>
    <w:rsid w:val="549F0B94"/>
    <w:rsid w:val="54A62B0A"/>
    <w:rsid w:val="54E5076F"/>
    <w:rsid w:val="54EF5C55"/>
    <w:rsid w:val="54FF3DA0"/>
    <w:rsid w:val="55095F58"/>
    <w:rsid w:val="563A5AA7"/>
    <w:rsid w:val="573E1723"/>
    <w:rsid w:val="575F7F14"/>
    <w:rsid w:val="59254F8A"/>
    <w:rsid w:val="59902CF9"/>
    <w:rsid w:val="5A251C79"/>
    <w:rsid w:val="5A295C01"/>
    <w:rsid w:val="5A322A73"/>
    <w:rsid w:val="5B3B4064"/>
    <w:rsid w:val="5B3B49AF"/>
    <w:rsid w:val="5B9E24E1"/>
    <w:rsid w:val="5C21005E"/>
    <w:rsid w:val="5C425CFC"/>
    <w:rsid w:val="5C4721D0"/>
    <w:rsid w:val="5E532196"/>
    <w:rsid w:val="5EE150CE"/>
    <w:rsid w:val="5FF636E0"/>
    <w:rsid w:val="606904C2"/>
    <w:rsid w:val="60B86515"/>
    <w:rsid w:val="61FF42D8"/>
    <w:rsid w:val="622B0FE0"/>
    <w:rsid w:val="622F7804"/>
    <w:rsid w:val="62887D4A"/>
    <w:rsid w:val="633833D6"/>
    <w:rsid w:val="633A3175"/>
    <w:rsid w:val="63BF2892"/>
    <w:rsid w:val="63D3736D"/>
    <w:rsid w:val="6556579E"/>
    <w:rsid w:val="65833FDE"/>
    <w:rsid w:val="658500C0"/>
    <w:rsid w:val="665912E8"/>
    <w:rsid w:val="66A8455E"/>
    <w:rsid w:val="679109C9"/>
    <w:rsid w:val="684C7ED7"/>
    <w:rsid w:val="690B5C60"/>
    <w:rsid w:val="69A073F1"/>
    <w:rsid w:val="6A494BEF"/>
    <w:rsid w:val="6AA3564D"/>
    <w:rsid w:val="6B47534F"/>
    <w:rsid w:val="6D4B0788"/>
    <w:rsid w:val="6D504110"/>
    <w:rsid w:val="6D5C48D6"/>
    <w:rsid w:val="70545C15"/>
    <w:rsid w:val="70700C31"/>
    <w:rsid w:val="710D46D2"/>
    <w:rsid w:val="71416E99"/>
    <w:rsid w:val="724506DD"/>
    <w:rsid w:val="72526A45"/>
    <w:rsid w:val="72560A78"/>
    <w:rsid w:val="72BF19FC"/>
    <w:rsid w:val="73CD43C4"/>
    <w:rsid w:val="741507BF"/>
    <w:rsid w:val="744D7DC9"/>
    <w:rsid w:val="74521188"/>
    <w:rsid w:val="74884203"/>
    <w:rsid w:val="76533A9A"/>
    <w:rsid w:val="7695762E"/>
    <w:rsid w:val="76E21684"/>
    <w:rsid w:val="77006FDD"/>
    <w:rsid w:val="77863E64"/>
    <w:rsid w:val="79033361"/>
    <w:rsid w:val="7A561C55"/>
    <w:rsid w:val="7BB83E64"/>
    <w:rsid w:val="7C1D4A5F"/>
    <w:rsid w:val="7CCD0704"/>
    <w:rsid w:val="7DC83252"/>
    <w:rsid w:val="7E5F5E41"/>
    <w:rsid w:val="7E7E0B3D"/>
    <w:rsid w:val="7E905F18"/>
    <w:rsid w:val="7EF46ED2"/>
    <w:rsid w:val="BBFCB6FF"/>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一级标题"/>
    <w:basedOn w:val="8"/>
    <w:next w:val="5"/>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38">
    <w:name w:val="新正二级标题"/>
    <w:basedOn w:val="1"/>
    <w:next w:val="1"/>
    <w:qFormat/>
    <w:uiPriority w:val="0"/>
    <w:pPr>
      <w:adjustRightInd/>
      <w:spacing w:line="560" w:lineRule="exact"/>
      <w:ind w:firstLine="643" w:firstLineChars="200"/>
      <w:outlineLvl w:val="1"/>
    </w:pPr>
    <w:rPr>
      <w:rFonts w:hint="eastAsia" w:ascii="楷体_GB2312" w:hAnsi="楷体_GB2312" w:eastAsia="楷体_GB2312" w:cs="楷体_GB2312"/>
      <w:b/>
      <w:color w:val="auto"/>
      <w:sz w:val="32"/>
      <w:szCs w:val="32"/>
      <w:lang w:val="zh-CN" w:bidi="zh-CN"/>
    </w:rPr>
  </w:style>
  <w:style w:type="paragraph" w:customStyle="1" w:styleId="39">
    <w:name w:val="新正正文"/>
    <w:basedOn w:val="1"/>
    <w:qFormat/>
    <w:uiPriority w:val="0"/>
    <w:pPr>
      <w:spacing w:line="560" w:lineRule="exact"/>
      <w:ind w:firstLine="640" w:firstLineChars="200"/>
      <w:jc w:val="both"/>
      <w:textAlignment w:val="baseline"/>
    </w:pPr>
    <w:rPr>
      <w:rFonts w:hint="eastAsia" w:ascii="仿宋_GB2312" w:hAnsi="仿宋_GB2312" w:eastAsia="仿宋_GB2312" w:cs="仿宋_GB2312"/>
      <w:color w:val="auto"/>
      <w:sz w:val="32"/>
      <w:szCs w:val="32"/>
      <w:lang w:val="zh-CN" w:bidi="zh-CN"/>
    </w:rPr>
  </w:style>
  <w:style w:type="paragraph" w:customStyle="1" w:styleId="40">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41">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 w:type="paragraph" w:customStyle="1" w:styleId="63">
    <w:name w:val="正文1"/>
    <w:basedOn w:val="1"/>
    <w:next w:val="64"/>
    <w:qFormat/>
    <w:uiPriority w:val="0"/>
    <w:pPr>
      <w:snapToGrid w:val="0"/>
      <w:spacing w:line="500" w:lineRule="atLeast"/>
      <w:ind w:firstLine="539"/>
    </w:pPr>
    <w:rPr>
      <w:spacing w:val="14"/>
      <w:sz w:val="24"/>
    </w:rPr>
  </w:style>
  <w:style w:type="paragraph" w:customStyle="1" w:styleId="64">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Company>Far123</Company>
  <Pages>16</Pages>
  <Words>6165</Words>
  <Characters>6727</Characters>
  <Lines>68</Lines>
  <Paragraphs>19</Paragraphs>
  <TotalTime>41</TotalTime>
  <ScaleCrop>false</ScaleCrop>
  <LinksUpToDate>false</LinksUpToDate>
  <CharactersWithSpaces>6935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2021-08-31T10:18:00Z</dcterms:created>
  <dc:creator>admin</dc:creator>
  <cp:lastModifiedBy>Administrator</cp:lastModifiedBy>
  <cp:lastPrinted>2023-05-09T10:51:00Z</cp:lastPrinted>
  <dcterms:modified xsi:type="dcterms:W3CDTF">2024-03-20T07:44:08Z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8E3A4EEF111C4FD19C307001537481C1_13</vt:lpwstr>
  </property>
</Properties>
</file>