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黑体" w:hAnsi="黑体" w:eastAsia="黑体"/>
          <w:b/>
          <w:sz w:val="72"/>
          <w:szCs w:val="72"/>
        </w:rPr>
      </w:pPr>
      <w:r>
        <w:rPr>
          <w:rFonts w:hint="eastAsia" w:ascii="黑体" w:hAnsi="宋体" w:eastAsia="黑体"/>
          <w:color w:val="002060"/>
          <w:sz w:val="72"/>
          <w:szCs w:val="72"/>
        </w:rP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7" cstate="print"/>
                    <a:srcRect/>
                    <a:stretch>
                      <a:fillRect/>
                    </a:stretch>
                  </pic:blipFill>
                  <pic:spPr>
                    <a:xfrm>
                      <a:off x="0" y="0"/>
                      <a:ext cx="7576820" cy="10796905"/>
                    </a:xfrm>
                    <a:prstGeom prst="rect">
                      <a:avLst/>
                    </a:prstGeom>
                  </pic:spPr>
                </pic:pic>
              </a:graphicData>
            </a:graphic>
          </wp:anchor>
        </w:drawing>
      </w:r>
    </w:p>
    <w:p>
      <w:pPr>
        <w:widowControl/>
        <w:jc w:val="center"/>
        <w:rPr>
          <w:rFonts w:ascii="黑体" w:hAnsi="宋体" w:eastAsia="黑体"/>
          <w:color w:val="002060"/>
          <w:sz w:val="72"/>
          <w:szCs w:val="72"/>
        </w:rPr>
      </w:pPr>
    </w:p>
    <w:p>
      <w:pPr>
        <w:widowControl/>
        <w:jc w:val="center"/>
        <w:rPr>
          <w:rFonts w:ascii="黑体" w:hAnsi="宋体" w:eastAsia="黑体"/>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027" name="文本框 8"/>
                <wp:cNvGraphicFramePr/>
                <a:graphic xmlns:a="http://schemas.openxmlformats.org/drawingml/2006/main">
                  <a:graphicData uri="http://schemas.microsoft.com/office/word/2010/wordprocessingShape">
                    <wps:wsp>
                      <wps:cNvSpPr/>
                      <wps:spPr>
                        <a:xfrm>
                          <a:off x="0" y="0"/>
                          <a:ext cx="7571739" cy="2111375"/>
                        </a:xfrm>
                        <a:prstGeom prst="rect">
                          <a:avLst/>
                        </a:prstGeom>
                        <a:noFill/>
                        <a:ln>
                          <a:noFill/>
                        </a:ln>
                        <a:effectLst/>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遵化市东旧寨镇人民政府</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pPr>
                              <w:rPr>
                                <w:color w:val="FDEFBE"/>
                                <w:sz w:val="96"/>
                                <w:szCs w:val="96"/>
                              </w:rPr>
                            </w:pP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83.1pt;margin-top:43.25pt;height:166.25pt;width:596.2pt;z-index:251660288;mso-width-relative:page;mso-height-relative:page;" filled="f" stroked="f" coordsize="21600,21600" o:gfxdata="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pe3FdsA&#10;AAAMAQAADwAAAAAAAAABACAAAAAiAAAAZHJzL2Rvd25yZXYueG1sUEsBAhQAFAAAAAgAh07iQGBo&#10;NifjAQAAvQMAAA4AAAAAAAAAAQAgAAAAKgEAAGRycy9lMm9Eb2MueG1sUEsFBgAAAAAGAAYAWQEA&#10;AH8FAAAAAA==&#10;">
                <v:fill on="f" focussize="0,0"/>
                <v:stroke on="f"/>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遵化市东旧寨镇人民政府</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pPr>
                        <w:rPr>
                          <w:color w:val="FDEFBE"/>
                          <w:sz w:val="96"/>
                          <w:szCs w:val="96"/>
                        </w:rPr>
                      </w:pPr>
                    </w:p>
                  </w:txbxContent>
                </v:textbox>
              </v:rect>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楷体" w:hAnsi="楷体" w:eastAsia="楷体" w:cs="楷体"/>
          <w:b/>
          <w:sz w:val="44"/>
          <w:szCs w:val="44"/>
        </w:rPr>
        <w:sectPr>
          <w:headerReference r:id="rId5" w:type="default"/>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二〇一九年七月</w:t>
      </w:r>
    </w:p>
    <w:p>
      <w:pPr>
        <w:widowControl/>
        <w:rPr>
          <w:rFonts w:hint="eastAsia" w:ascii="黑体" w:eastAsia="黑体"/>
          <w:sz w:val="48"/>
          <w:szCs w:val="48"/>
        </w:rPr>
      </w:pPr>
      <w:r>
        <w:rPr>
          <w:rFonts w:hint="eastAsia" w:ascii="黑体" w:hAnsi="黑体" w:eastAsia="黑体" w:cs="黑体"/>
          <w:b/>
          <w:sz w:val="44"/>
          <w:szCs w:val="44"/>
        </w:rPr>
        <w:drawing>
          <wp:anchor distT="0" distB="0" distL="114300" distR="114300" simplePos="0" relativeHeight="251663360" behindDoc="0" locked="0" layoutInCell="1" allowOverlap="1">
            <wp:simplePos x="0" y="0"/>
            <wp:positionH relativeFrom="column">
              <wp:posOffset>-2540</wp:posOffset>
            </wp:positionH>
            <wp:positionV relativeFrom="paragraph">
              <wp:posOffset>1197610</wp:posOffset>
            </wp:positionV>
            <wp:extent cx="7124700" cy="4777105"/>
            <wp:effectExtent l="0" t="1181100" r="0" b="1147445"/>
            <wp:wrapSquare wrapText="bothSides"/>
            <wp:docPr id="1" name="图片 1" descr="微信图片_2019082318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82318292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124400" cy="4777200"/>
                    </a:xfrm>
                    <a:prstGeom prst="rect">
                      <a:avLst/>
                    </a:prstGeom>
                  </pic:spPr>
                </pic:pic>
              </a:graphicData>
            </a:graphic>
          </wp:anchor>
        </w:drawing>
      </w:r>
    </w:p>
    <w:p>
      <w:pPr>
        <w:spacing w:before="624" w:beforeLines="200" w:after="0" w:line="1000" w:lineRule="exact"/>
        <w:jc w:val="center"/>
        <w:rPr>
          <w:rFonts w:ascii="黑体" w:eastAsia="黑体"/>
          <w:sz w:val="48"/>
          <w:szCs w:val="48"/>
        </w:rPr>
      </w:pPr>
      <w:r>
        <w:rPr>
          <w:rFonts w:hint="eastAsia" w:ascii="黑体" w:hAnsi="黑体" w:eastAsia="黑体" w:cs="黑体"/>
          <w:b/>
          <w:sz w:val="44"/>
          <w:szCs w:val="44"/>
        </w:rPr>
        <w:drawing>
          <wp:anchor distT="0" distB="0" distL="114300" distR="114300" simplePos="0" relativeHeight="251664384" behindDoc="1" locked="0" layoutInCell="1" allowOverlap="1">
            <wp:simplePos x="0" y="0"/>
            <wp:positionH relativeFrom="column">
              <wp:posOffset>-40640</wp:posOffset>
            </wp:positionH>
            <wp:positionV relativeFrom="paragraph">
              <wp:posOffset>-334010</wp:posOffset>
            </wp:positionV>
            <wp:extent cx="5615940" cy="784415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6000" cy="7844400"/>
                    </a:xfrm>
                    <a:prstGeom prst="rect">
                      <a:avLst/>
                    </a:prstGeom>
                  </pic:spPr>
                </pic:pic>
              </a:graphicData>
            </a:graphic>
          </wp:anchor>
        </w:drawing>
      </w:r>
    </w:p>
    <w:p>
      <w:pPr>
        <w:spacing w:before="624" w:beforeLines="200" w:after="0" w:line="1000" w:lineRule="exact"/>
        <w:jc w:val="center"/>
        <w:rPr>
          <w:rFonts w:hint="eastAsia"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遵化市东旧寨镇人民政府</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sz w:val="72"/>
        </w:rPr>
        <mc:AlternateContent>
          <mc:Choice Requires="wps">
            <w:drawing>
              <wp:anchor distT="0" distB="0" distL="114300" distR="114300" simplePos="0" relativeHeight="251661312"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035" name="文本框 118"/>
                <wp:cNvGraphicFramePr/>
                <a:graphic xmlns:a="http://schemas.openxmlformats.org/drawingml/2006/main">
                  <a:graphicData uri="http://schemas.microsoft.com/office/word/2010/wordprocessingShape">
                    <wps:wsp>
                      <wps:cNvSpPr/>
                      <wps:spPr>
                        <a:xfrm>
                          <a:off x="0" y="0"/>
                          <a:ext cx="7793355" cy="1037589"/>
                        </a:xfrm>
                        <a:prstGeom prst="rect">
                          <a:avLst/>
                        </a:prstGeom>
                        <a:noFill/>
                        <a:ln>
                          <a:noFill/>
                        </a:ln>
                        <a:effectLst/>
                      </wps:spPr>
                      <wps:txbx>
                        <w:txbxContent>
                          <w:p>
                            <w:pPr>
                              <w:widowControl/>
                              <w:jc w:val="center"/>
                              <w:rPr>
                                <w:sz w:val="96"/>
                                <w:szCs w:val="96"/>
                              </w:rPr>
                            </w:pPr>
                            <w:r>
                              <w:rPr>
                                <w:rFonts w:hint="eastAsia" w:ascii="黑体" w:hAnsi="宋体" w:eastAsia="黑体"/>
                                <w:sz w:val="96"/>
                                <w:szCs w:val="96"/>
                              </w:rPr>
                              <w:t>第一部分  部门概况</w:t>
                            </w:r>
                          </w:p>
                        </w:txbxContent>
                      </wps:txbx>
                      <wps:bodyPr vert="horz" wrap="square" lIns="91440" tIns="45720" rIns="91440" bIns="45720" anchor="t">
                        <a:noAutofit/>
                      </wps:bodyPr>
                    </wps:wsp>
                  </a:graphicData>
                </a:graphic>
              </wp:anchor>
            </w:drawing>
          </mc:Choice>
          <mc:Fallback>
            <w:pict>
              <v:rect id="文本框 118" o:spid="_x0000_s1026" o:spt="1" style="position:absolute;left:0pt;margin-left:-97.3pt;margin-top:259.1pt;height:81.7pt;width:613.65pt;z-index:251661312;mso-width-relative:page;mso-height-relative:page;" filled="f" stroked="f" coordsize="21600,21600" o:gfxdata="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QqK&#10;K94AAAANAQAADwAAAAAAAAABACAAAAAiAAAAZHJzL2Rvd25yZXYueG1sUEsBAhQAFAAAAAgAh07i&#10;QCz/BIrjAQAAvwMAAA4AAAAAAAAAAQAgAAAALQEAAGRycy9lMm9Eb2MueG1sUEsFBgAAAAAGAAYA&#10;WQEAAIIFAAAAAA==&#10;">
                <v:fill on="f" focussize="0,0"/>
                <v:stroke on="f"/>
                <v:imagedata o:title=""/>
                <o:lock v:ext="edit" aspectratio="f"/>
                <v:textbox>
                  <w:txbxContent>
                    <w:p>
                      <w:pPr>
                        <w:widowControl/>
                        <w:jc w:val="center"/>
                        <w:rPr>
                          <w:sz w:val="96"/>
                          <w:szCs w:val="96"/>
                        </w:rPr>
                      </w:pPr>
                      <w:r>
                        <w:rPr>
                          <w:rFonts w:hint="eastAsia" w:ascii="黑体" w:hAnsi="宋体" w:eastAsia="黑体"/>
                          <w:sz w:val="96"/>
                          <w:szCs w:val="96"/>
                        </w:rPr>
                        <w:t>第一部分  部门概况</w:t>
                      </w:r>
                    </w:p>
                  </w:txbxContent>
                </v:textbox>
              </v:rect>
            </w:pict>
          </mc:Fallback>
        </mc:AlternateContent>
      </w:r>
    </w:p>
    <w:p/>
    <w:p/>
    <w:p/>
    <w:p/>
    <w:p/>
    <w:p/>
    <w:p/>
    <w:p/>
    <w:p/>
    <w:p/>
    <w:p/>
    <w:p/>
    <w:p/>
    <w:p/>
    <w:p/>
    <w:p>
      <w:pPr>
        <w:pStyle w:val="2"/>
        <w:spacing w:before="0" w:after="0" w:line="600" w:lineRule="exact"/>
        <w:jc w:val="left"/>
        <w:rPr>
          <w:rFonts w:ascii="仿宋" w:hAnsi="仿宋" w:eastAsia="仿宋" w:cs="黑体"/>
          <w:bCs w:val="0"/>
          <w:kern w:val="0"/>
          <w:sz w:val="32"/>
          <w:szCs w:val="32"/>
        </w:rPr>
      </w:pPr>
      <w:r>
        <w:rPr>
          <w:rFonts w:hint="eastAsia" w:ascii="仿宋" w:hAnsi="仿宋" w:eastAsia="仿宋" w:cs="黑体"/>
          <w:bCs w:val="0"/>
          <w:kern w:val="0"/>
          <w:sz w:val="32"/>
          <w:szCs w:val="32"/>
        </w:rPr>
        <w:t>一、部门职责</w:t>
      </w:r>
    </w:p>
    <w:p>
      <w:pPr>
        <w:spacing w:line="560" w:lineRule="exact"/>
        <w:ind w:firstLine="640" w:firstLineChars="200"/>
        <w:rPr>
          <w:rFonts w:ascii="仿宋" w:hAnsi="仿宋" w:eastAsia="仿宋"/>
          <w:sz w:val="32"/>
          <w:szCs w:val="32"/>
        </w:rPr>
      </w:pPr>
      <w:r>
        <w:rPr>
          <w:rFonts w:hint="eastAsia" w:ascii="仿宋" w:hAnsi="仿宋" w:eastAsia="仿宋" w:cs="仿宋_GB2312"/>
          <w:sz w:val="32"/>
          <w:szCs w:val="32"/>
        </w:rPr>
        <w:t>根据《唐山市机构编制委员会关于印发〈遵化市乡镇机构改革方案〉的通知》（唐机编字［</w:t>
      </w:r>
      <w:r>
        <w:rPr>
          <w:rFonts w:ascii="仿宋" w:hAnsi="仿宋" w:eastAsia="仿宋" w:cs="仿宋_GB2312"/>
          <w:sz w:val="32"/>
          <w:szCs w:val="32"/>
        </w:rPr>
        <w:t>2011</w:t>
      </w:r>
      <w:r>
        <w:rPr>
          <w:rFonts w:hint="eastAsia" w:ascii="仿宋" w:hAnsi="仿宋" w:eastAsia="仿宋" w:cs="仿宋_GB2312"/>
          <w:sz w:val="32"/>
          <w:szCs w:val="32"/>
        </w:rPr>
        <w:t>］</w:t>
      </w:r>
      <w:r>
        <w:rPr>
          <w:rFonts w:ascii="仿宋" w:hAnsi="仿宋" w:eastAsia="仿宋" w:cs="仿宋_GB2312"/>
          <w:sz w:val="32"/>
          <w:szCs w:val="32"/>
        </w:rPr>
        <w:t>47</w:t>
      </w:r>
      <w:r>
        <w:rPr>
          <w:rFonts w:hint="eastAsia" w:ascii="仿宋" w:hAnsi="仿宋" w:eastAsia="仿宋" w:cs="仿宋_GB2312"/>
          <w:sz w:val="32"/>
          <w:szCs w:val="32"/>
        </w:rPr>
        <w:t>号）</w:t>
      </w:r>
      <w:r>
        <w:rPr>
          <w:rFonts w:ascii="仿宋" w:hAnsi="仿宋" w:eastAsia="仿宋"/>
          <w:sz w:val="32"/>
          <w:szCs w:val="32"/>
        </w:rPr>
        <w:t xml:space="preserve"> </w:t>
      </w:r>
      <w:r>
        <w:rPr>
          <w:rFonts w:hint="eastAsia" w:ascii="仿宋" w:hAnsi="仿宋" w:eastAsia="仿宋"/>
          <w:sz w:val="32"/>
          <w:szCs w:val="32"/>
        </w:rPr>
        <w:t>文件，我单位主要职责是：</w:t>
      </w:r>
      <w:r>
        <w:rPr>
          <w:rFonts w:ascii="仿宋" w:hAnsi="仿宋" w:eastAsia="仿宋"/>
          <w:sz w:val="32"/>
          <w:szCs w:val="32"/>
        </w:rPr>
        <w:t xml:space="preserve">  </w:t>
      </w:r>
    </w:p>
    <w:p>
      <w:pPr>
        <w:spacing w:line="560" w:lineRule="exact"/>
        <w:ind w:firstLine="639"/>
        <w:rPr>
          <w:rFonts w:ascii="仿宋" w:hAnsi="仿宋" w:eastAsia="仿宋" w:cs="仿宋_GB2312"/>
          <w:sz w:val="32"/>
          <w:szCs w:val="32"/>
        </w:rPr>
      </w:pPr>
      <w:r>
        <w:rPr>
          <w:rFonts w:ascii="仿宋" w:hAnsi="仿宋" w:eastAsia="仿宋"/>
          <w:sz w:val="32"/>
          <w:szCs w:val="32"/>
        </w:rPr>
        <w:t xml:space="preserve"> 1</w:t>
      </w:r>
      <w:r>
        <w:rPr>
          <w:rFonts w:hint="eastAsia" w:ascii="仿宋" w:hAnsi="仿宋" w:eastAsia="仿宋" w:cs="仿宋_GB2312"/>
          <w:sz w:val="32"/>
          <w:szCs w:val="32"/>
        </w:rPr>
        <w:t>、促进经济发展，增加农民收入。依据市国民经济和社会发展中长期规划及年度计划，结合本乡实际，科学制定经济和社会发展规划及发展模式；以市场为导向，积极组织、引导农民进行产业结构调整，培育主导产业，促进农民持续稳定增产、增收；加强新型农村服务体系建设，落实强农惠农措施，培育和发展农民专业合作组织和中介组织，着力解决农民生产生活中的突出问题；大力发展民营经济，壮大第二、第三产业，加快城镇化进程；营造良好的发展环境，提高经济发展的质量和水平，促进招商引资和项目建设工作。</w:t>
      </w:r>
    </w:p>
    <w:p>
      <w:pPr>
        <w:spacing w:line="560" w:lineRule="exact"/>
        <w:ind w:firstLine="639"/>
        <w:rPr>
          <w:rFonts w:ascii="仿宋" w:hAnsi="仿宋" w:eastAsia="仿宋" w:cs="仿宋_GB2312"/>
          <w:sz w:val="32"/>
          <w:szCs w:val="32"/>
        </w:rPr>
      </w:pPr>
      <w:r>
        <w:rPr>
          <w:rFonts w:ascii="仿宋" w:hAnsi="仿宋" w:eastAsia="仿宋" w:cs="仿宋_GB2312"/>
          <w:sz w:val="32"/>
          <w:szCs w:val="32"/>
        </w:rPr>
        <w:t>2</w:t>
      </w:r>
      <w:r>
        <w:rPr>
          <w:rFonts w:hint="eastAsia" w:ascii="仿宋" w:hAnsi="仿宋" w:eastAsia="仿宋" w:cs="仿宋_GB2312"/>
          <w:sz w:val="32"/>
          <w:szCs w:val="32"/>
        </w:rPr>
        <w:t>、提供公共服务，着力改善民生。发展农村义务教育、公共卫生、文化体育、广播电视等各项事业，促进农村经济社会协调发展；落实计划生育基本国策，推进优生优育，稳定农村低生育水平，做好生殖健康检查和育龄妇女普查等计划生育服务工作；加强农田水利基本建设，增强农业抗御自然灾害的能力；组织好科技和信息服务工作，提高农民现代信息技术水平；加强对农村劳动力的职业技能培训，扩大农村富余劳动力就业；加强农村市场设施建设和管理，增强市场服务功能；做好防灾减灾、优抚安置、低保、扶贫救济等社会救助工作，发展农村老龄服务，加强农村残疾预防和残疾人康复工作；加强农村基础设施建设，改善农民生活环境，积极稳妥有序推进农村新民居建设；建立健全农村社会保障体系，解除农民后顾之忧。</w:t>
      </w:r>
    </w:p>
    <w:p>
      <w:pPr>
        <w:spacing w:line="560" w:lineRule="exact"/>
        <w:ind w:firstLine="639"/>
        <w:rPr>
          <w:rFonts w:ascii="仿宋" w:hAnsi="仿宋" w:eastAsia="仿宋" w:cs="仿宋_GB2312"/>
          <w:sz w:val="32"/>
          <w:szCs w:val="32"/>
        </w:rPr>
      </w:pPr>
      <w:r>
        <w:rPr>
          <w:rFonts w:ascii="仿宋" w:hAnsi="仿宋" w:eastAsia="仿宋" w:cs="仿宋_GB2312"/>
          <w:sz w:val="32"/>
          <w:szCs w:val="32"/>
        </w:rPr>
        <w:t>3</w:t>
      </w:r>
      <w:r>
        <w:rPr>
          <w:rFonts w:hint="eastAsia" w:ascii="仿宋" w:hAnsi="仿宋" w:eastAsia="仿宋" w:cs="仿宋_GB2312"/>
          <w:sz w:val="32"/>
          <w:szCs w:val="32"/>
        </w:rPr>
        <w:t>、加强社会管理，维护农村稳定。组织、监督国家法律法规和基本公共政策在农村的实施，制定社会主义新农村和文明生态村建设的规划和措施；加强乡村财政资金监管和乡村建设等社会事务的行政管理，促进各项社会事业的发展；协助市直有关部门做好国土资源管理、环境保护和农村普法宣传教育等工作；加强社会治安综合治理，维护社会安全秩序；认真做好人民群众的来信来访工作，维护、保障人民群众的合法权益；建立完善协调联动机制，搞好农村矛盾纠纷排查调处，及时化解农村社会矛盾；完善预警机制，妥善处理公共性、突发性、群体性事件；加强安全生产管理，做好各项安全生产工作的监督检查、隐患排查，落实安全生产责任制。</w:t>
      </w:r>
    </w:p>
    <w:p>
      <w:pPr>
        <w:spacing w:line="560" w:lineRule="exact"/>
        <w:ind w:firstLine="639"/>
        <w:rPr>
          <w:rFonts w:ascii="仿宋" w:hAnsi="仿宋" w:eastAsia="仿宋" w:cs="仿宋_GB2312"/>
          <w:sz w:val="32"/>
          <w:szCs w:val="32"/>
        </w:rPr>
      </w:pPr>
      <w:r>
        <w:rPr>
          <w:rFonts w:ascii="仿宋" w:hAnsi="仿宋" w:eastAsia="仿宋" w:cs="仿宋_GB2312"/>
          <w:sz w:val="32"/>
          <w:szCs w:val="32"/>
        </w:rPr>
        <w:t>4</w:t>
      </w:r>
      <w:r>
        <w:rPr>
          <w:rFonts w:hint="eastAsia" w:ascii="仿宋" w:hAnsi="仿宋" w:eastAsia="仿宋" w:cs="仿宋_GB2312"/>
          <w:sz w:val="32"/>
          <w:szCs w:val="32"/>
        </w:rPr>
        <w:t>、推进基层民主，促进农村和谐。加强农村党的基层组织建设、农村基层干部队伍建设、农村党员队伍建设；保障法律法规赋予公民的经济、政治、文化权利，落实公民在选举、决策、管理和监督方面的民主权利，依法行政；加强农村文化宣传及统战工作，抓好农村的思想政治建设和精神文明建设；依法推进村民组织自治，完善民主议事制度，推进村务公开、财务公开，引导农民有序参与村级事务管理，推动农村社区建设，促进社会组织健康发展，增强社会自治功能。</w:t>
      </w:r>
    </w:p>
    <w:p>
      <w:pPr>
        <w:spacing w:line="560" w:lineRule="exact"/>
        <w:ind w:firstLine="639"/>
        <w:rPr>
          <w:rFonts w:ascii="方正黑体简体" w:hAnsi="仿宋_GB2312" w:eastAsia="方正黑体简体" w:cs="仿宋_GB2312"/>
          <w:sz w:val="32"/>
          <w:szCs w:val="32"/>
        </w:rPr>
      </w:pP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从决算编报单位构成看，纳入2018 年度本部门决算汇编范围的独立核算单位（以下简称“单位”）共</w:t>
      </w:r>
      <w:r>
        <w:rPr>
          <w:rFonts w:ascii="Calibri" w:hAnsi="Calibri" w:eastAsia="仿宋_GB2312" w:cs="Calibri"/>
          <w:kern w:val="0"/>
          <w:sz w:val="32"/>
          <w:szCs w:val="32"/>
        </w:rPr>
        <w:t>5</w:t>
      </w:r>
      <w:r>
        <w:rPr>
          <w:rFonts w:hint="eastAsia" w:ascii="仿宋_GB2312" w:hAnsi="Cambria" w:eastAsia="仿宋_GB2312" w:cs="ArialUnicodeMS"/>
          <w:kern w:val="0"/>
          <w:sz w:val="32"/>
          <w:szCs w:val="32"/>
        </w:rPr>
        <w:t>个，具体情况如下：</w:t>
      </w:r>
    </w:p>
    <w:tbl>
      <w:tblPr>
        <w:tblStyle w:val="1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872"/>
        <w:gridCol w:w="1272"/>
        <w:gridCol w:w="1118"/>
        <w:gridCol w:w="25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blHeader/>
          <w:jc w:val="center"/>
        </w:trPr>
        <w:tc>
          <w:tcPr>
            <w:tcW w:w="3872" w:type="dxa"/>
            <w:vMerge w:val="restar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b/>
                <w:bCs/>
                <w:sz w:val="28"/>
                <w:szCs w:val="28"/>
              </w:rPr>
            </w:pPr>
            <w:r>
              <w:rPr>
                <w:rFonts w:hint="eastAsia" w:ascii="仿宋" w:hAnsi="仿宋" w:eastAsia="仿宋" w:cs="黑体"/>
                <w:b/>
                <w:bCs/>
                <w:sz w:val="28"/>
                <w:szCs w:val="28"/>
              </w:rPr>
              <w:t>单位名称</w:t>
            </w:r>
          </w:p>
        </w:tc>
        <w:tc>
          <w:tcPr>
            <w:tcW w:w="1272" w:type="dxa"/>
            <w:vMerge w:val="restar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b/>
                <w:bCs/>
                <w:sz w:val="28"/>
                <w:szCs w:val="28"/>
              </w:rPr>
            </w:pPr>
            <w:r>
              <w:rPr>
                <w:rFonts w:hint="eastAsia" w:ascii="仿宋" w:hAnsi="仿宋" w:eastAsia="仿宋" w:cs="黑体"/>
                <w:b/>
                <w:bCs/>
                <w:sz w:val="28"/>
                <w:szCs w:val="28"/>
              </w:rPr>
              <w:t>单位性质</w:t>
            </w:r>
          </w:p>
        </w:tc>
        <w:tc>
          <w:tcPr>
            <w:tcW w:w="1118" w:type="dxa"/>
            <w:vMerge w:val="restar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b/>
                <w:bCs/>
                <w:sz w:val="28"/>
                <w:szCs w:val="28"/>
              </w:rPr>
            </w:pPr>
            <w:r>
              <w:rPr>
                <w:rFonts w:hint="eastAsia" w:ascii="仿宋" w:hAnsi="仿宋" w:eastAsia="仿宋" w:cs="黑体"/>
                <w:b/>
                <w:bCs/>
                <w:sz w:val="28"/>
                <w:szCs w:val="28"/>
              </w:rPr>
              <w:t>单位规格</w:t>
            </w:r>
          </w:p>
        </w:tc>
        <w:tc>
          <w:tcPr>
            <w:tcW w:w="2576" w:type="dxa"/>
            <w:vMerge w:val="restar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b/>
                <w:bCs/>
                <w:sz w:val="28"/>
                <w:szCs w:val="28"/>
              </w:rPr>
            </w:pPr>
            <w:r>
              <w:rPr>
                <w:rFonts w:hint="eastAsia" w:ascii="仿宋" w:hAnsi="仿宋" w:eastAsia="仿宋" w:cs="黑体"/>
                <w:b/>
                <w:bCs/>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4" w:hRule="atLeast"/>
          <w:tblHeader/>
          <w:jc w:val="center"/>
        </w:trPr>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ascii="仿宋" w:hAnsi="仿宋" w:eastAsia="仿宋" w:cs="黑体"/>
                <w:b/>
                <w:bCs/>
                <w:sz w:val="28"/>
                <w:szCs w:val="28"/>
              </w:rPr>
            </w:pP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ascii="仿宋" w:hAnsi="仿宋" w:eastAsia="仿宋" w:cs="黑体"/>
                <w:b/>
                <w:bCs/>
                <w:sz w:val="28"/>
                <w:szCs w:val="28"/>
              </w:rPr>
            </w:pP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ascii="仿宋" w:hAnsi="仿宋" w:eastAsia="仿宋" w:cs="黑体"/>
                <w:b/>
                <w:bCs/>
                <w:sz w:val="28"/>
                <w:szCs w:val="28"/>
              </w:rPr>
            </w:pP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ascii="仿宋" w:hAnsi="仿宋" w:eastAsia="仿宋" w:cs="黑体"/>
                <w:b/>
                <w:bCs/>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8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b/>
                <w:bCs/>
                <w:sz w:val="28"/>
                <w:szCs w:val="28"/>
              </w:rPr>
            </w:pPr>
            <w:r>
              <w:rPr>
                <w:rFonts w:hint="eastAsia" w:ascii="仿宋" w:hAnsi="仿宋" w:eastAsia="仿宋" w:cs="黑体"/>
                <w:b/>
                <w:bCs/>
                <w:sz w:val="28"/>
                <w:szCs w:val="28"/>
              </w:rPr>
              <w:t>合    计</w:t>
            </w:r>
          </w:p>
        </w:tc>
        <w:tc>
          <w:tcPr>
            <w:tcW w:w="12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b/>
                <w:bCs/>
                <w:sz w:val="28"/>
                <w:szCs w:val="28"/>
              </w:rPr>
            </w:pPr>
          </w:p>
        </w:tc>
        <w:tc>
          <w:tcPr>
            <w:tcW w:w="1118"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b/>
                <w:bCs/>
                <w:sz w:val="28"/>
                <w:szCs w:val="28"/>
              </w:rPr>
            </w:pPr>
          </w:p>
        </w:tc>
        <w:tc>
          <w:tcPr>
            <w:tcW w:w="2576"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b/>
                <w:bCs/>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38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left"/>
              <w:rPr>
                <w:rFonts w:ascii="仿宋" w:hAnsi="仿宋" w:eastAsia="仿宋" w:cs="黑体"/>
                <w:sz w:val="28"/>
                <w:szCs w:val="28"/>
              </w:rPr>
            </w:pPr>
            <w:r>
              <w:rPr>
                <w:rFonts w:hint="eastAsia" w:ascii="仿宋" w:hAnsi="仿宋" w:eastAsia="仿宋" w:cs="黑体"/>
                <w:sz w:val="28"/>
                <w:szCs w:val="28"/>
              </w:rPr>
              <w:t>遵化市东旧寨镇人民政府</w:t>
            </w:r>
          </w:p>
        </w:tc>
        <w:tc>
          <w:tcPr>
            <w:tcW w:w="12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行政</w:t>
            </w:r>
          </w:p>
        </w:tc>
        <w:tc>
          <w:tcPr>
            <w:tcW w:w="1118"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正科级</w:t>
            </w:r>
          </w:p>
        </w:tc>
        <w:tc>
          <w:tcPr>
            <w:tcW w:w="2576"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8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left"/>
              <w:rPr>
                <w:rFonts w:ascii="仿宋" w:hAnsi="仿宋" w:eastAsia="仿宋" w:cs="黑体"/>
                <w:sz w:val="28"/>
                <w:szCs w:val="28"/>
              </w:rPr>
            </w:pPr>
            <w:r>
              <w:rPr>
                <w:rFonts w:hint="eastAsia" w:ascii="仿宋" w:hAnsi="仿宋" w:eastAsia="仿宋" w:cs="黑体"/>
                <w:sz w:val="28"/>
                <w:szCs w:val="28"/>
              </w:rPr>
              <w:t>遵化市东旧寨镇党政综合办公室</w:t>
            </w:r>
          </w:p>
        </w:tc>
        <w:tc>
          <w:tcPr>
            <w:tcW w:w="12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行政</w:t>
            </w:r>
          </w:p>
        </w:tc>
        <w:tc>
          <w:tcPr>
            <w:tcW w:w="1118"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正科级</w:t>
            </w:r>
          </w:p>
        </w:tc>
        <w:tc>
          <w:tcPr>
            <w:tcW w:w="2576"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8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left"/>
              <w:rPr>
                <w:rFonts w:ascii="仿宋" w:hAnsi="仿宋" w:eastAsia="仿宋" w:cs="黑体"/>
                <w:sz w:val="28"/>
                <w:szCs w:val="28"/>
              </w:rPr>
            </w:pPr>
            <w:r>
              <w:rPr>
                <w:rFonts w:hint="eastAsia" w:ascii="仿宋" w:hAnsi="仿宋" w:eastAsia="仿宋" w:cs="黑体"/>
                <w:sz w:val="28"/>
                <w:szCs w:val="28"/>
              </w:rPr>
              <w:t>遵化市东旧寨镇社会事务办公室</w:t>
            </w:r>
          </w:p>
        </w:tc>
        <w:tc>
          <w:tcPr>
            <w:tcW w:w="12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行政</w:t>
            </w:r>
          </w:p>
        </w:tc>
        <w:tc>
          <w:tcPr>
            <w:tcW w:w="1118"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正科级</w:t>
            </w:r>
          </w:p>
        </w:tc>
        <w:tc>
          <w:tcPr>
            <w:tcW w:w="2576"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8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left"/>
              <w:rPr>
                <w:rFonts w:ascii="仿宋" w:hAnsi="仿宋" w:eastAsia="仿宋" w:cs="黑体"/>
                <w:sz w:val="28"/>
                <w:szCs w:val="28"/>
              </w:rPr>
            </w:pPr>
            <w:r>
              <w:rPr>
                <w:rFonts w:hint="eastAsia" w:ascii="仿宋" w:hAnsi="仿宋" w:eastAsia="仿宋" w:cs="黑体"/>
                <w:sz w:val="28"/>
                <w:szCs w:val="28"/>
              </w:rPr>
              <w:t>遵化市东旧寨镇经济发展办公室</w:t>
            </w:r>
          </w:p>
        </w:tc>
        <w:tc>
          <w:tcPr>
            <w:tcW w:w="12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行政</w:t>
            </w:r>
          </w:p>
        </w:tc>
        <w:tc>
          <w:tcPr>
            <w:tcW w:w="1118"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正科级</w:t>
            </w:r>
          </w:p>
        </w:tc>
        <w:tc>
          <w:tcPr>
            <w:tcW w:w="2576"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8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left"/>
              <w:rPr>
                <w:rFonts w:ascii="仿宋" w:hAnsi="仿宋" w:eastAsia="仿宋" w:cs="黑体"/>
                <w:sz w:val="28"/>
                <w:szCs w:val="28"/>
              </w:rPr>
            </w:pPr>
            <w:r>
              <w:rPr>
                <w:rFonts w:hint="eastAsia" w:ascii="仿宋" w:hAnsi="仿宋" w:eastAsia="仿宋" w:cs="黑体"/>
                <w:sz w:val="28"/>
                <w:szCs w:val="28"/>
              </w:rPr>
              <w:t>遵化市东旧寨镇城镇建设办公室</w:t>
            </w:r>
          </w:p>
        </w:tc>
        <w:tc>
          <w:tcPr>
            <w:tcW w:w="12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行政</w:t>
            </w:r>
          </w:p>
        </w:tc>
        <w:tc>
          <w:tcPr>
            <w:tcW w:w="1118"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正科级</w:t>
            </w:r>
          </w:p>
        </w:tc>
        <w:tc>
          <w:tcPr>
            <w:tcW w:w="2576"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8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left"/>
              <w:rPr>
                <w:rFonts w:ascii="仿宋" w:hAnsi="仿宋" w:eastAsia="仿宋" w:cs="黑体"/>
                <w:sz w:val="28"/>
                <w:szCs w:val="28"/>
              </w:rPr>
            </w:pPr>
            <w:r>
              <w:rPr>
                <w:rFonts w:hint="eastAsia" w:ascii="仿宋" w:hAnsi="仿宋" w:eastAsia="仿宋" w:cs="黑体"/>
                <w:sz w:val="28"/>
                <w:szCs w:val="28"/>
              </w:rPr>
              <w:t>遵化市东旧寨镇社会治安综合治理办公室</w:t>
            </w:r>
          </w:p>
        </w:tc>
        <w:tc>
          <w:tcPr>
            <w:tcW w:w="1272"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行政</w:t>
            </w:r>
          </w:p>
        </w:tc>
        <w:tc>
          <w:tcPr>
            <w:tcW w:w="1118"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正科级</w:t>
            </w:r>
          </w:p>
        </w:tc>
        <w:tc>
          <w:tcPr>
            <w:tcW w:w="2576"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ascii="仿宋" w:hAnsi="仿宋" w:eastAsia="仿宋" w:cs="黑体"/>
                <w:sz w:val="28"/>
                <w:szCs w:val="28"/>
              </w:rPr>
            </w:pPr>
            <w:r>
              <w:rPr>
                <w:rFonts w:hint="eastAsia" w:ascii="仿宋" w:hAnsi="仿宋" w:eastAsia="仿宋" w:cs="黑体"/>
                <w:sz w:val="28"/>
                <w:szCs w:val="28"/>
              </w:rPr>
              <w:t>财政拨款</w:t>
            </w:r>
          </w:p>
        </w:tc>
      </w:tr>
    </w:tbl>
    <w:p>
      <w:pPr>
        <w:spacing w:after="0" w:line="560" w:lineRule="exact"/>
        <w:rPr>
          <w:rFonts w:ascii="仿宋_GB2312" w:hAnsi="Cambria" w:eastAsia="仿宋_GB2312" w:cs="ArialUnicodeMS"/>
          <w:kern w:val="0"/>
          <w:sz w:val="32"/>
          <w:szCs w:val="32"/>
        </w:rPr>
      </w:pPr>
    </w:p>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040" name="文本框 17"/>
                <wp:cNvGraphicFramePr/>
                <a:graphic xmlns:a="http://schemas.openxmlformats.org/drawingml/2006/main">
                  <a:graphicData uri="http://schemas.microsoft.com/office/word/2010/wordprocessingShape">
                    <wps:wsp>
                      <wps:cNvSpPr/>
                      <wps:spPr>
                        <a:xfrm>
                          <a:off x="0" y="0"/>
                          <a:ext cx="7571740" cy="2020570"/>
                        </a:xfrm>
                        <a:prstGeom prst="rect">
                          <a:avLst/>
                        </a:prstGeom>
                        <a:noFill/>
                        <a:ln>
                          <a:noFill/>
                        </a:ln>
                        <a:effectLst/>
                      </wps:spPr>
                      <wps:txbx>
                        <w:txbxContent>
                          <w:p>
                            <w:pPr>
                              <w:widowControl/>
                              <w:spacing w:line="1200" w:lineRule="exact"/>
                              <w:jc w:val="center"/>
                              <w:rPr>
                                <w:rFonts w:ascii="黑体" w:hAnsi="宋体" w:eastAsia="黑体"/>
                                <w:sz w:val="96"/>
                                <w:szCs w:val="96"/>
                              </w:rPr>
                            </w:pPr>
                            <w:r>
                              <w:rPr>
                                <w:rFonts w:hint="eastAsia" w:ascii="黑体" w:hAnsi="宋体" w:eastAsia="黑体"/>
                                <w:sz w:val="96"/>
                                <w:szCs w:val="96"/>
                              </w:rPr>
                              <w:t>第二部分</w:t>
                            </w:r>
                          </w:p>
                          <w:p>
                            <w:pPr>
                              <w:widowControl/>
                              <w:spacing w:line="1200" w:lineRule="exact"/>
                              <w:jc w:val="center"/>
                              <w:rPr>
                                <w:sz w:val="96"/>
                                <w:szCs w:val="96"/>
                              </w:rPr>
                            </w:pPr>
                            <w:r>
                              <w:rPr>
                                <w:rFonts w:hint="eastAsia" w:ascii="黑体" w:hAnsi="宋体" w:eastAsia="黑体"/>
                                <w:sz w:val="96"/>
                                <w:szCs w:val="96"/>
                              </w:rPr>
                              <w:t>2018年度部门决算报表</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74.2pt;margin-top:120.3pt;height:159.1pt;width:596.2pt;z-index:251662336;mso-width-relative:page;mso-height-relative:page;" filled="f" stroked="f" coordsize="21600,21600" o:gfxdata="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t0Ut0A&#10;AAANAQAADwAAAAAAAAABACAAAAAiAAAAZHJzL2Rvd25yZXYueG1sUEsBAhQAFAAAAAgAh07iQAih&#10;W07hAQAAvgMAAA4AAAAAAAAAAQAgAAAALAEAAGRycy9lMm9Eb2MueG1sUEsFBgAAAAAGAAYAWQEA&#10;AH8FAAAAAA==&#10;">
                <v:fill on="f" focussize="0,0"/>
                <v:stroke on="f"/>
                <v:imagedata o:title=""/>
                <o:lock v:ext="edit" aspectratio="f"/>
                <v:textbox>
                  <w:txbxContent>
                    <w:p>
                      <w:pPr>
                        <w:widowControl/>
                        <w:spacing w:line="1200" w:lineRule="exact"/>
                        <w:jc w:val="center"/>
                        <w:rPr>
                          <w:rFonts w:ascii="黑体" w:hAnsi="宋体" w:eastAsia="黑体"/>
                          <w:sz w:val="96"/>
                          <w:szCs w:val="96"/>
                        </w:rPr>
                      </w:pPr>
                      <w:r>
                        <w:rPr>
                          <w:rFonts w:hint="eastAsia" w:ascii="黑体" w:hAnsi="宋体" w:eastAsia="黑体"/>
                          <w:sz w:val="96"/>
                          <w:szCs w:val="96"/>
                        </w:rPr>
                        <w:t>第二部分</w:t>
                      </w:r>
                    </w:p>
                    <w:p>
                      <w:pPr>
                        <w:widowControl/>
                        <w:spacing w:line="1200" w:lineRule="exact"/>
                        <w:jc w:val="center"/>
                        <w:rPr>
                          <w:sz w:val="96"/>
                          <w:szCs w:val="96"/>
                        </w:rPr>
                      </w:pPr>
                      <w:r>
                        <w:rPr>
                          <w:rFonts w:hint="eastAsia" w:ascii="黑体" w:hAnsi="宋体" w:eastAsia="黑体"/>
                          <w:sz w:val="96"/>
                          <w:szCs w:val="96"/>
                        </w:rPr>
                        <w:t>2018年度部门决算报表</w:t>
                      </w:r>
                    </w:p>
                  </w:txbxContent>
                </v:textbox>
              </v:rect>
            </w:pict>
          </mc:Fallback>
        </mc:AlternateContent>
      </w:r>
    </w:p>
    <w:tbl>
      <w:tblPr>
        <w:tblStyle w:val="12"/>
        <w:tblW w:w="9300" w:type="dxa"/>
        <w:jc w:val="center"/>
        <w:tblLayout w:type="fixed"/>
        <w:tblCellMar>
          <w:top w:w="0" w:type="dxa"/>
          <w:left w:w="0" w:type="dxa"/>
          <w:bottom w:w="0" w:type="dxa"/>
          <w:right w:w="0" w:type="dxa"/>
        </w:tblCellMar>
      </w:tblPr>
      <w:tblGrid>
        <w:gridCol w:w="2496"/>
        <w:gridCol w:w="204"/>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kern w:val="0"/>
                <w:sz w:val="40"/>
                <w:szCs w:val="40"/>
              </w:rPr>
            </w:pPr>
            <w:r>
              <w:rPr>
                <w:rFonts w:hint="eastAsia" w:ascii="黑体" w:hAnsi="宋体" w:eastAsia="黑体" w:cs="黑体"/>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49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sz w:val="20"/>
                <w:szCs w:val="20"/>
              </w:rPr>
            </w:pPr>
          </w:p>
        </w:tc>
        <w:tc>
          <w:tcPr>
            <w:tcW w:w="77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公开01表</w:t>
            </w:r>
          </w:p>
        </w:tc>
      </w:tr>
      <w:tr>
        <w:tblPrEx>
          <w:tblCellMar>
            <w:top w:w="0" w:type="dxa"/>
            <w:left w:w="0" w:type="dxa"/>
            <w:bottom w:w="0" w:type="dxa"/>
            <w:right w:w="0" w:type="dxa"/>
          </w:tblCellMar>
        </w:tblPrEx>
        <w:trPr>
          <w:trHeight w:val="418" w:hRule="atLeast"/>
          <w:jc w:val="center"/>
        </w:trPr>
        <w:tc>
          <w:tcPr>
            <w:tcW w:w="4603"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sz w:val="20"/>
                <w:szCs w:val="20"/>
              </w:rPr>
            </w:pPr>
            <w:r>
              <w:rPr>
                <w:rFonts w:hint="eastAsia" w:ascii="宋体" w:hAnsi="宋体" w:cs="宋体"/>
                <w:kern w:val="0"/>
                <w:sz w:val="20"/>
                <w:szCs w:val="20"/>
              </w:rPr>
              <w:t>部门：遵化市东旧寨镇人</w:t>
            </w:r>
            <w:r>
              <w:rPr>
                <w:rFonts w:ascii="宋体" w:hAnsi="宋体" w:cs="宋体"/>
                <w:sz w:val="20"/>
                <w:szCs w:val="20"/>
              </w:rPr>
              <w:t>民政府</w:t>
            </w: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2</w:t>
            </w:r>
          </w:p>
        </w:tc>
      </w:tr>
      <w:tr>
        <w:tblPrEx>
          <w:tblCellMar>
            <w:top w:w="0" w:type="dxa"/>
            <w:left w:w="0" w:type="dxa"/>
            <w:bottom w:w="0" w:type="dxa"/>
            <w:right w:w="0" w:type="dxa"/>
          </w:tblCellMar>
        </w:tblPrEx>
        <w:trPr>
          <w:trHeight w:val="385"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cs="Arial"/>
                <w:color w:val="000000"/>
                <w:kern w:val="0"/>
                <w:sz w:val="22"/>
                <w:szCs w:val="22"/>
              </w:rPr>
            </w:pPr>
            <w:r>
              <w:rPr>
                <w:rFonts w:hint="eastAsia" w:cs="Arial"/>
                <w:color w:val="000000"/>
                <w:sz w:val="22"/>
                <w:szCs w:val="22"/>
              </w:rPr>
              <w:t>609.68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cs="Arial"/>
                <w:color w:val="000000"/>
                <w:kern w:val="0"/>
                <w:sz w:val="22"/>
                <w:szCs w:val="22"/>
              </w:rPr>
            </w:pPr>
            <w:r>
              <w:rPr>
                <w:rFonts w:hint="eastAsia" w:cs="Arial"/>
                <w:color w:val="000000"/>
                <w:sz w:val="22"/>
                <w:szCs w:val="22"/>
              </w:rPr>
              <w:t>519.15</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ascii="宋体" w:hAnsi="宋体" w:cs="宋体"/>
                <w:sz w:val="20"/>
                <w:szCs w:val="20"/>
              </w:rPr>
              <w:t>48.65</w:t>
            </w:r>
          </w:p>
        </w:tc>
      </w:tr>
      <w:tr>
        <w:tblPrEx>
          <w:tblCellMar>
            <w:top w:w="0" w:type="dxa"/>
            <w:left w:w="0" w:type="dxa"/>
            <w:bottom w:w="0" w:type="dxa"/>
            <w:right w:w="0" w:type="dxa"/>
          </w:tblCellMar>
        </w:tblPrEx>
        <w:trPr>
          <w:trHeight w:val="39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ascii="宋体" w:hAnsi="宋体" w:cs="宋体"/>
                <w:sz w:val="20"/>
                <w:szCs w:val="20"/>
              </w:rPr>
              <w:t>13.71</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ascii="宋体" w:hAnsi="宋体" w:cs="宋体"/>
                <w:sz w:val="20"/>
                <w:szCs w:val="20"/>
              </w:rPr>
              <w:t>28.17</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cs="Arial"/>
                <w:color w:val="000000"/>
                <w:kern w:val="0"/>
                <w:sz w:val="22"/>
                <w:szCs w:val="22"/>
              </w:rPr>
            </w:pPr>
            <w:r>
              <w:rPr>
                <w:rFonts w:hint="eastAsia" w:cs="Arial"/>
                <w:color w:val="000000"/>
                <w:sz w:val="22"/>
                <w:szCs w:val="22"/>
              </w:rPr>
              <w:t>609.68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cs="Arial"/>
                <w:color w:val="000000"/>
                <w:kern w:val="0"/>
                <w:sz w:val="22"/>
                <w:szCs w:val="22"/>
              </w:rPr>
            </w:pPr>
            <w:r>
              <w:rPr>
                <w:rFonts w:hint="eastAsia" w:cs="Arial"/>
                <w:color w:val="000000"/>
                <w:sz w:val="22"/>
                <w:szCs w:val="22"/>
              </w:rPr>
              <w:t>609.68</w:t>
            </w:r>
          </w:p>
        </w:tc>
      </w:tr>
      <w:tr>
        <w:tblPrEx>
          <w:tblCellMar>
            <w:top w:w="0" w:type="dxa"/>
            <w:left w:w="0" w:type="dxa"/>
            <w:bottom w:w="0" w:type="dxa"/>
            <w:right w:w="0" w:type="dxa"/>
          </w:tblCellMar>
        </w:tblPrEx>
        <w:trPr>
          <w:trHeight w:val="385"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18"/>
                <w:szCs w:val="18"/>
              </w:rPr>
            </w:pPr>
            <w:r>
              <w:rPr>
                <w:rFonts w:hint="eastAsia" w:ascii="宋体" w:hAnsi="宋体" w:cs="宋体"/>
                <w:sz w:val="18"/>
                <w:szCs w:val="18"/>
              </w:rPr>
              <w:t>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18"/>
                <w:szCs w:val="18"/>
              </w:rPr>
            </w:pPr>
            <w:r>
              <w:rPr>
                <w:rFonts w:hint="eastAsia" w:ascii="宋体" w:hAnsi="宋体" w:cs="宋体"/>
                <w:sz w:val="18"/>
                <w:szCs w:val="18"/>
              </w:rPr>
              <w:t>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0</w:t>
            </w:r>
          </w:p>
        </w:tc>
      </w:tr>
      <w:tr>
        <w:tblPrEx>
          <w:tblCellMar>
            <w:top w:w="0" w:type="dxa"/>
            <w:left w:w="0" w:type="dxa"/>
            <w:bottom w:w="0" w:type="dxa"/>
            <w:right w:w="0" w:type="dxa"/>
          </w:tblCellMar>
        </w:tblPrEx>
        <w:trPr>
          <w:trHeight w:val="337" w:hRule="atLeast"/>
          <w:jc w:val="center"/>
        </w:trPr>
        <w:tc>
          <w:tcPr>
            <w:tcW w:w="27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cs="Arial"/>
                <w:color w:val="000000"/>
                <w:kern w:val="0"/>
                <w:sz w:val="22"/>
                <w:szCs w:val="22"/>
              </w:rPr>
            </w:pPr>
            <w:r>
              <w:rPr>
                <w:rFonts w:hint="eastAsia" w:cs="Arial"/>
                <w:color w:val="000000"/>
                <w:sz w:val="22"/>
                <w:szCs w:val="22"/>
              </w:rPr>
              <w:t>609.68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cs="Arial"/>
                <w:color w:val="000000"/>
                <w:kern w:val="0"/>
                <w:sz w:val="22"/>
                <w:szCs w:val="22"/>
              </w:rPr>
            </w:pPr>
            <w:r>
              <w:rPr>
                <w:rFonts w:hint="eastAsia" w:cs="Arial"/>
                <w:color w:val="000000"/>
                <w:sz w:val="22"/>
                <w:szCs w:val="22"/>
              </w:rPr>
              <w:t>609.68</w:t>
            </w:r>
          </w:p>
        </w:tc>
      </w:tr>
      <w:tr>
        <w:tblPrEx>
          <w:tblCellMar>
            <w:top w:w="0" w:type="dxa"/>
            <w:left w:w="0" w:type="dxa"/>
            <w:bottom w:w="0" w:type="dxa"/>
            <w:right w:w="0" w:type="dxa"/>
          </w:tblCellMar>
        </w:tblPrEx>
        <w:trPr>
          <w:trHeight w:val="417" w:hRule="atLeast"/>
          <w:jc w:val="center"/>
        </w:trPr>
        <w:tc>
          <w:tcPr>
            <w:tcW w:w="9300"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Cs w:val="21"/>
              </w:rPr>
            </w:pPr>
            <w:r>
              <w:rPr>
                <w:rFonts w:hint="eastAsia" w:ascii="宋体" w:hAnsi="宋体" w:cs="宋体"/>
                <w:kern w:val="0"/>
                <w:szCs w:val="21"/>
              </w:rPr>
              <w:t>注：本表反映部门本年度的总收支和年末结转结余情况。</w:t>
            </w:r>
          </w:p>
        </w:tc>
      </w:tr>
    </w:tbl>
    <w:p>
      <w:pPr>
        <w:widowControl/>
        <w:spacing w:after="0" w:line="560" w:lineRule="exact"/>
        <w:rPr>
          <w:rFonts w:ascii="仿宋_GB2312" w:hAnsi="宋体" w:eastAsia="仿宋_GB2312"/>
          <w:b/>
          <w:sz w:val="28"/>
          <w:szCs w:val="28"/>
        </w:rPr>
      </w:pPr>
    </w:p>
    <w:p>
      <w:pPr>
        <w:widowControl/>
        <w:spacing w:after="0" w:line="560" w:lineRule="exact"/>
        <w:jc w:val="center"/>
        <w:rPr>
          <w:rFonts w:ascii="仿宋_GB2312" w:hAnsi="宋体" w:eastAsia="仿宋_GB2312"/>
          <w:b/>
          <w:sz w:val="28"/>
          <w:szCs w:val="28"/>
        </w:rPr>
      </w:pPr>
      <w:r>
        <w:rPr>
          <w:rFonts w:hint="eastAsia" w:ascii="仿宋_GB2312" w:hAnsi="宋体" w:eastAsia="仿宋_GB2312"/>
          <w:b/>
          <w:sz w:val="28"/>
          <w:szCs w:val="28"/>
        </w:rPr>
        <w:t>收入决算表</w:t>
      </w:r>
    </w:p>
    <w:p>
      <w:pPr>
        <w:widowControl/>
        <w:spacing w:after="0" w:line="560" w:lineRule="exact"/>
        <w:jc w:val="right"/>
        <w:rPr>
          <w:rFonts w:asciiTheme="majorEastAsia" w:hAnsiTheme="majorEastAsia" w:eastAsiaTheme="majorEastAsia"/>
          <w:sz w:val="20"/>
          <w:szCs w:val="20"/>
        </w:rPr>
      </w:pPr>
      <w:r>
        <w:rPr>
          <w:rFonts w:hint="eastAsia" w:asciiTheme="majorEastAsia" w:hAnsiTheme="majorEastAsia" w:eastAsiaTheme="majorEastAsia"/>
          <w:sz w:val="20"/>
          <w:szCs w:val="20"/>
        </w:rPr>
        <w:t>公开02表</w:t>
      </w:r>
    </w:p>
    <w:p>
      <w:pPr>
        <w:widowControl/>
        <w:spacing w:after="0" w:line="560" w:lineRule="exact"/>
        <w:jc w:val="left"/>
        <w:rPr>
          <w:rFonts w:cs="___WRD_EMBED_SUB_40" w:asciiTheme="minorEastAsia" w:hAnsiTheme="minorEastAsia" w:eastAsiaTheme="minorEastAsia"/>
          <w:szCs w:val="21"/>
        </w:rPr>
      </w:pPr>
      <w:r>
        <w:rPr>
          <w:rFonts w:hint="eastAsia" w:asciiTheme="majorEastAsia" w:hAnsiTheme="majorEastAsia" w:eastAsiaTheme="majorEastAsia"/>
          <w:sz w:val="20"/>
          <w:szCs w:val="20"/>
        </w:rPr>
        <w:t>部门：</w:t>
      </w:r>
      <w:r>
        <w:rPr>
          <w:rFonts w:hint="eastAsia" w:cs="宋体" w:asciiTheme="majorEastAsia" w:hAnsiTheme="majorEastAsia" w:eastAsiaTheme="majorEastAsia"/>
          <w:sz w:val="20"/>
          <w:szCs w:val="20"/>
        </w:rPr>
        <w:t>遵</w:t>
      </w:r>
      <w:r>
        <w:rPr>
          <w:rFonts w:hint="eastAsia" w:cs="___WRD_EMBED_SUB_40" w:asciiTheme="majorEastAsia" w:hAnsiTheme="majorEastAsia" w:eastAsiaTheme="majorEastAsia"/>
          <w:sz w:val="20"/>
          <w:szCs w:val="20"/>
        </w:rPr>
        <w:t>化市</w:t>
      </w:r>
      <w:r>
        <w:rPr>
          <w:rFonts w:hint="eastAsia" w:cs="宋体" w:asciiTheme="majorEastAsia" w:hAnsiTheme="majorEastAsia" w:eastAsiaTheme="majorEastAsia"/>
          <w:sz w:val="20"/>
          <w:szCs w:val="20"/>
        </w:rPr>
        <w:t>东旧寨镇</w:t>
      </w:r>
      <w:r>
        <w:rPr>
          <w:rFonts w:hint="eastAsia" w:cs="___WRD_EMBED_SUB_40" w:asciiTheme="majorEastAsia" w:hAnsiTheme="majorEastAsia" w:eastAsiaTheme="majorEastAsia"/>
          <w:sz w:val="20"/>
          <w:szCs w:val="20"/>
        </w:rPr>
        <w:t>人民政府</w:t>
      </w:r>
      <w:r>
        <w:rPr>
          <w:rFonts w:hint="eastAsia" w:cs="___WRD_EMBED_SUB_40" w:asciiTheme="minorEastAsia" w:hAnsiTheme="minorEastAsia" w:eastAsiaTheme="minorEastAsia"/>
          <w:szCs w:val="21"/>
        </w:rPr>
        <w:t xml:space="preserve"> </w:t>
      </w:r>
      <w:r>
        <w:rPr>
          <w:rFonts w:hint="eastAsia" w:ascii="___WRD_EMBED_SUB_40" w:hAnsi="___WRD_EMBED_SUB_40" w:eastAsia="___WRD_EMBED_SUB_40" w:cs="___WRD_EMBED_SUB_40"/>
          <w:sz w:val="18"/>
          <w:szCs w:val="18"/>
        </w:rPr>
        <w:t xml:space="preserve">                                           </w:t>
      </w:r>
      <w:r>
        <w:rPr>
          <w:rFonts w:hint="eastAsia" w:cs="___WRD_EMBED_SUB_40" w:asciiTheme="majorEastAsia" w:hAnsiTheme="majorEastAsia" w:eastAsiaTheme="majorEastAsia"/>
          <w:sz w:val="20"/>
          <w:szCs w:val="20"/>
        </w:rPr>
        <w:t xml:space="preserve">     金额单位：万元  </w:t>
      </w:r>
    </w:p>
    <w:tbl>
      <w:tblPr>
        <w:tblStyle w:val="12"/>
        <w:tblW w:w="9125" w:type="dxa"/>
        <w:tblInd w:w="108" w:type="dxa"/>
        <w:tblLayout w:type="fixed"/>
        <w:tblCellMar>
          <w:top w:w="0" w:type="dxa"/>
          <w:left w:w="108" w:type="dxa"/>
          <w:bottom w:w="0" w:type="dxa"/>
          <w:right w:w="108" w:type="dxa"/>
        </w:tblCellMar>
      </w:tblPr>
      <w:tblGrid>
        <w:gridCol w:w="916"/>
        <w:gridCol w:w="3195"/>
        <w:gridCol w:w="851"/>
        <w:gridCol w:w="850"/>
        <w:gridCol w:w="709"/>
        <w:gridCol w:w="620"/>
        <w:gridCol w:w="620"/>
        <w:gridCol w:w="744"/>
        <w:gridCol w:w="620"/>
      </w:tblGrid>
      <w:tr>
        <w:tblPrEx>
          <w:tblCellMar>
            <w:top w:w="0" w:type="dxa"/>
            <w:left w:w="108" w:type="dxa"/>
            <w:bottom w:w="0" w:type="dxa"/>
            <w:right w:w="108" w:type="dxa"/>
          </w:tblCellMar>
        </w:tblPrEx>
        <w:trPr>
          <w:trHeight w:val="319" w:hRule="atLeast"/>
        </w:trPr>
        <w:tc>
          <w:tcPr>
            <w:tcW w:w="41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项目</w:t>
            </w:r>
          </w:p>
        </w:tc>
        <w:tc>
          <w:tcPr>
            <w:tcW w:w="851"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本年收入合计</w:t>
            </w:r>
          </w:p>
        </w:tc>
        <w:tc>
          <w:tcPr>
            <w:tcW w:w="850"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财政拨款收入</w:t>
            </w:r>
          </w:p>
        </w:tc>
        <w:tc>
          <w:tcPr>
            <w:tcW w:w="709"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上级补助收入</w:t>
            </w:r>
          </w:p>
        </w:tc>
        <w:tc>
          <w:tcPr>
            <w:tcW w:w="620"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事业收入</w:t>
            </w:r>
          </w:p>
        </w:tc>
        <w:tc>
          <w:tcPr>
            <w:tcW w:w="620"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经营收入</w:t>
            </w:r>
          </w:p>
        </w:tc>
        <w:tc>
          <w:tcPr>
            <w:tcW w:w="744"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附属单位上缴收入</w:t>
            </w:r>
          </w:p>
        </w:tc>
        <w:tc>
          <w:tcPr>
            <w:tcW w:w="620"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其他收入</w:t>
            </w:r>
          </w:p>
        </w:tc>
      </w:tr>
      <w:tr>
        <w:tblPrEx>
          <w:tblCellMar>
            <w:top w:w="0" w:type="dxa"/>
            <w:left w:w="108" w:type="dxa"/>
            <w:bottom w:w="0" w:type="dxa"/>
            <w:right w:w="108" w:type="dxa"/>
          </w:tblCellMar>
        </w:tblPrEx>
        <w:trPr>
          <w:trHeight w:val="319" w:hRule="atLeast"/>
        </w:trPr>
        <w:tc>
          <w:tcPr>
            <w:tcW w:w="91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功能分类科目编码</w:t>
            </w:r>
          </w:p>
        </w:tc>
        <w:tc>
          <w:tcPr>
            <w:tcW w:w="3195" w:type="dxa"/>
            <w:vMerge w:val="restart"/>
            <w:tcBorders>
              <w:top w:val="nil"/>
              <w:left w:val="nil"/>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科目名称</w:t>
            </w:r>
          </w:p>
        </w:tc>
        <w:tc>
          <w:tcPr>
            <w:tcW w:w="851"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709"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62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62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744"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62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19" w:hRule="atLeast"/>
        </w:trPr>
        <w:tc>
          <w:tcPr>
            <w:tcW w:w="916"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3195"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51"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709"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62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62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744"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62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19" w:hRule="atLeast"/>
        </w:trPr>
        <w:tc>
          <w:tcPr>
            <w:tcW w:w="916"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3195"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51"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709"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62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62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744"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62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19" w:hRule="atLeast"/>
        </w:trPr>
        <w:tc>
          <w:tcPr>
            <w:tcW w:w="4111" w:type="dxa"/>
            <w:gridSpan w:val="2"/>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栏次</w:t>
            </w:r>
          </w:p>
        </w:tc>
        <w:tc>
          <w:tcPr>
            <w:tcW w:w="851"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850"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709"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620"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4</w:t>
            </w:r>
          </w:p>
        </w:tc>
        <w:tc>
          <w:tcPr>
            <w:tcW w:w="620"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744"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6</w:t>
            </w:r>
          </w:p>
        </w:tc>
        <w:tc>
          <w:tcPr>
            <w:tcW w:w="620"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7</w:t>
            </w:r>
          </w:p>
        </w:tc>
      </w:tr>
      <w:tr>
        <w:tblPrEx>
          <w:tblCellMar>
            <w:top w:w="0" w:type="dxa"/>
            <w:left w:w="108" w:type="dxa"/>
            <w:bottom w:w="0" w:type="dxa"/>
            <w:right w:w="108" w:type="dxa"/>
          </w:tblCellMar>
        </w:tblPrEx>
        <w:trPr>
          <w:trHeight w:val="319" w:hRule="atLeast"/>
        </w:trPr>
        <w:tc>
          <w:tcPr>
            <w:tcW w:w="4111" w:type="dxa"/>
            <w:gridSpan w:val="2"/>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b/>
                <w:bCs/>
                <w:color w:val="000000"/>
                <w:kern w:val="0"/>
                <w:sz w:val="22"/>
                <w:szCs w:val="22"/>
              </w:rPr>
            </w:pPr>
            <w:r>
              <w:rPr>
                <w:rFonts w:hint="eastAsia" w:cs="Arial"/>
                <w:b/>
                <w:bCs/>
                <w:color w:val="000000"/>
                <w:sz w:val="22"/>
                <w:szCs w:val="22"/>
              </w:rPr>
              <w:t>6</w:t>
            </w:r>
            <w:r>
              <w:rPr>
                <w:rFonts w:cs="Arial"/>
                <w:b/>
                <w:bCs/>
                <w:color w:val="000000"/>
                <w:sz w:val="22"/>
                <w:szCs w:val="22"/>
              </w:rPr>
              <w:t>09.68</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r>
              <w:rPr>
                <w:rFonts w:hint="eastAsia" w:cs="Arial"/>
                <w:b/>
                <w:bCs/>
                <w:color w:val="000000"/>
                <w:sz w:val="22"/>
                <w:szCs w:val="22"/>
              </w:rPr>
              <w:t>6</w:t>
            </w:r>
            <w:r>
              <w:rPr>
                <w:rFonts w:cs="Arial"/>
                <w:b/>
                <w:bCs/>
                <w:color w:val="000000"/>
                <w:sz w:val="22"/>
                <w:szCs w:val="22"/>
              </w:rPr>
              <w:t>09.68</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一般公共服务支出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519.15</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519.15</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20103</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政府办公厅（室）及相关机构事务</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463.55</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463.55</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2010301</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360.19</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360.19</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2010302</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一般行政管理事务</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103.36</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103.36</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20106</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财政事务</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2010601</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20131</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党委办公厅（室）及相关机构事务</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2013101</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210</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医疗卫生与计划生育支出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21001</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医疗卫生与计划生育管理事务</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2100101</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212</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城乡社区支出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21205</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城乡社区环境卫生</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2120501</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城乡社区环境卫生</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213</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农林水支出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21301</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农业</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19" w:hRule="atLeast"/>
        </w:trPr>
        <w:tc>
          <w:tcPr>
            <w:tcW w:w="9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2130126</w:t>
            </w:r>
          </w:p>
        </w:tc>
        <w:tc>
          <w:tcPr>
            <w:tcW w:w="3195"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农村公益事业</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28.17</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28.17</w:t>
            </w:r>
          </w:p>
        </w:tc>
        <w:tc>
          <w:tcPr>
            <w:tcW w:w="70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7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62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bl>
    <w:p>
      <w:pPr>
        <w:widowControl/>
        <w:spacing w:after="0" w:line="560" w:lineRule="exact"/>
        <w:jc w:val="left"/>
        <w:rPr>
          <w:rFonts w:asciiTheme="minorEastAsia" w:hAnsiTheme="minorEastAsia" w:eastAsiaTheme="minorEastAsia"/>
          <w:sz w:val="20"/>
          <w:szCs w:val="20"/>
          <w:highlight w:val="yellow"/>
        </w:rPr>
        <w:sectPr>
          <w:pgSz w:w="11906" w:h="16838"/>
          <w:pgMar w:top="2098" w:right="1474" w:bottom="1984" w:left="1588" w:header="851" w:footer="992" w:gutter="0"/>
          <w:cols w:space="0" w:num="1"/>
          <w:docGrid w:type="lines" w:linePitch="312" w:charSpace="0"/>
        </w:sectPr>
      </w:pPr>
      <w:r>
        <w:rPr>
          <w:rFonts w:hint="eastAsia" w:asciiTheme="minorEastAsia" w:hAnsiTheme="minorEastAsia" w:eastAsiaTheme="minorEastAsia"/>
          <w:sz w:val="20"/>
          <w:szCs w:val="20"/>
        </w:rPr>
        <w:t>注：本表反映部门本年度取得的各项收入情况</w:t>
      </w:r>
    </w:p>
    <w:tbl>
      <w:tblPr>
        <w:tblStyle w:val="12"/>
        <w:tblW w:w="9492" w:type="dxa"/>
        <w:tblInd w:w="-552" w:type="dxa"/>
        <w:tblLayout w:type="fixed"/>
        <w:tblCellMar>
          <w:top w:w="0" w:type="dxa"/>
          <w:left w:w="0" w:type="dxa"/>
          <w:bottom w:w="0" w:type="dxa"/>
          <w:right w:w="0" w:type="dxa"/>
        </w:tblCellMar>
      </w:tblPr>
      <w:tblGrid>
        <w:gridCol w:w="550"/>
        <w:gridCol w:w="267"/>
        <w:gridCol w:w="281"/>
        <w:gridCol w:w="782"/>
        <w:gridCol w:w="386"/>
        <w:gridCol w:w="702"/>
        <w:gridCol w:w="9"/>
        <w:gridCol w:w="34"/>
        <w:gridCol w:w="250"/>
        <w:gridCol w:w="75"/>
        <w:gridCol w:w="262"/>
        <w:gridCol w:w="513"/>
        <w:gridCol w:w="575"/>
        <w:gridCol w:w="1090"/>
        <w:gridCol w:w="534"/>
        <w:gridCol w:w="353"/>
        <w:gridCol w:w="201"/>
        <w:gridCol w:w="82"/>
        <w:gridCol w:w="568"/>
        <w:gridCol w:w="226"/>
        <w:gridCol w:w="214"/>
        <w:gridCol w:w="385"/>
        <w:gridCol w:w="308"/>
        <w:gridCol w:w="650"/>
        <w:gridCol w:w="195"/>
      </w:tblGrid>
      <w:tr>
        <w:tblPrEx>
          <w:tblCellMar>
            <w:top w:w="0" w:type="dxa"/>
            <w:left w:w="0" w:type="dxa"/>
            <w:bottom w:w="0" w:type="dxa"/>
            <w:right w:w="0" w:type="dxa"/>
          </w:tblCellMar>
        </w:tblPrEx>
        <w:trPr>
          <w:gridAfter w:val="1"/>
          <w:wAfter w:w="195" w:type="dxa"/>
          <w:trHeight w:val="799" w:hRule="atLeast"/>
        </w:trPr>
        <w:tc>
          <w:tcPr>
            <w:tcW w:w="9297" w:type="dxa"/>
            <w:gridSpan w:val="2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gridAfter w:val="1"/>
          <w:wAfter w:w="195" w:type="dxa"/>
          <w:trHeight w:val="404" w:hRule="atLeast"/>
        </w:trPr>
        <w:tc>
          <w:tcPr>
            <w:tcW w:w="817"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1"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8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8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30"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8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8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90"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43"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gridAfter w:val="1"/>
          <w:wAfter w:w="195" w:type="dxa"/>
          <w:trHeight w:val="380" w:hRule="atLeast"/>
        </w:trPr>
        <w:tc>
          <w:tcPr>
            <w:tcW w:w="3598"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ind w:firstLine="210" w:firstLineChars="100"/>
              <w:jc w:val="left"/>
              <w:textAlignment w:val="center"/>
              <w:rPr>
                <w:rFonts w:ascii="宋体" w:hAnsi="宋体" w:cs="宋体"/>
                <w:color w:val="000000"/>
                <w:szCs w:val="21"/>
              </w:rPr>
            </w:pPr>
            <w:r>
              <w:rPr>
                <w:rFonts w:hint="eastAsia" w:ascii="宋体" w:hAnsi="宋体" w:cs="宋体"/>
                <w:color w:val="000000"/>
                <w:kern w:val="0"/>
                <w:szCs w:val="21"/>
              </w:rPr>
              <w:t>部门：遵化市东旧寨镇人民政府</w:t>
            </w:r>
          </w:p>
        </w:tc>
        <w:tc>
          <w:tcPr>
            <w:tcW w:w="108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8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33"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95" w:type="dxa"/>
          <w:trHeight w:val="749" w:hRule="atLeast"/>
        </w:trPr>
        <w:tc>
          <w:tcPr>
            <w:tcW w:w="9297" w:type="dxa"/>
            <w:gridSpan w:val="24"/>
            <w:tcBorders>
              <w:top w:val="nil"/>
              <w:left w:val="nil"/>
              <w:bottom w:val="nil"/>
              <w:right w:val="nil"/>
            </w:tcBorders>
            <w:shd w:val="clear" w:color="auto" w:fill="auto"/>
            <w:noWrap/>
            <w:tcMar>
              <w:top w:w="15" w:type="dxa"/>
              <w:left w:w="15" w:type="dxa"/>
              <w:right w:w="15" w:type="dxa"/>
            </w:tcMar>
            <w:vAlign w:val="center"/>
          </w:tcPr>
          <w:tbl>
            <w:tblPr>
              <w:tblStyle w:val="12"/>
              <w:tblW w:w="8931" w:type="dxa"/>
              <w:tblInd w:w="268" w:type="dxa"/>
              <w:tblLayout w:type="fixed"/>
              <w:tblCellMar>
                <w:top w:w="0" w:type="dxa"/>
                <w:left w:w="108" w:type="dxa"/>
                <w:bottom w:w="0" w:type="dxa"/>
                <w:right w:w="108" w:type="dxa"/>
              </w:tblCellMar>
            </w:tblPr>
            <w:tblGrid>
              <w:gridCol w:w="993"/>
              <w:gridCol w:w="2552"/>
              <w:gridCol w:w="850"/>
              <w:gridCol w:w="844"/>
              <w:gridCol w:w="828"/>
              <w:gridCol w:w="966"/>
              <w:gridCol w:w="829"/>
              <w:gridCol w:w="1069"/>
            </w:tblGrid>
            <w:tr>
              <w:tblPrEx>
                <w:tblCellMar>
                  <w:top w:w="0" w:type="dxa"/>
                  <w:left w:w="108" w:type="dxa"/>
                  <w:bottom w:w="0" w:type="dxa"/>
                  <w:right w:w="108" w:type="dxa"/>
                </w:tblCellMar>
              </w:tblPrEx>
              <w:trPr>
                <w:trHeight w:val="255" w:hRule="atLeast"/>
              </w:trPr>
              <w:tc>
                <w:tcPr>
                  <w:tcW w:w="4395" w:type="dxa"/>
                  <w:gridSpan w:val="3"/>
                  <w:tcBorders>
                    <w:top w:val="nil"/>
                    <w:left w:val="nil"/>
                    <w:bottom w:val="nil"/>
                    <w:right w:val="nil"/>
                  </w:tcBorders>
                  <w:shd w:val="clear" w:color="auto" w:fill="auto"/>
                  <w:noWrap/>
                  <w:vAlign w:val="bottom"/>
                </w:tcPr>
                <w:p>
                  <w:pPr>
                    <w:widowControl/>
                    <w:spacing w:after="0" w:line="240" w:lineRule="auto"/>
                    <w:jc w:val="left"/>
                    <w:rPr>
                      <w:rFonts w:ascii="宋体" w:hAnsi="宋体" w:cs="Arial"/>
                      <w:color w:val="000000"/>
                      <w:kern w:val="0"/>
                      <w:sz w:val="20"/>
                      <w:szCs w:val="20"/>
                    </w:rPr>
                  </w:pPr>
                </w:p>
              </w:tc>
              <w:tc>
                <w:tcPr>
                  <w:tcW w:w="844"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828"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966"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829"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1069" w:type="dxa"/>
                  <w:tcBorders>
                    <w:top w:val="nil"/>
                    <w:left w:val="nil"/>
                    <w:bottom w:val="nil"/>
                    <w:right w:val="nil"/>
                  </w:tcBorders>
                  <w:shd w:val="clear" w:color="auto" w:fill="auto"/>
                  <w:noWrap/>
                  <w:vAlign w:val="bottom"/>
                </w:tcPr>
                <w:p>
                  <w:pPr>
                    <w:widowControl/>
                    <w:spacing w:after="0" w:line="240" w:lineRule="auto"/>
                    <w:jc w:val="right"/>
                    <w:rPr>
                      <w:rFonts w:ascii="宋体" w:hAnsi="宋体" w:cs="Arial"/>
                      <w:color w:val="000000"/>
                      <w:kern w:val="0"/>
                      <w:sz w:val="20"/>
                      <w:szCs w:val="20"/>
                    </w:rPr>
                  </w:pPr>
                </w:p>
              </w:tc>
            </w:tr>
            <w:tr>
              <w:tblPrEx>
                <w:tblCellMar>
                  <w:top w:w="0" w:type="dxa"/>
                  <w:left w:w="108" w:type="dxa"/>
                  <w:bottom w:w="0" w:type="dxa"/>
                  <w:right w:w="108" w:type="dxa"/>
                </w:tblCellMar>
              </w:tblPrEx>
              <w:trPr>
                <w:trHeight w:val="308" w:hRule="atLeast"/>
              </w:trPr>
              <w:tc>
                <w:tcPr>
                  <w:tcW w:w="35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项目</w:t>
                  </w:r>
                </w:p>
              </w:tc>
              <w:tc>
                <w:tcPr>
                  <w:tcW w:w="850"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本年支出合计</w:t>
                  </w:r>
                </w:p>
              </w:tc>
              <w:tc>
                <w:tcPr>
                  <w:tcW w:w="844"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基本支出</w:t>
                  </w:r>
                </w:p>
              </w:tc>
              <w:tc>
                <w:tcPr>
                  <w:tcW w:w="828"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项目支出</w:t>
                  </w:r>
                </w:p>
              </w:tc>
              <w:tc>
                <w:tcPr>
                  <w:tcW w:w="966"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上缴上级支出</w:t>
                  </w:r>
                </w:p>
              </w:tc>
              <w:tc>
                <w:tcPr>
                  <w:tcW w:w="829"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经营支出</w:t>
                  </w:r>
                </w:p>
              </w:tc>
              <w:tc>
                <w:tcPr>
                  <w:tcW w:w="1069" w:type="dxa"/>
                  <w:vMerge w:val="restart"/>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对附属单位补助支出</w:t>
                  </w:r>
                </w:p>
              </w:tc>
            </w:tr>
            <w:tr>
              <w:tblPrEx>
                <w:tblCellMar>
                  <w:top w:w="0" w:type="dxa"/>
                  <w:left w:w="108" w:type="dxa"/>
                  <w:bottom w:w="0" w:type="dxa"/>
                  <w:right w:w="108" w:type="dxa"/>
                </w:tblCellMar>
              </w:tblPrEx>
              <w:trPr>
                <w:trHeight w:val="312" w:hRule="atLeast"/>
              </w:trPr>
              <w:tc>
                <w:tcPr>
                  <w:tcW w:w="99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功能分类科目编码</w:t>
                  </w:r>
                </w:p>
              </w:tc>
              <w:tc>
                <w:tcPr>
                  <w:tcW w:w="2552" w:type="dxa"/>
                  <w:vMerge w:val="restart"/>
                  <w:tcBorders>
                    <w:top w:val="nil"/>
                    <w:left w:val="nil"/>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科目名称</w:t>
                  </w:r>
                </w:p>
              </w:tc>
              <w:tc>
                <w:tcPr>
                  <w:tcW w:w="85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44"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28"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966"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29"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1069"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12" w:hRule="atLeast"/>
              </w:trPr>
              <w:tc>
                <w:tcPr>
                  <w:tcW w:w="99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2552"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44"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28"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966"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29"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1069"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12" w:hRule="atLeast"/>
              </w:trPr>
              <w:tc>
                <w:tcPr>
                  <w:tcW w:w="99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2552"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44"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28"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966"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829"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1069"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trPr>
              <w:tc>
                <w:tcPr>
                  <w:tcW w:w="3545" w:type="dxa"/>
                  <w:gridSpan w:val="2"/>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栏次</w:t>
                  </w:r>
                </w:p>
              </w:tc>
              <w:tc>
                <w:tcPr>
                  <w:tcW w:w="850"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844"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828"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966"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4</w:t>
                  </w:r>
                </w:p>
              </w:tc>
              <w:tc>
                <w:tcPr>
                  <w:tcW w:w="829"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1069" w:type="dxa"/>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6</w:t>
                  </w:r>
                </w:p>
              </w:tc>
            </w:tr>
            <w:tr>
              <w:tblPrEx>
                <w:tblCellMar>
                  <w:top w:w="0" w:type="dxa"/>
                  <w:left w:w="108" w:type="dxa"/>
                  <w:bottom w:w="0" w:type="dxa"/>
                  <w:right w:w="108" w:type="dxa"/>
                </w:tblCellMar>
              </w:tblPrEx>
              <w:trPr>
                <w:trHeight w:val="308" w:hRule="atLeast"/>
              </w:trPr>
              <w:tc>
                <w:tcPr>
                  <w:tcW w:w="3545" w:type="dxa"/>
                  <w:gridSpan w:val="2"/>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r>
                    <w:rPr>
                      <w:rFonts w:ascii="宋体" w:hAnsi="宋体" w:cs="Arial"/>
                      <w:b/>
                      <w:bCs/>
                      <w:color w:val="000000"/>
                      <w:kern w:val="0"/>
                      <w:sz w:val="20"/>
                      <w:szCs w:val="20"/>
                    </w:rPr>
                    <w:t>609.68</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r>
                    <w:rPr>
                      <w:rFonts w:ascii="宋体" w:hAnsi="宋体" w:cs="Arial"/>
                      <w:b/>
                      <w:bCs/>
                      <w:color w:val="000000"/>
                      <w:kern w:val="0"/>
                      <w:sz w:val="20"/>
                      <w:szCs w:val="20"/>
                    </w:rPr>
                    <w:t>567.8</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r>
                    <w:rPr>
                      <w:rFonts w:ascii="宋体" w:hAnsi="宋体" w:cs="Arial"/>
                      <w:b/>
                      <w:bCs/>
                      <w:color w:val="000000"/>
                      <w:kern w:val="0"/>
                      <w:sz w:val="20"/>
                      <w:szCs w:val="20"/>
                    </w:rPr>
                    <w:t>41.88</w:t>
                  </w: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b/>
                      <w:bCs/>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一般公共服务支出</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519.15</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519.15</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92"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20103</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政府办公厅（室）及相关机构事务</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463.55</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463.55</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30"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2010301</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360.19</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360.19</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2010302</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一般行政管理事务</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103.36</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103.36</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20106</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财政事务</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2010601</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20131</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党委办公厅（室）及相关机构事务</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442"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2013101</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210</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医疗卫生与计划生育支出</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21001</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医疗卫生与计划生育管理事务</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2100101</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212</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城乡社区支出</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21205</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城乡社区环境卫生</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2120501</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城乡社区环境卫生</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213</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农林水支出</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21301</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农业</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993"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2130126</w:t>
                  </w:r>
                </w:p>
              </w:tc>
              <w:tc>
                <w:tcPr>
                  <w:tcW w:w="2552"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农村公益事业</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28.17</w:t>
                  </w:r>
                </w:p>
              </w:tc>
              <w:tc>
                <w:tcPr>
                  <w:tcW w:w="844"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28.17</w:t>
                  </w:r>
                </w:p>
              </w:tc>
              <w:tc>
                <w:tcPr>
                  <w:tcW w:w="9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82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069"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8931" w:type="dxa"/>
                  <w:gridSpan w:val="8"/>
                  <w:tcBorders>
                    <w:top w:val="nil"/>
                    <w:left w:val="nil"/>
                    <w:bottom w:val="nil"/>
                    <w:right w:val="nil"/>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注：本表反映部门本年度各项支出情况。</w:t>
                  </w:r>
                </w:p>
                <w:p>
                  <w:pPr>
                    <w:widowControl/>
                    <w:spacing w:after="0" w:line="240" w:lineRule="auto"/>
                    <w:jc w:val="left"/>
                    <w:rPr>
                      <w:rFonts w:cs="Arial" w:asciiTheme="minorEastAsia" w:hAnsiTheme="minorEastAsia" w:eastAsiaTheme="minorEastAsia"/>
                      <w:color w:val="000000"/>
                      <w:kern w:val="0"/>
                      <w:sz w:val="20"/>
                      <w:szCs w:val="20"/>
                    </w:rPr>
                  </w:pPr>
                </w:p>
                <w:p>
                  <w:pPr>
                    <w:widowControl/>
                    <w:spacing w:after="0" w:line="240" w:lineRule="auto"/>
                    <w:jc w:val="left"/>
                    <w:rPr>
                      <w:rFonts w:cs="Arial" w:asciiTheme="minorEastAsia" w:hAnsiTheme="minorEastAsia" w:eastAsiaTheme="minorEastAsia"/>
                      <w:color w:val="000000"/>
                      <w:kern w:val="0"/>
                      <w:sz w:val="20"/>
                      <w:szCs w:val="20"/>
                    </w:rPr>
                  </w:pPr>
                </w:p>
                <w:p>
                  <w:pPr>
                    <w:widowControl/>
                    <w:spacing w:after="0" w:line="240" w:lineRule="auto"/>
                    <w:jc w:val="left"/>
                    <w:rPr>
                      <w:rFonts w:cs="Arial" w:asciiTheme="minorEastAsia" w:hAnsiTheme="minorEastAsia" w:eastAsiaTheme="minorEastAsia"/>
                      <w:color w:val="000000"/>
                      <w:kern w:val="0"/>
                      <w:sz w:val="20"/>
                      <w:szCs w:val="20"/>
                    </w:rPr>
                  </w:pPr>
                </w:p>
                <w:p>
                  <w:pPr>
                    <w:widowControl/>
                    <w:spacing w:after="0" w:line="240" w:lineRule="auto"/>
                    <w:jc w:val="left"/>
                    <w:rPr>
                      <w:rFonts w:cs="Arial" w:asciiTheme="minorEastAsia" w:hAnsiTheme="minorEastAsia" w:eastAsiaTheme="minorEastAsia"/>
                      <w:color w:val="000000"/>
                      <w:kern w:val="0"/>
                      <w:sz w:val="20"/>
                      <w:szCs w:val="20"/>
                    </w:rPr>
                  </w:pPr>
                </w:p>
              </w:tc>
            </w:tr>
          </w:tbl>
          <w:p>
            <w:pPr>
              <w:widowControl/>
              <w:spacing w:after="0" w:line="240" w:lineRule="atLeast"/>
              <w:jc w:val="left"/>
              <w:textAlignment w:val="center"/>
              <w:rPr>
                <w:rFonts w:ascii="宋体" w:hAnsi="宋体" w:cs="宋体"/>
                <w:color w:val="000000"/>
                <w:szCs w:val="21"/>
              </w:rPr>
            </w:pPr>
          </w:p>
        </w:tc>
      </w:tr>
      <w:tr>
        <w:tblPrEx>
          <w:tblCellMar>
            <w:top w:w="0" w:type="dxa"/>
            <w:left w:w="0" w:type="dxa"/>
            <w:bottom w:w="0" w:type="dxa"/>
            <w:right w:w="0" w:type="dxa"/>
          </w:tblCellMar>
        </w:tblPrEx>
        <w:trPr>
          <w:gridBefore w:val="1"/>
          <w:wBefore w:w="550" w:type="dxa"/>
          <w:trHeight w:val="835" w:hRule="atLeast"/>
        </w:trPr>
        <w:tc>
          <w:tcPr>
            <w:tcW w:w="8942" w:type="dxa"/>
            <w:gridSpan w:val="2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gridBefore w:val="1"/>
          <w:wBefore w:w="550" w:type="dxa"/>
          <w:trHeight w:val="90" w:hRule="atLeast"/>
        </w:trPr>
        <w:tc>
          <w:tcPr>
            <w:tcW w:w="1716"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gridBefore w:val="1"/>
          <w:wBefore w:w="550" w:type="dxa"/>
          <w:trHeight w:val="152" w:hRule="atLeast"/>
        </w:trPr>
        <w:tc>
          <w:tcPr>
            <w:tcW w:w="6314"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Cs w:val="21"/>
              </w:rPr>
              <w:t>部门：遵化市东旧寨镇人民政府</w:t>
            </w:r>
          </w:p>
        </w:tc>
        <w:tc>
          <w:tcPr>
            <w:tcW w:w="65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gridBefore w:val="1"/>
          <w:wBefore w:w="550" w:type="dxa"/>
          <w:trHeight w:val="90" w:hRule="atLeast"/>
        </w:trPr>
        <w:tc>
          <w:tcPr>
            <w:tcW w:w="271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231" w:type="dxa"/>
            <w:gridSpan w:val="1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gridBefore w:val="1"/>
          <w:wBefore w:w="550" w:type="dxa"/>
          <w:trHeight w:val="170" w:hRule="atLeast"/>
        </w:trPr>
        <w:tc>
          <w:tcPr>
            <w:tcW w:w="242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2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55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2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0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gridBefore w:val="1"/>
          <w:wBefore w:w="550" w:type="dxa"/>
          <w:trHeight w:val="120" w:hRule="atLeast"/>
        </w:trPr>
        <w:tc>
          <w:tcPr>
            <w:tcW w:w="242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一、一般公共预算财政拨款</w:t>
            </w: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609.68</w:t>
            </w: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一、一般公共服务支出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29</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519.15</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519.15</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120" w:hRule="atLeast"/>
        </w:trPr>
        <w:tc>
          <w:tcPr>
            <w:tcW w:w="242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二、政府性基金预算财政拨款</w:t>
            </w: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二、外交支出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30</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三、国防支出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31</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四、公共安全支出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32</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5</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五、教育支出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33</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6</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六、科学技术支出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34</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7</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七、文化体育与传媒支出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35</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8</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八、社会保障和就业支出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36</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9</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九、医疗卫生与计划生育支出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37</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48.65</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48.65</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10</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十、节能环保支出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38</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11</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十一、城乡社区支出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39</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13.71</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13.71</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12</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十二、农林水支出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40</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28.17</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28.17</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13</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十三、交通运输支出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41</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14</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十四、资源勘探信息等支出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42</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15</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十五、商业服务业等支出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43</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16</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十六、金融支出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44</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17</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十七、援助其他地区支出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45</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18</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十八、国土海洋气象等支出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46</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19</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十九、住房保障支出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47</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20</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二十、粮油物资储备支出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48</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21</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二十一、其他支出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49</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22</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二十二、债务还本支出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50</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23</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二十三、债务付息支出</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51</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b/>
                <w:color w:val="000000"/>
                <w:sz w:val="18"/>
                <w:szCs w:val="18"/>
              </w:rPr>
            </w:pPr>
            <w:r>
              <w:rPr>
                <w:rFonts w:hint="eastAsia" w:cs="宋体" w:asciiTheme="minorEastAsia" w:hAnsiTheme="minorEastAsia" w:eastAsiaTheme="minorEastAsia"/>
                <w:b/>
                <w:color w:val="000000"/>
                <w:kern w:val="0"/>
                <w:sz w:val="18"/>
                <w:szCs w:val="18"/>
              </w:rPr>
              <w:t>本年收入合计</w:t>
            </w: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24</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609.68</w:t>
            </w: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b/>
                <w:color w:val="000000"/>
                <w:sz w:val="18"/>
                <w:szCs w:val="18"/>
              </w:rPr>
            </w:pPr>
            <w:r>
              <w:rPr>
                <w:rFonts w:hint="eastAsia" w:cs="宋体" w:asciiTheme="minorEastAsia" w:hAnsiTheme="minorEastAsia" w:eastAsiaTheme="minorEastAsia"/>
                <w:b/>
                <w:color w:val="000000"/>
                <w:kern w:val="0"/>
                <w:sz w:val="18"/>
                <w:szCs w:val="18"/>
              </w:rPr>
              <w:t>本年支出合计</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52</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609.68</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609.68</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120" w:hRule="atLeast"/>
        </w:trPr>
        <w:tc>
          <w:tcPr>
            <w:tcW w:w="242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年初财政拨款结转和结余</w:t>
            </w: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25</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年末财政拨款结转和结余</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53</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120" w:hRule="atLeast"/>
        </w:trPr>
        <w:tc>
          <w:tcPr>
            <w:tcW w:w="242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 xml:space="preserve">  一般公共预算财政拨款</w:t>
            </w: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26</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54</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right="90"/>
              <w:jc w:val="right"/>
              <w:rPr>
                <w:rFonts w:cs="宋体" w:asciiTheme="minorEastAsia" w:hAnsiTheme="minorEastAsia" w:eastAsiaTheme="minorEastAsia"/>
                <w:color w:val="000000"/>
                <w:sz w:val="18"/>
                <w:szCs w:val="18"/>
              </w:rPr>
            </w:pP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120" w:hRule="atLeast"/>
        </w:trPr>
        <w:tc>
          <w:tcPr>
            <w:tcW w:w="242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 xml:space="preserve">  政府性基金预算财政拨款</w:t>
            </w: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27</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sz w:val="18"/>
                <w:szCs w:val="18"/>
              </w:rPr>
              <w:t>0.00</w:t>
            </w: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cs="宋体" w:asciiTheme="minorEastAsia" w:hAnsiTheme="minorEastAsia" w:eastAsiaTheme="minorEastAsia"/>
                <w:color w:val="000000"/>
                <w:sz w:val="18"/>
                <w:szCs w:val="18"/>
              </w:rPr>
            </w:pP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55</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90" w:hRule="atLeast"/>
        </w:trPr>
        <w:tc>
          <w:tcPr>
            <w:tcW w:w="242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b/>
                <w:color w:val="000000"/>
                <w:sz w:val="18"/>
                <w:szCs w:val="18"/>
              </w:rPr>
            </w:pPr>
            <w:r>
              <w:rPr>
                <w:rFonts w:hint="eastAsia" w:cs="宋体" w:asciiTheme="minorEastAsia" w:hAnsiTheme="minorEastAsia" w:eastAsiaTheme="minorEastAsia"/>
                <w:b/>
                <w:color w:val="000000"/>
                <w:kern w:val="0"/>
                <w:sz w:val="18"/>
                <w:szCs w:val="18"/>
              </w:rPr>
              <w:t>总计</w:t>
            </w:r>
          </w:p>
        </w:tc>
        <w:tc>
          <w:tcPr>
            <w:tcW w:w="2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28</w:t>
            </w:r>
          </w:p>
        </w:tc>
        <w:tc>
          <w:tcPr>
            <w:tcW w:w="8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609.68</w:t>
            </w:r>
          </w:p>
        </w:tc>
        <w:tc>
          <w:tcPr>
            <w:tcW w:w="25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b/>
                <w:color w:val="000000"/>
                <w:sz w:val="18"/>
                <w:szCs w:val="18"/>
              </w:rPr>
            </w:pPr>
            <w:r>
              <w:rPr>
                <w:rFonts w:hint="eastAsia" w:cs="宋体" w:asciiTheme="minorEastAsia" w:hAnsiTheme="minorEastAsia" w:eastAsiaTheme="minorEastAsia"/>
                <w:b/>
                <w:color w:val="000000"/>
                <w:kern w:val="0"/>
                <w:sz w:val="18"/>
                <w:szCs w:val="18"/>
              </w:rPr>
              <w:t>总计</w:t>
            </w:r>
          </w:p>
        </w:tc>
        <w:tc>
          <w:tcPr>
            <w:tcW w:w="2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56</w:t>
            </w:r>
          </w:p>
        </w:tc>
        <w:tc>
          <w:tcPr>
            <w:tcW w:w="79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609.68</w:t>
            </w:r>
          </w:p>
        </w:tc>
        <w:tc>
          <w:tcPr>
            <w:tcW w:w="90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18"/>
                <w:szCs w:val="18"/>
              </w:rPr>
            </w:pPr>
            <w:r>
              <w:rPr>
                <w:rFonts w:cs="宋体" w:asciiTheme="minorEastAsia" w:hAnsiTheme="minorEastAsia" w:eastAsiaTheme="minorEastAsia"/>
                <w:color w:val="000000"/>
                <w:sz w:val="18"/>
                <w:szCs w:val="18"/>
              </w:rPr>
              <w:t>609.68</w:t>
            </w:r>
          </w:p>
        </w:tc>
        <w:tc>
          <w:tcPr>
            <w:tcW w:w="8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18"/>
                <w:szCs w:val="18"/>
              </w:rPr>
            </w:pPr>
          </w:p>
        </w:tc>
      </w:tr>
      <w:tr>
        <w:tblPrEx>
          <w:tblCellMar>
            <w:top w:w="0" w:type="dxa"/>
            <w:left w:w="0" w:type="dxa"/>
            <w:bottom w:w="0" w:type="dxa"/>
            <w:right w:w="0" w:type="dxa"/>
          </w:tblCellMar>
        </w:tblPrEx>
        <w:trPr>
          <w:gridBefore w:val="1"/>
          <w:wBefore w:w="550" w:type="dxa"/>
          <w:trHeight w:val="155" w:hRule="atLeast"/>
        </w:trPr>
        <w:tc>
          <w:tcPr>
            <w:tcW w:w="8942" w:type="dxa"/>
            <w:gridSpan w:val="2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after="0" w:line="560" w:lineRule="exact"/>
        <w:ind w:firstLine="1205" w:firstLineChars="300"/>
        <w:rPr>
          <w:rFonts w:ascii="仿宋_GB2312" w:hAnsi="宋体" w:eastAsia="仿宋_GB2312"/>
          <w:b/>
          <w:sz w:val="40"/>
          <w:szCs w:val="40"/>
        </w:rPr>
      </w:pPr>
      <w:r>
        <w:rPr>
          <w:rFonts w:ascii="仿宋_GB2312" w:hAnsi="宋体" w:eastAsia="仿宋_GB2312"/>
          <w:b/>
          <w:sz w:val="40"/>
          <w:szCs w:val="40"/>
        </w:rPr>
        <w:t>一般公共预算财政拨款支出决算表</w:t>
      </w:r>
    </w:p>
    <w:p>
      <w:pPr>
        <w:widowControl/>
        <w:spacing w:after="0" w:line="560" w:lineRule="exact"/>
        <w:ind w:firstLine="600" w:firstLineChars="300"/>
        <w:jc w:val="right"/>
        <w:rPr>
          <w:rFonts w:asciiTheme="minorEastAsia" w:hAnsiTheme="minorEastAsia" w:eastAsiaTheme="minorEastAsia"/>
          <w:sz w:val="20"/>
          <w:szCs w:val="20"/>
        </w:rPr>
      </w:pPr>
      <w:r>
        <w:rPr>
          <w:rFonts w:hint="eastAsia" w:asciiTheme="minorEastAsia" w:hAnsiTheme="minorEastAsia" w:eastAsiaTheme="minorEastAsia"/>
          <w:sz w:val="20"/>
          <w:szCs w:val="20"/>
        </w:rPr>
        <w:t>公开05表</w:t>
      </w:r>
    </w:p>
    <w:p>
      <w:pPr>
        <w:widowControl/>
        <w:spacing w:after="0" w:line="560" w:lineRule="exact"/>
        <w:jc w:val="left"/>
        <w:rPr>
          <w:rFonts w:asciiTheme="minorEastAsia" w:hAnsiTheme="minorEastAsia" w:eastAsiaTheme="minorEastAsia"/>
          <w:color w:val="000000" w:themeColor="text1"/>
          <w:sz w:val="20"/>
          <w:szCs w:val="20"/>
        </w:rPr>
      </w:pPr>
      <w:r>
        <w:rPr>
          <w:rFonts w:hint="eastAsia" w:asciiTheme="minorEastAsia" w:hAnsiTheme="minorEastAsia" w:eastAsiaTheme="minorEastAsia"/>
          <w:sz w:val="20"/>
          <w:szCs w:val="20"/>
        </w:rPr>
        <w:t>部门：遵化市东旧寨镇人民政府                                             金额单位：万元</w:t>
      </w:r>
    </w:p>
    <w:tbl>
      <w:tblPr>
        <w:tblStyle w:val="12"/>
        <w:tblW w:w="8980" w:type="dxa"/>
        <w:tblInd w:w="91" w:type="dxa"/>
        <w:tblLayout w:type="fixed"/>
        <w:tblCellMar>
          <w:top w:w="0" w:type="dxa"/>
          <w:left w:w="108" w:type="dxa"/>
          <w:bottom w:w="0" w:type="dxa"/>
          <w:right w:w="108" w:type="dxa"/>
        </w:tblCellMar>
      </w:tblPr>
      <w:tblGrid>
        <w:gridCol w:w="1020"/>
        <w:gridCol w:w="3940"/>
        <w:gridCol w:w="1340"/>
        <w:gridCol w:w="1340"/>
        <w:gridCol w:w="1340"/>
      </w:tblGrid>
      <w:tr>
        <w:tblPrEx>
          <w:tblCellMar>
            <w:top w:w="0" w:type="dxa"/>
            <w:left w:w="108" w:type="dxa"/>
            <w:bottom w:w="0" w:type="dxa"/>
            <w:right w:w="108" w:type="dxa"/>
          </w:tblCellMar>
        </w:tblPrEx>
        <w:trPr>
          <w:trHeight w:val="308" w:hRule="atLeast"/>
        </w:trPr>
        <w:tc>
          <w:tcPr>
            <w:tcW w:w="4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项目</w:t>
            </w:r>
          </w:p>
        </w:tc>
        <w:tc>
          <w:tcPr>
            <w:tcW w:w="4020"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本年支出</w:t>
            </w:r>
          </w:p>
        </w:tc>
      </w:tr>
      <w:tr>
        <w:tblPrEx>
          <w:tblCellMar>
            <w:top w:w="0" w:type="dxa"/>
            <w:left w:w="108" w:type="dxa"/>
            <w:bottom w:w="0" w:type="dxa"/>
            <w:right w:w="108" w:type="dxa"/>
          </w:tblCellMar>
        </w:tblPrEx>
        <w:trPr>
          <w:trHeight w:val="312" w:hRule="atLeast"/>
        </w:trPr>
        <w:tc>
          <w:tcPr>
            <w:tcW w:w="1020" w:type="dxa"/>
            <w:vMerge w:val="restart"/>
            <w:tcBorders>
              <w:top w:val="nil"/>
              <w:left w:val="single" w:color="000000" w:sz="4" w:space="0"/>
              <w:bottom w:val="single" w:color="000000" w:sz="4" w:space="0"/>
              <w:right w:val="single" w:color="000000" w:sz="4" w:space="0"/>
            </w:tcBorders>
            <w:shd w:val="clear" w:color="auto" w:fill="FFFFFF" w:themeFill="background1"/>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功能分类科目编码</w:t>
            </w:r>
          </w:p>
        </w:tc>
        <w:tc>
          <w:tcPr>
            <w:tcW w:w="3940" w:type="dxa"/>
            <w:vMerge w:val="restart"/>
            <w:tcBorders>
              <w:top w:val="nil"/>
              <w:left w:val="nil"/>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科目名称</w:t>
            </w:r>
          </w:p>
        </w:tc>
        <w:tc>
          <w:tcPr>
            <w:tcW w:w="1340"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小计</w:t>
            </w:r>
          </w:p>
        </w:tc>
        <w:tc>
          <w:tcPr>
            <w:tcW w:w="1340"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基本支出</w:t>
            </w:r>
          </w:p>
        </w:tc>
        <w:tc>
          <w:tcPr>
            <w:tcW w:w="1340"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项目支出</w:t>
            </w:r>
          </w:p>
        </w:tc>
      </w:tr>
      <w:tr>
        <w:tblPrEx>
          <w:tblCellMar>
            <w:top w:w="0" w:type="dxa"/>
            <w:left w:w="108" w:type="dxa"/>
            <w:bottom w:w="0" w:type="dxa"/>
            <w:right w:w="108" w:type="dxa"/>
          </w:tblCellMar>
        </w:tblPrEx>
        <w:trPr>
          <w:trHeight w:val="312" w:hRule="atLeast"/>
        </w:trPr>
        <w:tc>
          <w:tcPr>
            <w:tcW w:w="1020"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pPr>
              <w:widowControl/>
              <w:spacing w:after="0" w:line="240" w:lineRule="auto"/>
              <w:jc w:val="left"/>
              <w:rPr>
                <w:rFonts w:ascii="宋体" w:hAnsi="宋体" w:cs="Arial"/>
                <w:color w:val="000000"/>
                <w:kern w:val="0"/>
                <w:sz w:val="22"/>
                <w:szCs w:val="22"/>
              </w:rPr>
            </w:pPr>
          </w:p>
        </w:tc>
        <w:tc>
          <w:tcPr>
            <w:tcW w:w="394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134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134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134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12" w:hRule="atLeast"/>
        </w:trPr>
        <w:tc>
          <w:tcPr>
            <w:tcW w:w="1020"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pPr>
              <w:widowControl/>
              <w:spacing w:after="0" w:line="240" w:lineRule="auto"/>
              <w:jc w:val="left"/>
              <w:rPr>
                <w:rFonts w:ascii="宋体" w:hAnsi="宋体" w:cs="Arial"/>
                <w:color w:val="000000"/>
                <w:kern w:val="0"/>
                <w:sz w:val="22"/>
                <w:szCs w:val="22"/>
              </w:rPr>
            </w:pPr>
          </w:p>
        </w:tc>
        <w:tc>
          <w:tcPr>
            <w:tcW w:w="394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134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134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c>
          <w:tcPr>
            <w:tcW w:w="134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trPr>
        <w:tc>
          <w:tcPr>
            <w:tcW w:w="4960" w:type="dxa"/>
            <w:gridSpan w:val="2"/>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栏次</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3</w:t>
            </w:r>
          </w:p>
        </w:tc>
      </w:tr>
      <w:tr>
        <w:tblPrEx>
          <w:tblCellMar>
            <w:top w:w="0" w:type="dxa"/>
            <w:left w:w="108" w:type="dxa"/>
            <w:bottom w:w="0" w:type="dxa"/>
            <w:right w:w="108" w:type="dxa"/>
          </w:tblCellMar>
        </w:tblPrEx>
        <w:trPr>
          <w:trHeight w:val="308" w:hRule="atLeast"/>
        </w:trPr>
        <w:tc>
          <w:tcPr>
            <w:tcW w:w="4960" w:type="dxa"/>
            <w:gridSpan w:val="2"/>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合计</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b/>
                <w:bCs/>
                <w:color w:val="000000"/>
                <w:kern w:val="0"/>
                <w:sz w:val="20"/>
                <w:szCs w:val="20"/>
              </w:rPr>
            </w:pPr>
            <w:r>
              <w:rPr>
                <w:rFonts w:cs="Arial" w:asciiTheme="minorEastAsia" w:hAnsiTheme="minorEastAsia" w:eastAsiaTheme="minorEastAsia"/>
                <w:b/>
                <w:bCs/>
                <w:color w:val="000000"/>
                <w:kern w:val="0"/>
                <w:sz w:val="20"/>
                <w:szCs w:val="20"/>
              </w:rPr>
              <w:t>609.68</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b/>
                <w:bCs/>
                <w:color w:val="000000"/>
                <w:kern w:val="0"/>
                <w:sz w:val="20"/>
                <w:szCs w:val="20"/>
              </w:rPr>
            </w:pPr>
            <w:r>
              <w:rPr>
                <w:rFonts w:cs="Arial" w:asciiTheme="minorEastAsia" w:hAnsiTheme="minorEastAsia" w:eastAsiaTheme="minorEastAsia"/>
                <w:b/>
                <w:bCs/>
                <w:color w:val="000000"/>
                <w:kern w:val="0"/>
                <w:sz w:val="20"/>
                <w:szCs w:val="20"/>
              </w:rPr>
              <w:t>567.8</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b/>
                <w:bCs/>
                <w:color w:val="000000"/>
                <w:kern w:val="0"/>
                <w:sz w:val="20"/>
                <w:szCs w:val="20"/>
              </w:rPr>
            </w:pPr>
            <w:r>
              <w:rPr>
                <w:rFonts w:cs="Arial" w:asciiTheme="minorEastAsia" w:hAnsiTheme="minorEastAsia" w:eastAsiaTheme="minorEastAsia"/>
                <w:b/>
                <w:bCs/>
                <w:color w:val="000000"/>
                <w:kern w:val="0"/>
                <w:sz w:val="20"/>
                <w:szCs w:val="20"/>
              </w:rPr>
              <w:t>41.88</w:t>
            </w: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一般公共服务支出</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5</w:t>
            </w:r>
            <w:r>
              <w:rPr>
                <w:rFonts w:cs="Arial" w:asciiTheme="minorEastAsia" w:hAnsiTheme="minorEastAsia" w:eastAsiaTheme="minorEastAsia"/>
                <w:color w:val="000000"/>
                <w:kern w:val="0"/>
                <w:sz w:val="20"/>
                <w:szCs w:val="20"/>
              </w:rPr>
              <w:t>19.15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519.15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20103</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政府办公厅（室）及相关机构事务</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463.55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463.55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2010301</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360.19</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360.19</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2010302</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一般行政管理事务</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103.36</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103.36</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20106</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财政事务</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13.90</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2010601</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13.</w:t>
            </w:r>
            <w:r>
              <w:rPr>
                <w:rFonts w:cs="Arial" w:asciiTheme="minorEastAsia" w:hAnsiTheme="minorEastAsia" w:eastAsiaTheme="minorEastAsia"/>
                <w:color w:val="000000"/>
                <w:kern w:val="0"/>
                <w:sz w:val="20"/>
                <w:szCs w:val="20"/>
              </w:rPr>
              <w:t>90</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13.</w:t>
            </w:r>
            <w:r>
              <w:rPr>
                <w:rFonts w:cs="Arial" w:asciiTheme="minorEastAsia" w:hAnsiTheme="minorEastAsia" w:eastAsiaTheme="minorEastAsia"/>
                <w:color w:val="000000"/>
                <w:kern w:val="0"/>
                <w:sz w:val="20"/>
                <w:szCs w:val="20"/>
              </w:rPr>
              <w:t>90</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20131</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党委办公厅（室）及相关机构事务</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2013101</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41.70</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210</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医疗卫生与计划生育支出</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21001</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医疗卫生与计划生育管理事务</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2100101</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行政运行</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48.65</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212</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城乡社区支出</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21205</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城乡社区环境卫生</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2120501</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城乡社区环境卫生</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13.71</w:t>
            </w: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213</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农林水支出</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28.17</w:t>
            </w: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21301</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农业</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28.17</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28.17</w:t>
            </w:r>
          </w:p>
        </w:tc>
      </w:tr>
      <w:tr>
        <w:tblPrEx>
          <w:tblCellMar>
            <w:top w:w="0" w:type="dxa"/>
            <w:left w:w="108" w:type="dxa"/>
            <w:bottom w:w="0" w:type="dxa"/>
            <w:right w:w="108" w:type="dxa"/>
          </w:tblCellMar>
        </w:tblPrEx>
        <w:trPr>
          <w:trHeight w:val="308" w:hRule="atLeast"/>
        </w:trPr>
        <w:tc>
          <w:tcPr>
            <w:tcW w:w="1020"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2130126</w:t>
            </w:r>
          </w:p>
        </w:tc>
        <w:tc>
          <w:tcPr>
            <w:tcW w:w="39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农村公益事业</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28.17</w:t>
            </w: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p>
        </w:tc>
        <w:tc>
          <w:tcPr>
            <w:tcW w:w="13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28.17</w:t>
            </w:r>
          </w:p>
        </w:tc>
      </w:tr>
      <w:tr>
        <w:tblPrEx>
          <w:tblCellMar>
            <w:top w:w="0" w:type="dxa"/>
            <w:left w:w="108" w:type="dxa"/>
            <w:bottom w:w="0" w:type="dxa"/>
            <w:right w:w="108" w:type="dxa"/>
          </w:tblCellMar>
        </w:tblPrEx>
        <w:trPr>
          <w:trHeight w:val="308" w:hRule="atLeast"/>
        </w:trPr>
        <w:tc>
          <w:tcPr>
            <w:tcW w:w="8980" w:type="dxa"/>
            <w:gridSpan w:val="5"/>
            <w:tcBorders>
              <w:top w:val="nil"/>
              <w:left w:val="nil"/>
              <w:bottom w:val="nil"/>
              <w:right w:val="nil"/>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注：本表反映部门本年度一般公共预算财政拨款支出情况。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after="0" w:line="560" w:lineRule="exact"/>
        <w:jc w:val="center"/>
        <w:rPr>
          <w:rFonts w:ascii="仿宋_GB2312" w:hAnsi="宋体" w:eastAsia="仿宋_GB2312"/>
          <w:b/>
          <w:sz w:val="40"/>
          <w:szCs w:val="40"/>
        </w:rPr>
      </w:pPr>
      <w:r>
        <w:rPr>
          <w:rFonts w:ascii="仿宋_GB2312" w:hAnsi="宋体" w:eastAsia="仿宋_GB2312"/>
          <w:b/>
          <w:sz w:val="40"/>
          <w:szCs w:val="40"/>
        </w:rPr>
        <w:t>一般公共预算财政拨款基本支出决算表</w:t>
      </w:r>
    </w:p>
    <w:p>
      <w:pPr>
        <w:widowControl/>
        <w:spacing w:after="0" w:line="560" w:lineRule="exact"/>
        <w:jc w:val="right"/>
        <w:rPr>
          <w:rFonts w:asciiTheme="minorEastAsia" w:hAnsiTheme="minorEastAsia" w:eastAsiaTheme="minorEastAsia"/>
          <w:sz w:val="20"/>
          <w:szCs w:val="20"/>
        </w:rPr>
      </w:pPr>
      <w:r>
        <w:rPr>
          <w:rFonts w:hint="eastAsia" w:asciiTheme="minorEastAsia" w:hAnsiTheme="minorEastAsia" w:eastAsiaTheme="minorEastAsia"/>
          <w:sz w:val="20"/>
          <w:szCs w:val="20"/>
        </w:rPr>
        <w:t>公开06表</w:t>
      </w:r>
    </w:p>
    <w:p>
      <w:pPr>
        <w:widowControl/>
        <w:spacing w:after="0" w:line="560" w:lineRule="exact"/>
        <w:jc w:val="right"/>
        <w:rPr>
          <w:rFonts w:asciiTheme="majorEastAsia" w:hAnsiTheme="majorEastAsia" w:eastAsiaTheme="majorEastAsia"/>
          <w:sz w:val="20"/>
          <w:szCs w:val="20"/>
        </w:rPr>
      </w:pPr>
      <w:r>
        <w:rPr>
          <w:rFonts w:asciiTheme="majorEastAsia" w:hAnsiTheme="majorEastAsia" w:eastAsiaTheme="majorEastAsia"/>
          <w:sz w:val="20"/>
          <w:szCs w:val="20"/>
        </w:rPr>
        <w:t>部门</w:t>
      </w:r>
      <w:r>
        <w:rPr>
          <w:rFonts w:hint="eastAsia" w:asciiTheme="majorEastAsia" w:hAnsiTheme="majorEastAsia" w:eastAsiaTheme="majorEastAsia"/>
          <w:sz w:val="20"/>
          <w:szCs w:val="20"/>
        </w:rPr>
        <w:t>：</w:t>
      </w:r>
      <w:r>
        <w:rPr>
          <w:rFonts w:asciiTheme="majorEastAsia" w:hAnsiTheme="majorEastAsia" w:eastAsiaTheme="majorEastAsia"/>
          <w:sz w:val="20"/>
          <w:szCs w:val="20"/>
        </w:rPr>
        <w:t>遵化市</w:t>
      </w:r>
      <w:r>
        <w:rPr>
          <w:rFonts w:hint="eastAsia" w:asciiTheme="majorEastAsia" w:hAnsiTheme="majorEastAsia" w:eastAsiaTheme="majorEastAsia"/>
          <w:sz w:val="20"/>
          <w:szCs w:val="20"/>
        </w:rPr>
        <w:t>东旧寨镇</w:t>
      </w:r>
      <w:r>
        <w:rPr>
          <w:rFonts w:asciiTheme="majorEastAsia" w:hAnsiTheme="majorEastAsia" w:eastAsiaTheme="majorEastAsia"/>
          <w:sz w:val="20"/>
          <w:szCs w:val="20"/>
        </w:rPr>
        <w:t>人民政府</w:t>
      </w:r>
      <w:r>
        <w:rPr>
          <w:rFonts w:hint="eastAsia" w:asciiTheme="majorEastAsia" w:hAnsiTheme="majorEastAsia" w:eastAsiaTheme="majorEastAsia"/>
          <w:sz w:val="20"/>
          <w:szCs w:val="20"/>
        </w:rPr>
        <w:t xml:space="preserve">                                             金额单位：万元                                                </w:t>
      </w:r>
    </w:p>
    <w:tbl>
      <w:tblPr>
        <w:tblStyle w:val="12"/>
        <w:tblW w:w="9448" w:type="dxa"/>
        <w:tblInd w:w="108" w:type="dxa"/>
        <w:tblLayout w:type="fixed"/>
        <w:tblCellMar>
          <w:top w:w="0" w:type="dxa"/>
          <w:left w:w="108" w:type="dxa"/>
          <w:bottom w:w="0" w:type="dxa"/>
          <w:right w:w="108" w:type="dxa"/>
        </w:tblCellMar>
      </w:tblPr>
      <w:tblGrid>
        <w:gridCol w:w="716"/>
        <w:gridCol w:w="1978"/>
        <w:gridCol w:w="850"/>
        <w:gridCol w:w="766"/>
        <w:gridCol w:w="1360"/>
        <w:gridCol w:w="851"/>
        <w:gridCol w:w="716"/>
        <w:gridCol w:w="1360"/>
        <w:gridCol w:w="851"/>
      </w:tblGrid>
      <w:tr>
        <w:tblPrEx>
          <w:tblCellMar>
            <w:top w:w="0" w:type="dxa"/>
            <w:left w:w="108" w:type="dxa"/>
            <w:bottom w:w="0" w:type="dxa"/>
            <w:right w:w="108" w:type="dxa"/>
          </w:tblCellMar>
        </w:tblPrEx>
        <w:trPr>
          <w:trHeight w:val="308" w:hRule="atLeast"/>
        </w:trPr>
        <w:tc>
          <w:tcPr>
            <w:tcW w:w="35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人员经费</w:t>
            </w:r>
          </w:p>
        </w:tc>
        <w:tc>
          <w:tcPr>
            <w:tcW w:w="5904" w:type="dxa"/>
            <w:gridSpan w:val="6"/>
            <w:tcBorders>
              <w:top w:val="single" w:color="000000" w:sz="4" w:space="0"/>
              <w:left w:val="nil"/>
              <w:bottom w:val="single" w:color="000000" w:sz="4" w:space="0"/>
              <w:right w:val="single" w:color="000000" w:sz="4" w:space="0"/>
            </w:tcBorders>
            <w:shd w:val="clear" w:color="auto" w:fill="auto"/>
            <w:noWrap/>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公用经费</w:t>
            </w:r>
          </w:p>
        </w:tc>
      </w:tr>
      <w:tr>
        <w:tblPrEx>
          <w:tblCellMar>
            <w:top w:w="0" w:type="dxa"/>
            <w:left w:w="108" w:type="dxa"/>
            <w:bottom w:w="0" w:type="dxa"/>
            <w:right w:w="108" w:type="dxa"/>
          </w:tblCellMar>
        </w:tblPrEx>
        <w:trPr>
          <w:trHeight w:val="312" w:hRule="atLeast"/>
        </w:trPr>
        <w:tc>
          <w:tcPr>
            <w:tcW w:w="71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科目编码</w:t>
            </w:r>
          </w:p>
        </w:tc>
        <w:tc>
          <w:tcPr>
            <w:tcW w:w="1978"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科目名称</w:t>
            </w:r>
          </w:p>
        </w:tc>
        <w:tc>
          <w:tcPr>
            <w:tcW w:w="850"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决算数</w:t>
            </w:r>
          </w:p>
        </w:tc>
        <w:tc>
          <w:tcPr>
            <w:tcW w:w="766"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科目编码</w:t>
            </w:r>
          </w:p>
        </w:tc>
        <w:tc>
          <w:tcPr>
            <w:tcW w:w="1360"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科目名称</w:t>
            </w:r>
          </w:p>
        </w:tc>
        <w:tc>
          <w:tcPr>
            <w:tcW w:w="851"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决算数</w:t>
            </w:r>
          </w:p>
        </w:tc>
        <w:tc>
          <w:tcPr>
            <w:tcW w:w="716"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科目编码</w:t>
            </w:r>
          </w:p>
        </w:tc>
        <w:tc>
          <w:tcPr>
            <w:tcW w:w="1360"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科目名称</w:t>
            </w:r>
          </w:p>
        </w:tc>
        <w:tc>
          <w:tcPr>
            <w:tcW w:w="851" w:type="dxa"/>
            <w:vMerge w:val="restart"/>
            <w:tcBorders>
              <w:top w:val="nil"/>
              <w:left w:val="nil"/>
              <w:bottom w:val="single" w:color="000000" w:sz="4" w:space="0"/>
              <w:right w:val="single" w:color="000000" w:sz="4" w:space="0"/>
            </w:tcBorders>
            <w:shd w:val="clear" w:color="auto" w:fill="auto"/>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决算数</w:t>
            </w:r>
          </w:p>
        </w:tc>
      </w:tr>
      <w:tr>
        <w:tblPrEx>
          <w:tblCellMar>
            <w:top w:w="0" w:type="dxa"/>
            <w:left w:w="108" w:type="dxa"/>
            <w:bottom w:w="0" w:type="dxa"/>
            <w:right w:w="108" w:type="dxa"/>
          </w:tblCellMar>
        </w:tblPrEx>
        <w:trPr>
          <w:trHeight w:val="312" w:hRule="atLeast"/>
        </w:trPr>
        <w:tc>
          <w:tcPr>
            <w:tcW w:w="716"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after="0" w:line="240" w:lineRule="auto"/>
              <w:jc w:val="left"/>
              <w:rPr>
                <w:rFonts w:cs="Arial" w:asciiTheme="minorEastAsia" w:hAnsiTheme="minorEastAsia" w:eastAsiaTheme="minorEastAsia"/>
                <w:color w:val="000000"/>
                <w:kern w:val="0"/>
                <w:sz w:val="20"/>
                <w:szCs w:val="20"/>
              </w:rPr>
            </w:pPr>
          </w:p>
        </w:tc>
        <w:tc>
          <w:tcPr>
            <w:tcW w:w="1978"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cs="Arial" w:asciiTheme="minorEastAsia" w:hAnsiTheme="minorEastAsia" w:eastAsiaTheme="minorEastAsia"/>
                <w:color w:val="000000"/>
                <w:kern w:val="0"/>
                <w:sz w:val="20"/>
                <w:szCs w:val="20"/>
              </w:rPr>
            </w:pPr>
          </w:p>
        </w:tc>
        <w:tc>
          <w:tcPr>
            <w:tcW w:w="85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cs="Arial" w:asciiTheme="minorEastAsia" w:hAnsiTheme="minorEastAsia" w:eastAsiaTheme="minorEastAsia"/>
                <w:color w:val="000000"/>
                <w:kern w:val="0"/>
                <w:sz w:val="20"/>
                <w:szCs w:val="20"/>
              </w:rPr>
            </w:pPr>
          </w:p>
        </w:tc>
        <w:tc>
          <w:tcPr>
            <w:tcW w:w="766"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cs="Arial" w:asciiTheme="minorEastAsia" w:hAnsiTheme="minorEastAsia" w:eastAsiaTheme="minorEastAsia"/>
                <w:color w:val="000000"/>
                <w:kern w:val="0"/>
                <w:sz w:val="20"/>
                <w:szCs w:val="20"/>
              </w:rPr>
            </w:pPr>
          </w:p>
        </w:tc>
        <w:tc>
          <w:tcPr>
            <w:tcW w:w="136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cs="Arial" w:asciiTheme="minorEastAsia" w:hAnsiTheme="minorEastAsia" w:eastAsiaTheme="minorEastAsia"/>
                <w:color w:val="000000"/>
                <w:kern w:val="0"/>
                <w:sz w:val="20"/>
                <w:szCs w:val="20"/>
              </w:rPr>
            </w:pPr>
          </w:p>
        </w:tc>
        <w:tc>
          <w:tcPr>
            <w:tcW w:w="851"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cs="Arial" w:asciiTheme="minorEastAsia" w:hAnsiTheme="minorEastAsia" w:eastAsiaTheme="minorEastAsia"/>
                <w:color w:val="000000"/>
                <w:kern w:val="0"/>
                <w:sz w:val="20"/>
                <w:szCs w:val="20"/>
              </w:rPr>
            </w:pPr>
          </w:p>
        </w:tc>
        <w:tc>
          <w:tcPr>
            <w:tcW w:w="716"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cs="Arial" w:asciiTheme="minorEastAsia" w:hAnsiTheme="minorEastAsia" w:eastAsiaTheme="minorEastAsia"/>
                <w:color w:val="000000"/>
                <w:kern w:val="0"/>
                <w:sz w:val="20"/>
                <w:szCs w:val="20"/>
              </w:rPr>
            </w:pPr>
          </w:p>
        </w:tc>
        <w:tc>
          <w:tcPr>
            <w:tcW w:w="1360"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cs="Arial" w:asciiTheme="minorEastAsia" w:hAnsiTheme="minorEastAsia" w:eastAsiaTheme="minorEastAsia"/>
                <w:color w:val="000000"/>
                <w:kern w:val="0"/>
                <w:sz w:val="20"/>
                <w:szCs w:val="20"/>
              </w:rPr>
            </w:pPr>
          </w:p>
        </w:tc>
        <w:tc>
          <w:tcPr>
            <w:tcW w:w="851" w:type="dxa"/>
            <w:vMerge w:val="continue"/>
            <w:tcBorders>
              <w:top w:val="nil"/>
              <w:left w:val="nil"/>
              <w:bottom w:val="single" w:color="000000" w:sz="4" w:space="0"/>
              <w:right w:val="single" w:color="000000" w:sz="4" w:space="0"/>
            </w:tcBorders>
            <w:shd w:val="clear" w:color="auto" w:fill="auto"/>
            <w:vAlign w:val="center"/>
          </w:tcPr>
          <w:p>
            <w:pPr>
              <w:widowControl/>
              <w:spacing w:after="0" w:line="240" w:lineRule="auto"/>
              <w:jc w:val="left"/>
              <w:rPr>
                <w:rFonts w:cs="Arial" w:asciiTheme="minorEastAsia" w:hAnsiTheme="minorEastAsia" w:eastAsiaTheme="minorEastAsia"/>
                <w:color w:val="000000"/>
                <w:kern w:val="0"/>
                <w:sz w:val="20"/>
                <w:szCs w:val="20"/>
              </w:rPr>
            </w:pP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工资福利支出</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464.44</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商品和服务支出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103.36</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307</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债务利息及费用支出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30101</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基本工资</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166.07</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30201</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办公费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16.5</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30701</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国内债务付息</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30102</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津贴补贴</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135.98</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30202</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印刷费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30702</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国外债务付息</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30103</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奖金</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w:t>
            </w:r>
            <w:r>
              <w:rPr>
                <w:rFonts w:cs="Arial" w:asciiTheme="minorEastAsia" w:hAnsiTheme="minorEastAsia" w:eastAsiaTheme="minorEastAsia"/>
                <w:color w:val="000000"/>
                <w:kern w:val="0"/>
                <w:sz w:val="20"/>
                <w:szCs w:val="20"/>
              </w:rPr>
              <w:t>.00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30203</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咨询费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资本性支出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w:t>
            </w:r>
            <w:r>
              <w:rPr>
                <w:rFonts w:cs="Arial" w:asciiTheme="minorEastAsia" w:hAnsiTheme="minorEastAsia" w:eastAsiaTheme="minorEastAsia"/>
                <w:color w:val="000000"/>
                <w:kern w:val="0"/>
                <w:sz w:val="20"/>
                <w:szCs w:val="20"/>
              </w:rPr>
              <w:t>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30106</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伙食补助费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30204</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手续费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31001</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房屋建筑物购建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30107</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绩效工资</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14.17</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30205</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水费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31002</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办公设备购置</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0.61</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30108</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机关事业单位基本养老保险缴费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55.31</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30206</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电费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5.48</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31003</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专用设备购置</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30109</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职业年金缴费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30207</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邮电费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1</w:t>
            </w:r>
            <w:r>
              <w:rPr>
                <w:rFonts w:cs="Arial" w:asciiTheme="minorEastAsia" w:hAnsiTheme="minorEastAsia" w:eastAsiaTheme="minorEastAsia"/>
                <w:color w:val="000000"/>
                <w:kern w:val="0"/>
                <w:sz w:val="20"/>
                <w:szCs w:val="20"/>
              </w:rPr>
              <w:t>.57</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31005</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基础设施建设</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30110</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职工基本医疗保险缴费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51.89</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30208</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取暖费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18.92</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31006</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大型修缮</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30111</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公务员医疗补助缴费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30209</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物业管理费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31007</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信息网络及软件购置更新</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30112</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其他社会保障缴费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1.98</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30211</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差旅费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1.8</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31008</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物资储备</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30113</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住房公积金</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33.15</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30212</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因公出国（境）费用</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31009</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土地补偿</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30114</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医疗费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30213</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维修（护）费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31010</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安置补助</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30199</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其他工资福利支出</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5.89</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30214</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租赁费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31011</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地上附着物和青苗补偿</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对个人和家庭的补助</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30215</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会议费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31012</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拆迁补偿</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30301</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离休费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30216</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培训费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31013</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公务用车购置</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30302</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退休费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30217</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公务接待费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0.56</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31019</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其他交通工具购置</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30303</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退职（役）费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30218</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专用材料费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31021</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文物和陈列品购置</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30304</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抚恤金</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30224</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被装购置费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31022</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无形资产购置</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30305</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生活补助</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30225</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专用燃料费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31099</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其他资本性支出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30306</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救济费</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30226</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劳务费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13.67</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399</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其他支出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30307</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医疗费补助</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30227</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委托业务费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39906</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赠与</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30308</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助学金</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30228</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工会经费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39907</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国家赔偿费用支出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30309</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奖励金</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30229</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福利费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39908</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对民间非营利组织和群众性自治组织补贴</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30310</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个人农业生产补贴</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30231</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公务用车运行维护费</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10.69</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39999</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其他支出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30399</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其他对个人和家庭的补助支出</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30239</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其他交通费用</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13.46</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30240</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税金及附加费用</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0.00</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r>
      <w:tr>
        <w:tblPrEx>
          <w:tblCellMar>
            <w:top w:w="0" w:type="dxa"/>
            <w:left w:w="108" w:type="dxa"/>
            <w:bottom w:w="0" w:type="dxa"/>
            <w:right w:w="108" w:type="dxa"/>
          </w:tblCellMar>
        </w:tblPrEx>
        <w:trPr>
          <w:trHeight w:val="308" w:hRule="atLeast"/>
        </w:trPr>
        <w:tc>
          <w:tcPr>
            <w:tcW w:w="716" w:type="dxa"/>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1978"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76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30299</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xml:space="preserve">  其他商品和服务支出</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20.71</w:t>
            </w:r>
          </w:p>
        </w:tc>
        <w:tc>
          <w:tcPr>
            <w:tcW w:w="71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136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　</w:t>
            </w:r>
          </w:p>
        </w:tc>
      </w:tr>
      <w:tr>
        <w:tblPrEx>
          <w:tblCellMar>
            <w:top w:w="0" w:type="dxa"/>
            <w:left w:w="108" w:type="dxa"/>
            <w:bottom w:w="0" w:type="dxa"/>
            <w:right w:w="108" w:type="dxa"/>
          </w:tblCellMar>
        </w:tblPrEx>
        <w:trPr>
          <w:trHeight w:val="308" w:hRule="atLeast"/>
        </w:trPr>
        <w:tc>
          <w:tcPr>
            <w:tcW w:w="2694" w:type="dxa"/>
            <w:gridSpan w:val="2"/>
            <w:tcBorders>
              <w:top w:val="nil"/>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人员经费合计</w:t>
            </w:r>
          </w:p>
        </w:tc>
        <w:tc>
          <w:tcPr>
            <w:tcW w:w="85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464.44</w:t>
            </w:r>
          </w:p>
        </w:tc>
        <w:tc>
          <w:tcPr>
            <w:tcW w:w="5053" w:type="dxa"/>
            <w:gridSpan w:val="5"/>
            <w:tcBorders>
              <w:top w:val="nil"/>
              <w:left w:val="nil"/>
              <w:bottom w:val="single" w:color="000000" w:sz="4" w:space="0"/>
              <w:right w:val="single" w:color="000000" w:sz="4" w:space="0"/>
            </w:tcBorders>
            <w:shd w:val="clear" w:color="auto" w:fill="auto"/>
            <w:noWrap/>
            <w:vAlign w:val="center"/>
          </w:tcPr>
          <w:p>
            <w:pPr>
              <w:widowControl/>
              <w:spacing w:after="0" w:line="240" w:lineRule="auto"/>
              <w:jc w:val="center"/>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公用经费合计</w:t>
            </w:r>
          </w:p>
        </w:tc>
        <w:tc>
          <w:tcPr>
            <w:tcW w:w="851"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cs="Arial" w:asciiTheme="minorEastAsia" w:hAnsiTheme="minorEastAsia" w:eastAsiaTheme="minorEastAsia"/>
                <w:color w:val="000000"/>
                <w:kern w:val="0"/>
                <w:sz w:val="20"/>
                <w:szCs w:val="20"/>
              </w:rPr>
            </w:pPr>
            <w:r>
              <w:rPr>
                <w:rFonts w:cs="Arial" w:asciiTheme="minorEastAsia" w:hAnsiTheme="minorEastAsia" w:eastAsiaTheme="minorEastAsia"/>
                <w:color w:val="000000"/>
                <w:kern w:val="0"/>
                <w:sz w:val="20"/>
                <w:szCs w:val="20"/>
              </w:rPr>
              <w:t>103.36</w:t>
            </w:r>
          </w:p>
        </w:tc>
      </w:tr>
      <w:tr>
        <w:tblPrEx>
          <w:tblCellMar>
            <w:top w:w="0" w:type="dxa"/>
            <w:left w:w="108" w:type="dxa"/>
            <w:bottom w:w="0" w:type="dxa"/>
            <w:right w:w="108" w:type="dxa"/>
          </w:tblCellMar>
        </w:tblPrEx>
        <w:trPr>
          <w:trHeight w:val="308" w:hRule="atLeast"/>
        </w:trPr>
        <w:tc>
          <w:tcPr>
            <w:tcW w:w="9448" w:type="dxa"/>
            <w:gridSpan w:val="9"/>
            <w:tcBorders>
              <w:top w:val="nil"/>
              <w:left w:val="nil"/>
              <w:bottom w:val="nil"/>
              <w:right w:val="nil"/>
            </w:tcBorders>
            <w:shd w:val="clear" w:color="auto" w:fill="auto"/>
            <w:noWrap/>
            <w:vAlign w:val="center"/>
          </w:tcPr>
          <w:p>
            <w:pPr>
              <w:widowControl/>
              <w:spacing w:after="0" w:line="240" w:lineRule="auto"/>
              <w:jc w:val="left"/>
              <w:rPr>
                <w:rFonts w:cs="Arial" w:asciiTheme="minorEastAsia" w:hAnsiTheme="minorEastAsia" w:eastAsiaTheme="minorEastAsia"/>
                <w:color w:val="000000"/>
                <w:kern w:val="0"/>
                <w:sz w:val="20"/>
                <w:szCs w:val="20"/>
              </w:rPr>
            </w:pPr>
            <w:r>
              <w:rPr>
                <w:rFonts w:hint="eastAsia" w:cs="Arial" w:asciiTheme="minorEastAsia" w:hAnsiTheme="minorEastAsia" w:eastAsiaTheme="minorEastAsia"/>
                <w:color w:val="000000"/>
                <w:kern w:val="0"/>
                <w:sz w:val="20"/>
                <w:szCs w:val="20"/>
              </w:rPr>
              <w:t>注：本表反映部门本年度一般公共预算财政拨款基本支出明细情况。</w:t>
            </w:r>
          </w:p>
        </w:tc>
      </w:tr>
    </w:tbl>
    <w:p>
      <w:pPr>
        <w:widowControl/>
        <w:spacing w:after="0" w:line="560" w:lineRule="exact"/>
        <w:jc w:val="left"/>
        <w:rPr>
          <w:rFonts w:asciiTheme="minorEastAsia" w:hAnsiTheme="minorEastAsia" w:eastAsiaTheme="minorEastAsia"/>
          <w:b/>
          <w:sz w:val="20"/>
          <w:szCs w:val="20"/>
        </w:rPr>
      </w:pPr>
    </w:p>
    <w:p>
      <w:pPr>
        <w:widowControl/>
        <w:spacing w:after="0" w:line="560" w:lineRule="exact"/>
        <w:jc w:val="left"/>
        <w:rPr>
          <w:rFonts w:asciiTheme="minorEastAsia" w:hAnsiTheme="minorEastAsia" w:eastAsiaTheme="minorEastAsia"/>
          <w:b/>
          <w:sz w:val="20"/>
          <w:szCs w:val="20"/>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部门：遵化市东旧寨镇人民政府</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12.</w:t>
            </w:r>
            <w:r>
              <w:rPr>
                <w:rFonts w:ascii="宋体" w:hAnsi="宋体" w:cs="宋体"/>
                <w:color w:val="000000"/>
                <w:szCs w:val="21"/>
              </w:rPr>
              <w:t>57</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0.57</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11.25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10.69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10.69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0.56</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遵化市东旧寨镇人民政府</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本部门本年度无收支及结转结余情况，按要求以空表列示。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遵化市东旧寨镇人民政</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r>
              <w:rPr>
                <w:rFonts w:ascii="Arial" w:hAnsi="Arial" w:cs="Arial"/>
                <w:color w:val="000000"/>
                <w:sz w:val="22"/>
                <w:szCs w:val="22"/>
              </w:rPr>
              <w:t>府</w:t>
            </w: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注：本表反映部门本年度国有资本经营预算财政拨款支出情况。本部门本年度无相关支出情况，按要求以空表列示。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遵化市东旧寨镇人民政府</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注：本表反映部门本年度纳入部门预算范围的政府采购预算及支出情况。本部门本年度无预算及支出情况，按要求以空表列示。     </w:t>
            </w:r>
          </w:p>
        </w:tc>
      </w:tr>
    </w:tbl>
    <w:p>
      <w:pPr>
        <w:widowControl/>
        <w:spacing w:after="0" w:line="560" w:lineRule="exact"/>
        <w:jc w:val="left"/>
        <w:rPr>
          <w:rFonts w:ascii="仿宋_GB2312" w:hAnsi="宋体" w:eastAsia="仿宋_GB2312"/>
          <w:b/>
          <w:sz w:val="28"/>
          <w:szCs w:val="28"/>
          <w:highlight w:val="yellow"/>
        </w:rPr>
      </w:pPr>
    </w:p>
    <w:p/>
    <w:p/>
    <w:p/>
    <w:p/>
    <w:p>
      <w:pPr>
        <w:tabs>
          <w:tab w:val="left" w:pos="765"/>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438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072" name="文本框 5"/>
                <wp:cNvGraphicFramePr/>
                <a:graphic xmlns:a="http://schemas.openxmlformats.org/drawingml/2006/main">
                  <a:graphicData uri="http://schemas.microsoft.com/office/word/2010/wordprocessingShape">
                    <wps:wsp>
                      <wps:cNvSpPr/>
                      <wps:spPr>
                        <a:xfrm>
                          <a:off x="0" y="0"/>
                          <a:ext cx="7571740" cy="2020570"/>
                        </a:xfrm>
                        <a:prstGeom prst="rect">
                          <a:avLst/>
                        </a:prstGeom>
                        <a:noFill/>
                        <a:ln>
                          <a:noFill/>
                        </a:ln>
                        <a:effectLst/>
                      </wps:spPr>
                      <wps:txbx>
                        <w:txbxContent>
                          <w:p>
                            <w:pPr>
                              <w:widowControl/>
                              <w:spacing w:line="1200" w:lineRule="exact"/>
                              <w:jc w:val="center"/>
                              <w:rPr>
                                <w:rFonts w:ascii="黑体" w:hAnsi="宋体" w:eastAsia="黑体"/>
                                <w:sz w:val="96"/>
                                <w:szCs w:val="96"/>
                              </w:rPr>
                            </w:pPr>
                            <w:r>
                              <w:rPr>
                                <w:rFonts w:hint="eastAsia" w:ascii="黑体" w:hAnsi="宋体" w:eastAsia="黑体"/>
                                <w:sz w:val="96"/>
                                <w:szCs w:val="96"/>
                              </w:rPr>
                              <w:t>第三部分</w:t>
                            </w:r>
                          </w:p>
                          <w:p>
                            <w:pPr>
                              <w:widowControl/>
                              <w:spacing w:line="1200" w:lineRule="exact"/>
                              <w:jc w:val="center"/>
                              <w:rPr>
                                <w:sz w:val="96"/>
                                <w:szCs w:val="96"/>
                              </w:rPr>
                            </w:pPr>
                            <w:r>
                              <w:rPr>
                                <w:rFonts w:hint="eastAsia" w:ascii="黑体" w:hAnsi="宋体" w:eastAsia="黑体"/>
                                <w:sz w:val="96"/>
                                <w:szCs w:val="96"/>
                              </w:rPr>
                              <w:t>部门决算情况说明</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78.7pt;margin-top:232.8pt;height:159.1pt;width:596.2pt;z-index:25166438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85tcO&#10;3gAAAA0BAAAPAAAAAAAAAAEAIAAAACIAAABkcnMvZG93bnJldi54bWxQSwECFAAUAAAACACHTuJA&#10;YRMBaeIBAAC9AwAADgAAAAAAAAABACAAAAAtAQAAZHJzL2Uyb0RvYy54bWxQSwUGAAAAAAYABgBZ&#10;AQAAgQUAAAAA&#10;">
                <v:fill on="f" focussize="0,0"/>
                <v:stroke on="f"/>
                <v:imagedata o:title=""/>
                <o:lock v:ext="edit" aspectratio="f"/>
                <v:textbox>
                  <w:txbxContent>
                    <w:p>
                      <w:pPr>
                        <w:widowControl/>
                        <w:spacing w:line="1200" w:lineRule="exact"/>
                        <w:jc w:val="center"/>
                        <w:rPr>
                          <w:rFonts w:ascii="黑体" w:hAnsi="宋体" w:eastAsia="黑体"/>
                          <w:sz w:val="96"/>
                          <w:szCs w:val="96"/>
                        </w:rPr>
                      </w:pPr>
                      <w:r>
                        <w:rPr>
                          <w:rFonts w:hint="eastAsia" w:ascii="黑体" w:hAnsi="宋体" w:eastAsia="黑体"/>
                          <w:sz w:val="96"/>
                          <w:szCs w:val="96"/>
                        </w:rPr>
                        <w:t>第三部分</w:t>
                      </w:r>
                    </w:p>
                    <w:p>
                      <w:pPr>
                        <w:widowControl/>
                        <w:spacing w:line="1200" w:lineRule="exact"/>
                        <w:jc w:val="center"/>
                        <w:rPr>
                          <w:sz w:val="96"/>
                          <w:szCs w:val="96"/>
                        </w:rPr>
                      </w:pPr>
                      <w:r>
                        <w:rPr>
                          <w:rFonts w:hint="eastAsia" w:ascii="黑体" w:hAnsi="宋体" w:eastAsia="黑体"/>
                          <w:sz w:val="96"/>
                          <w:szCs w:val="96"/>
                        </w:rPr>
                        <w:t>部门决算情况说明</w:t>
                      </w:r>
                    </w:p>
                  </w:txbxContent>
                </v:textbox>
              </v:rect>
            </w:pict>
          </mc:Fallback>
        </mc:AlternateContent>
      </w:r>
    </w:p>
    <w:p>
      <w:pPr>
        <w:spacing w:after="0" w:line="580" w:lineRule="exact"/>
        <w:rPr>
          <w:rFonts w:ascii="宋体" w:hAnsi="宋体" w:cs="黑体"/>
          <w:b/>
          <w:color w:val="FF0000"/>
          <w:kern w:val="0"/>
          <w:sz w:val="44"/>
          <w:szCs w:val="44"/>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本部门2018年度收支总计（含结转和结余）</w:t>
      </w:r>
      <w:r>
        <w:rPr>
          <w:rFonts w:ascii="仿宋" w:hAnsi="仿宋" w:eastAsia="仿宋" w:cs="DengXian-Regular"/>
          <w:sz w:val="32"/>
          <w:szCs w:val="32"/>
        </w:rPr>
        <w:t>609.68</w:t>
      </w:r>
      <w:r>
        <w:rPr>
          <w:rFonts w:hint="eastAsia" w:ascii="仿宋" w:hAnsi="仿宋" w:eastAsia="仿宋" w:cs="DengXian-Regular"/>
          <w:sz w:val="32"/>
          <w:szCs w:val="32"/>
        </w:rPr>
        <w:t>万元。与2017年度决算相比，收支各增加</w:t>
      </w:r>
      <w:r>
        <w:rPr>
          <w:rFonts w:ascii="仿宋" w:hAnsi="仿宋" w:eastAsia="仿宋" w:cs="DengXian-Regular"/>
          <w:sz w:val="32"/>
          <w:szCs w:val="32"/>
        </w:rPr>
        <w:t>2.57</w:t>
      </w:r>
      <w:r>
        <w:rPr>
          <w:rFonts w:hint="eastAsia" w:ascii="仿宋" w:hAnsi="仿宋" w:eastAsia="仿宋" w:cs="DengXian-Regular"/>
          <w:sz w:val="32"/>
          <w:szCs w:val="32"/>
        </w:rPr>
        <w:t>万元，增加</w:t>
      </w:r>
      <w:r>
        <w:rPr>
          <w:rFonts w:ascii="仿宋" w:hAnsi="仿宋" w:eastAsia="仿宋" w:cs="DengXian-Regular"/>
          <w:sz w:val="32"/>
          <w:szCs w:val="32"/>
        </w:rPr>
        <w:t>0.42</w:t>
      </w:r>
      <w:r>
        <w:rPr>
          <w:rFonts w:hint="eastAsia" w:ascii="仿宋" w:hAnsi="仿宋" w:eastAsia="仿宋" w:cs="DengXian-Regular"/>
          <w:sz w:val="32"/>
          <w:szCs w:val="32"/>
        </w:rPr>
        <w:t>%，</w:t>
      </w:r>
      <w:bookmarkStart w:id="0" w:name="_Hlk16607784"/>
      <w:r>
        <w:rPr>
          <w:rFonts w:hint="eastAsia" w:ascii="仿宋" w:hAnsi="仿宋" w:eastAsia="仿宋" w:cs="DengXian-Regular"/>
          <w:sz w:val="32"/>
          <w:szCs w:val="32"/>
        </w:rPr>
        <w:t>主要原因是医疗保险比例增加。</w:t>
      </w:r>
    </w:p>
    <w:bookmarkEnd w:id="0"/>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本部门2018年度本年收入合计</w:t>
      </w:r>
      <w:r>
        <w:rPr>
          <w:rFonts w:ascii="仿宋" w:hAnsi="仿宋" w:eastAsia="仿宋" w:cs="DengXian-Regular"/>
          <w:sz w:val="32"/>
          <w:szCs w:val="32"/>
        </w:rPr>
        <w:t>609.68</w:t>
      </w:r>
      <w:r>
        <w:rPr>
          <w:rFonts w:hint="eastAsia" w:ascii="仿宋" w:hAnsi="仿宋" w:eastAsia="仿宋" w:cs="DengXian-Regular"/>
          <w:sz w:val="32"/>
          <w:szCs w:val="32"/>
        </w:rPr>
        <w:t>万元，其中：财政拨款收入</w:t>
      </w:r>
      <w:r>
        <w:rPr>
          <w:rFonts w:ascii="仿宋" w:hAnsi="仿宋" w:eastAsia="仿宋" w:cs="DengXian-Regular"/>
          <w:sz w:val="32"/>
          <w:szCs w:val="32"/>
        </w:rPr>
        <w:t>609.68</w:t>
      </w:r>
      <w:r>
        <w:rPr>
          <w:rFonts w:hint="eastAsia" w:ascii="仿宋" w:hAnsi="仿宋" w:eastAsia="仿宋" w:cs="DengXian-Regular"/>
          <w:sz w:val="32"/>
          <w:szCs w:val="32"/>
        </w:rPr>
        <w:t>万元，占100%；事业收入0万元，占0%；经营收入0万元，占0%；其他收入0万元，占0%。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本部门2018年度本年支出合计</w:t>
      </w:r>
      <w:r>
        <w:rPr>
          <w:rFonts w:ascii="仿宋" w:hAnsi="仿宋" w:eastAsia="仿宋" w:cs="DengXian-Regular"/>
          <w:sz w:val="32"/>
          <w:szCs w:val="32"/>
        </w:rPr>
        <w:t>609.68</w:t>
      </w:r>
      <w:r>
        <w:rPr>
          <w:rFonts w:hint="eastAsia" w:ascii="仿宋" w:hAnsi="仿宋" w:eastAsia="仿宋" w:cs="DengXian-Regular"/>
          <w:sz w:val="32"/>
          <w:szCs w:val="32"/>
        </w:rPr>
        <w:t>万元，其中：基本支出</w:t>
      </w:r>
      <w:r>
        <w:rPr>
          <w:rFonts w:ascii="仿宋" w:hAnsi="仿宋" w:eastAsia="仿宋" w:cs="DengXian-Regular"/>
          <w:sz w:val="32"/>
          <w:szCs w:val="32"/>
        </w:rPr>
        <w:t>567.8</w:t>
      </w:r>
      <w:r>
        <w:rPr>
          <w:rFonts w:hint="eastAsia" w:ascii="仿宋" w:hAnsi="仿宋" w:eastAsia="仿宋" w:cs="DengXian-Regular"/>
          <w:sz w:val="32"/>
          <w:szCs w:val="32"/>
        </w:rPr>
        <w:t>万元，占</w:t>
      </w:r>
      <w:r>
        <w:rPr>
          <w:rFonts w:ascii="仿宋" w:hAnsi="仿宋" w:eastAsia="仿宋" w:cs="DengXian-Regular"/>
          <w:sz w:val="32"/>
          <w:szCs w:val="32"/>
        </w:rPr>
        <w:t>93.13</w:t>
      </w:r>
      <w:r>
        <w:rPr>
          <w:rFonts w:hint="eastAsia" w:ascii="仿宋" w:hAnsi="仿宋" w:eastAsia="仿宋" w:cs="DengXian-Regular"/>
          <w:sz w:val="32"/>
          <w:szCs w:val="32"/>
        </w:rPr>
        <w:t>%；项目支出</w:t>
      </w:r>
      <w:r>
        <w:rPr>
          <w:rFonts w:ascii="仿宋" w:hAnsi="仿宋" w:eastAsia="仿宋" w:cs="DengXian-Regular"/>
          <w:sz w:val="32"/>
          <w:szCs w:val="32"/>
        </w:rPr>
        <w:t>41.88</w:t>
      </w:r>
      <w:r>
        <w:rPr>
          <w:rFonts w:hint="eastAsia" w:ascii="仿宋" w:hAnsi="仿宋" w:eastAsia="仿宋" w:cs="DengXian-Regular"/>
          <w:sz w:val="32"/>
          <w:szCs w:val="32"/>
        </w:rPr>
        <w:t>万元，占</w:t>
      </w:r>
      <w:r>
        <w:rPr>
          <w:rFonts w:ascii="仿宋" w:hAnsi="仿宋" w:eastAsia="仿宋" w:cs="DengXian-Regular"/>
          <w:sz w:val="32"/>
          <w:szCs w:val="32"/>
        </w:rPr>
        <w:t>6.87</w:t>
      </w:r>
      <w:r>
        <w:rPr>
          <w:rFonts w:hint="eastAsia" w:ascii="仿宋" w:hAnsi="仿宋" w:eastAsia="仿宋" w:cs="DengXian-Regular"/>
          <w:sz w:val="32"/>
          <w:szCs w:val="32"/>
        </w:rPr>
        <w:t>%；经营支出0万元，占0%。</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拨款收入支出决算总体情况说明</w:t>
      </w:r>
    </w:p>
    <w:p>
      <w:pPr>
        <w:spacing w:after="0" w:line="580" w:lineRule="exact"/>
        <w:ind w:firstLine="643" w:firstLineChars="200"/>
        <w:rPr>
          <w:rFonts w:ascii="仿宋" w:hAnsi="仿宋" w:eastAsia="仿宋" w:cs="DengXian-Bold"/>
          <w:b/>
          <w:bCs/>
          <w:sz w:val="32"/>
          <w:szCs w:val="32"/>
        </w:rPr>
      </w:pPr>
      <w:r>
        <w:rPr>
          <w:rFonts w:hint="eastAsia" w:ascii="仿宋" w:hAnsi="仿宋" w:eastAsia="仿宋" w:cs="DengXian-Bold"/>
          <w:b/>
          <w:bCs/>
          <w:sz w:val="32"/>
          <w:szCs w:val="32"/>
        </w:rPr>
        <w:t>（一）财政拨款收支与2017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本部门2018年度形成的财政拨款收支均为一般公共预算财政拨款，其中一般公共预算财政拨款本年收入</w:t>
      </w:r>
      <w:r>
        <w:rPr>
          <w:rFonts w:ascii="仿宋" w:hAnsi="仿宋" w:eastAsia="仿宋" w:cs="DengXian-Regular"/>
          <w:sz w:val="32"/>
          <w:szCs w:val="32"/>
        </w:rPr>
        <w:t>609.68</w:t>
      </w:r>
      <w:r>
        <w:rPr>
          <w:rFonts w:hint="eastAsia" w:ascii="仿宋" w:hAnsi="仿宋" w:eastAsia="仿宋" w:cs="DengXian-Regular"/>
          <w:sz w:val="32"/>
          <w:szCs w:val="32"/>
        </w:rPr>
        <w:t>万元,比2017年度增加2</w:t>
      </w:r>
      <w:r>
        <w:rPr>
          <w:rFonts w:ascii="仿宋" w:hAnsi="仿宋" w:eastAsia="仿宋" w:cs="DengXian-Regular"/>
          <w:sz w:val="32"/>
          <w:szCs w:val="32"/>
        </w:rPr>
        <w:t>.57</w:t>
      </w:r>
      <w:r>
        <w:rPr>
          <w:rFonts w:hint="eastAsia" w:ascii="仿宋" w:hAnsi="仿宋" w:eastAsia="仿宋" w:cs="DengXian-Regular"/>
          <w:sz w:val="32"/>
          <w:szCs w:val="32"/>
        </w:rPr>
        <w:t>万元，增加0</w:t>
      </w:r>
      <w:r>
        <w:rPr>
          <w:rFonts w:ascii="仿宋" w:hAnsi="仿宋" w:eastAsia="仿宋" w:cs="DengXian-Regular"/>
          <w:sz w:val="32"/>
          <w:szCs w:val="32"/>
        </w:rPr>
        <w:t>.42</w:t>
      </w:r>
      <w:r>
        <w:rPr>
          <w:rFonts w:hint="eastAsia" w:ascii="仿宋" w:hAnsi="仿宋" w:eastAsia="仿宋" w:cs="DengXian-Regular"/>
          <w:sz w:val="32"/>
          <w:szCs w:val="32"/>
        </w:rPr>
        <w:t>%，主要原因是医疗保险比例增加。本年支出</w:t>
      </w:r>
      <w:r>
        <w:rPr>
          <w:rFonts w:ascii="仿宋" w:hAnsi="仿宋" w:eastAsia="仿宋" w:cs="DengXian-Regular"/>
          <w:sz w:val="32"/>
          <w:szCs w:val="32"/>
        </w:rPr>
        <w:t>609.68</w:t>
      </w:r>
      <w:r>
        <w:rPr>
          <w:rFonts w:hint="eastAsia" w:ascii="仿宋" w:hAnsi="仿宋" w:eastAsia="仿宋" w:cs="DengXian-Regular"/>
          <w:sz w:val="32"/>
          <w:szCs w:val="32"/>
        </w:rPr>
        <w:t>2万元,比2017年度增加2</w:t>
      </w:r>
      <w:r>
        <w:rPr>
          <w:rFonts w:ascii="仿宋" w:hAnsi="仿宋" w:eastAsia="仿宋" w:cs="DengXian-Regular"/>
          <w:sz w:val="32"/>
          <w:szCs w:val="32"/>
        </w:rPr>
        <w:t>.57</w:t>
      </w:r>
      <w:r>
        <w:rPr>
          <w:rFonts w:hint="eastAsia" w:ascii="仿宋" w:hAnsi="仿宋" w:eastAsia="仿宋" w:cs="DengXian-Regular"/>
          <w:sz w:val="32"/>
          <w:szCs w:val="32"/>
        </w:rPr>
        <w:t>万元，增加0</w:t>
      </w:r>
      <w:r>
        <w:rPr>
          <w:rFonts w:ascii="仿宋" w:hAnsi="仿宋" w:eastAsia="仿宋" w:cs="DengXian-Regular"/>
          <w:sz w:val="32"/>
          <w:szCs w:val="32"/>
        </w:rPr>
        <w:t>.42</w:t>
      </w:r>
      <w:r>
        <w:rPr>
          <w:rFonts w:hint="eastAsia" w:ascii="仿宋" w:hAnsi="仿宋" w:eastAsia="仿宋" w:cs="DengXian-Regular"/>
          <w:sz w:val="32"/>
          <w:szCs w:val="32"/>
        </w:rPr>
        <w:t>%，主要原因是医疗保险比例增加。</w:t>
      </w:r>
    </w:p>
    <w:p>
      <w:pPr>
        <w:spacing w:after="0" w:line="580" w:lineRule="exact"/>
        <w:ind w:firstLine="643" w:firstLineChars="200"/>
        <w:rPr>
          <w:rFonts w:ascii="仿宋" w:hAnsi="仿宋" w:eastAsia="仿宋" w:cs="DengXian-Bold"/>
          <w:b/>
          <w:bCs/>
          <w:sz w:val="32"/>
          <w:szCs w:val="32"/>
        </w:rPr>
      </w:pPr>
      <w:r>
        <w:rPr>
          <w:rFonts w:hint="eastAsia" w:ascii="仿宋" w:hAnsi="仿宋" w:eastAsia="仿宋" w:cs="DengXian-Bold"/>
          <w:b/>
          <w:bCs/>
          <w:sz w:val="32"/>
          <w:szCs w:val="32"/>
        </w:rPr>
        <w:t>（二）财政拨款收支与年初预算数对比情况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本部门2018年度一般公共预算财政拨款收入</w:t>
      </w:r>
      <w:r>
        <w:rPr>
          <w:rFonts w:ascii="仿宋" w:hAnsi="仿宋" w:eastAsia="仿宋" w:cs="DengXian-Regular"/>
          <w:sz w:val="32"/>
          <w:szCs w:val="32"/>
        </w:rPr>
        <w:t>609.68</w:t>
      </w:r>
      <w:r>
        <w:rPr>
          <w:rFonts w:hint="eastAsia" w:ascii="仿宋" w:hAnsi="仿宋" w:eastAsia="仿宋" w:cs="DengXian-Regular"/>
          <w:sz w:val="32"/>
          <w:szCs w:val="32"/>
        </w:rPr>
        <w:t>万元，完成年初预算的</w:t>
      </w:r>
      <w:r>
        <w:rPr>
          <w:rFonts w:ascii="仿宋" w:hAnsi="仿宋" w:eastAsia="仿宋" w:cs="DengXian-Regular"/>
          <w:sz w:val="32"/>
          <w:szCs w:val="32"/>
        </w:rPr>
        <w:t>101.67</w:t>
      </w:r>
      <w:r>
        <w:rPr>
          <w:rFonts w:hint="eastAsia" w:ascii="仿宋" w:hAnsi="仿宋" w:eastAsia="仿宋" w:cs="DengXian-Regular"/>
          <w:sz w:val="32"/>
          <w:szCs w:val="32"/>
        </w:rPr>
        <w:t>%,比年初预算增加</w:t>
      </w:r>
      <w:r>
        <w:rPr>
          <w:rFonts w:ascii="仿宋" w:hAnsi="仿宋" w:eastAsia="仿宋" w:cs="DengXian-Regular"/>
          <w:sz w:val="32"/>
          <w:szCs w:val="32"/>
        </w:rPr>
        <w:t>10.01</w:t>
      </w:r>
      <w:r>
        <w:rPr>
          <w:rFonts w:hint="eastAsia" w:ascii="仿宋" w:hAnsi="仿宋" w:eastAsia="仿宋" w:cs="DengXian-Regular"/>
          <w:sz w:val="32"/>
          <w:szCs w:val="32"/>
        </w:rPr>
        <w:t>万元，决算数大于预算数，主要原因是人员提标增资及加大了乡镇维稳经费和环境治理经费的投入，使得本年度收入大于年初预算数；本年支出</w:t>
      </w:r>
      <w:r>
        <w:rPr>
          <w:rFonts w:ascii="仿宋" w:hAnsi="仿宋" w:eastAsia="仿宋" w:cs="DengXian-Regular"/>
          <w:sz w:val="32"/>
          <w:szCs w:val="32"/>
        </w:rPr>
        <w:t>609.68</w:t>
      </w:r>
      <w:r>
        <w:rPr>
          <w:rFonts w:hint="eastAsia" w:ascii="仿宋" w:hAnsi="仿宋" w:eastAsia="仿宋" w:cs="DengXian-Regular"/>
          <w:sz w:val="32"/>
          <w:szCs w:val="32"/>
        </w:rPr>
        <w:t>万元，完成年初预算的</w:t>
      </w:r>
      <w:r>
        <w:rPr>
          <w:rFonts w:ascii="仿宋" w:hAnsi="仿宋" w:eastAsia="仿宋" w:cs="DengXian-Regular"/>
          <w:sz w:val="32"/>
          <w:szCs w:val="32"/>
        </w:rPr>
        <w:t>101.67</w:t>
      </w:r>
      <w:r>
        <w:rPr>
          <w:rFonts w:hint="eastAsia" w:ascii="仿宋" w:hAnsi="仿宋" w:eastAsia="仿宋" w:cs="DengXian-Regular"/>
          <w:sz w:val="32"/>
          <w:szCs w:val="32"/>
        </w:rPr>
        <w:t>%,比年初预算增加</w:t>
      </w:r>
      <w:r>
        <w:rPr>
          <w:rFonts w:ascii="仿宋" w:hAnsi="仿宋" w:eastAsia="仿宋" w:cs="DengXian-Regular"/>
          <w:sz w:val="32"/>
          <w:szCs w:val="32"/>
        </w:rPr>
        <w:t>10.01</w:t>
      </w:r>
      <w:r>
        <w:rPr>
          <w:rFonts w:hint="eastAsia" w:ascii="仿宋" w:hAnsi="仿宋" w:eastAsia="仿宋" w:cs="DengXian-Regular"/>
          <w:sz w:val="32"/>
          <w:szCs w:val="32"/>
        </w:rPr>
        <w:t>万元，决算数大于预算数，主要原因是人员提标增资及医疗保险比例增加，使得本年度收入大于年初预算数。</w:t>
      </w:r>
    </w:p>
    <w:p>
      <w:pPr>
        <w:numPr>
          <w:ilvl w:val="0"/>
          <w:numId w:val="1"/>
        </w:numPr>
        <w:adjustRightInd w:val="0"/>
        <w:snapToGrid w:val="0"/>
        <w:spacing w:after="0" w:line="580" w:lineRule="exact"/>
        <w:ind w:left="420" w:leftChars="200"/>
        <w:rPr>
          <w:rFonts w:ascii="仿宋" w:hAnsi="仿宋" w:eastAsia="仿宋" w:cs="DengXian-Bold"/>
          <w:b/>
          <w:bCs/>
          <w:sz w:val="32"/>
          <w:szCs w:val="32"/>
        </w:rPr>
      </w:pPr>
      <w:r>
        <w:rPr>
          <w:rFonts w:hint="eastAsia" w:ascii="仿宋" w:hAnsi="仿宋" w:eastAsia="仿宋" w:cs="DengXian-Bold"/>
          <w:b/>
          <w:bCs/>
          <w:sz w:val="32"/>
          <w:szCs w:val="32"/>
        </w:rPr>
        <w:t>财政拨款支出决算结构情况。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年度财政拨款支出</w:t>
      </w:r>
      <w:r>
        <w:rPr>
          <w:rFonts w:ascii="仿宋" w:hAnsi="仿宋" w:eastAsia="仿宋" w:cs="DengXian-Regular"/>
          <w:sz w:val="32"/>
          <w:szCs w:val="32"/>
        </w:rPr>
        <w:t>609.68</w:t>
      </w:r>
      <w:r>
        <w:rPr>
          <w:rFonts w:hint="eastAsia" w:ascii="仿宋" w:hAnsi="仿宋" w:eastAsia="仿宋" w:cs="DengXian-Regular"/>
          <w:sz w:val="32"/>
          <w:szCs w:val="32"/>
        </w:rPr>
        <w:t>万元，主要用于以下方面：一般公共服务支出</w:t>
      </w:r>
      <w:r>
        <w:rPr>
          <w:rFonts w:ascii="仿宋" w:hAnsi="仿宋" w:eastAsia="仿宋" w:cs="DengXian-Regular"/>
          <w:sz w:val="32"/>
          <w:szCs w:val="32"/>
        </w:rPr>
        <w:t>519.15</w:t>
      </w:r>
      <w:r>
        <w:rPr>
          <w:rFonts w:hint="eastAsia" w:ascii="仿宋" w:hAnsi="仿宋" w:eastAsia="仿宋" w:cs="DengXian-Regular"/>
          <w:sz w:val="32"/>
          <w:szCs w:val="32"/>
        </w:rPr>
        <w:t>万元，占</w:t>
      </w:r>
      <w:r>
        <w:rPr>
          <w:rFonts w:ascii="仿宋" w:hAnsi="仿宋" w:eastAsia="仿宋" w:cs="DengXian-Regular"/>
          <w:sz w:val="32"/>
          <w:szCs w:val="32"/>
        </w:rPr>
        <w:t>85.15</w:t>
      </w:r>
      <w:r>
        <w:rPr>
          <w:rFonts w:hint="eastAsia" w:ascii="仿宋" w:hAnsi="仿宋" w:eastAsia="仿宋" w:cs="DengXian-Regular"/>
          <w:sz w:val="32"/>
          <w:szCs w:val="32"/>
        </w:rPr>
        <w:t>%；医疗卫生与计划生育支出</w:t>
      </w:r>
      <w:r>
        <w:rPr>
          <w:rFonts w:ascii="仿宋" w:hAnsi="仿宋" w:eastAsia="仿宋" w:cs="DengXian-Regular"/>
          <w:sz w:val="32"/>
          <w:szCs w:val="32"/>
        </w:rPr>
        <w:t>48.65</w:t>
      </w:r>
      <w:r>
        <w:rPr>
          <w:rFonts w:hint="eastAsia" w:ascii="仿宋" w:hAnsi="仿宋" w:eastAsia="仿宋" w:cs="DengXian-Regular"/>
          <w:sz w:val="32"/>
          <w:szCs w:val="32"/>
        </w:rPr>
        <w:t>万元，占7</w:t>
      </w:r>
      <w:r>
        <w:rPr>
          <w:rFonts w:ascii="仿宋" w:hAnsi="仿宋" w:eastAsia="仿宋" w:cs="DengXian-Regular"/>
          <w:sz w:val="32"/>
          <w:szCs w:val="32"/>
        </w:rPr>
        <w:t>.98</w:t>
      </w:r>
      <w:r>
        <w:rPr>
          <w:rFonts w:hint="eastAsia" w:ascii="仿宋" w:hAnsi="仿宋" w:eastAsia="仿宋" w:cs="DengXian-Regular"/>
          <w:sz w:val="32"/>
          <w:szCs w:val="32"/>
        </w:rPr>
        <w:t>%；城乡社区支出</w:t>
      </w:r>
      <w:r>
        <w:rPr>
          <w:rFonts w:ascii="仿宋" w:hAnsi="仿宋" w:eastAsia="仿宋" w:cs="DengXian-Regular"/>
          <w:sz w:val="32"/>
          <w:szCs w:val="32"/>
        </w:rPr>
        <w:t>13.71</w:t>
      </w:r>
      <w:r>
        <w:rPr>
          <w:rFonts w:hint="eastAsia" w:ascii="仿宋" w:hAnsi="仿宋" w:eastAsia="仿宋" w:cs="DengXian-Regular"/>
          <w:sz w:val="32"/>
          <w:szCs w:val="32"/>
        </w:rPr>
        <w:t xml:space="preserve">万元，占 </w:t>
      </w:r>
      <w:r>
        <w:rPr>
          <w:rFonts w:ascii="仿宋" w:hAnsi="仿宋" w:eastAsia="仿宋" w:cs="DengXian-Regular"/>
          <w:sz w:val="32"/>
          <w:szCs w:val="32"/>
        </w:rPr>
        <w:t>2.25</w:t>
      </w:r>
      <w:r>
        <w:rPr>
          <w:rFonts w:hint="eastAsia" w:ascii="仿宋" w:hAnsi="仿宋" w:eastAsia="仿宋" w:cs="DengXian-Regular"/>
          <w:sz w:val="32"/>
          <w:szCs w:val="32"/>
        </w:rPr>
        <w:t>%；农林水支出 28.17万元，占4.</w:t>
      </w:r>
      <w:r>
        <w:rPr>
          <w:rFonts w:ascii="仿宋" w:hAnsi="仿宋" w:eastAsia="仿宋" w:cs="DengXian-Regular"/>
          <w:sz w:val="32"/>
          <w:szCs w:val="32"/>
        </w:rPr>
        <w:t>62</w:t>
      </w:r>
      <w:r>
        <w:rPr>
          <w:rFonts w:hint="eastAsia" w:ascii="仿宋" w:hAnsi="仿宋" w:eastAsia="仿宋" w:cs="DengXian-Regular"/>
          <w:sz w:val="32"/>
          <w:szCs w:val="32"/>
        </w:rPr>
        <w:t>%。</w:t>
      </w:r>
    </w:p>
    <w:p>
      <w:pPr>
        <w:adjustRightInd w:val="0"/>
        <w:snapToGrid w:val="0"/>
        <w:spacing w:after="0" w:line="580" w:lineRule="exact"/>
        <w:ind w:left="420" w:leftChars="200"/>
        <w:rPr>
          <w:rFonts w:ascii="仿宋" w:hAnsi="仿宋" w:eastAsia="仿宋" w:cs="DengXian-Bold"/>
          <w:b/>
          <w:bCs/>
          <w:sz w:val="32"/>
          <w:szCs w:val="32"/>
        </w:rPr>
      </w:pPr>
      <w:r>
        <w:rPr>
          <w:rFonts w:hint="eastAsia" w:ascii="仿宋" w:hAnsi="仿宋" w:eastAsia="仿宋" w:cs="DengXian-Bold"/>
          <w:b/>
          <w:bCs/>
          <w:sz w:val="32"/>
          <w:szCs w:val="32"/>
        </w:rPr>
        <w:t>（四）一般公共预算基本支出决算情况说明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年度财政拨款基本支出</w:t>
      </w:r>
      <w:r>
        <w:rPr>
          <w:rFonts w:ascii="仿宋" w:hAnsi="仿宋" w:eastAsia="仿宋" w:cs="DengXian-Regular"/>
          <w:sz w:val="32"/>
          <w:szCs w:val="32"/>
        </w:rPr>
        <w:t>567.8</w:t>
      </w:r>
      <w:r>
        <w:rPr>
          <w:rFonts w:hint="eastAsia" w:ascii="仿宋" w:hAnsi="仿宋" w:eastAsia="仿宋" w:cs="DengXian-Regular"/>
          <w:sz w:val="32"/>
          <w:szCs w:val="32"/>
        </w:rPr>
        <w:t xml:space="preserve">万元，其中：人员经费 </w:t>
      </w:r>
      <w:r>
        <w:rPr>
          <w:rFonts w:ascii="仿宋" w:hAnsi="仿宋" w:eastAsia="仿宋" w:cs="DengXian-Regular"/>
          <w:sz w:val="32"/>
          <w:szCs w:val="32"/>
        </w:rPr>
        <w:t>464.44</w:t>
      </w:r>
      <w:r>
        <w:rPr>
          <w:rFonts w:hint="eastAsia" w:ascii="仿宋" w:hAnsi="仿宋" w:eastAsia="仿宋"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 w:hAnsi="仿宋" w:eastAsia="仿宋" w:cs="DengXian-Regular"/>
          <w:sz w:val="32"/>
          <w:szCs w:val="32"/>
        </w:rPr>
        <w:t>103.36</w:t>
      </w:r>
      <w:r>
        <w:rPr>
          <w:rFonts w:hint="eastAsia" w:ascii="仿宋" w:hAnsi="仿宋" w:eastAsia="仿宋"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五、一般公共预算“三公” 经费支出决算情况说明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本部门2018年度“三公”经费支出共计</w:t>
      </w:r>
      <w:r>
        <w:rPr>
          <w:rFonts w:ascii="仿宋" w:hAnsi="仿宋" w:eastAsia="仿宋" w:cs="DengXian-Regular"/>
          <w:sz w:val="32"/>
          <w:szCs w:val="32"/>
        </w:rPr>
        <w:t>11.25</w:t>
      </w:r>
      <w:r>
        <w:rPr>
          <w:rFonts w:hint="eastAsia" w:ascii="仿宋" w:hAnsi="仿宋" w:eastAsia="仿宋" w:cs="DengXian-Regular"/>
          <w:sz w:val="32"/>
          <w:szCs w:val="32"/>
        </w:rPr>
        <w:t>万元，</w:t>
      </w:r>
      <w:r>
        <w:rPr>
          <w:rFonts w:hint="eastAsia" w:ascii="仿宋" w:hAnsi="仿宋" w:eastAsia="仿宋" w:cs="DengXian-Regular"/>
          <w:bCs/>
          <w:sz w:val="32"/>
          <w:szCs w:val="32"/>
        </w:rPr>
        <w:t>较年初预算减少</w:t>
      </w:r>
      <w:r>
        <w:rPr>
          <w:rFonts w:ascii="仿宋" w:hAnsi="仿宋" w:eastAsia="仿宋" w:cs="DengXian-Regular"/>
          <w:bCs/>
          <w:sz w:val="32"/>
          <w:szCs w:val="32"/>
        </w:rPr>
        <w:t>1.32</w:t>
      </w:r>
      <w:r>
        <w:rPr>
          <w:rFonts w:hint="eastAsia" w:ascii="仿宋" w:hAnsi="仿宋" w:eastAsia="仿宋" w:cs="DengXian-Regular"/>
          <w:bCs/>
          <w:sz w:val="32"/>
          <w:szCs w:val="32"/>
        </w:rPr>
        <w:t>万元，降低</w:t>
      </w:r>
      <w:r>
        <w:rPr>
          <w:rFonts w:ascii="仿宋" w:hAnsi="仿宋" w:eastAsia="仿宋" w:cs="DengXian-Regular"/>
          <w:bCs/>
          <w:sz w:val="32"/>
          <w:szCs w:val="32"/>
        </w:rPr>
        <w:t>10.50</w:t>
      </w:r>
      <w:r>
        <w:rPr>
          <w:rFonts w:hint="eastAsia" w:ascii="仿宋" w:hAnsi="仿宋" w:eastAsia="仿宋" w:cs="DengXian-Regular"/>
          <w:bCs/>
          <w:sz w:val="32"/>
          <w:szCs w:val="32"/>
        </w:rPr>
        <w:t>%</w:t>
      </w:r>
      <w:r>
        <w:rPr>
          <w:rFonts w:hint="eastAsia" w:ascii="仿宋" w:hAnsi="仿宋" w:eastAsia="仿宋" w:cs="DengXian-Regular"/>
          <w:b/>
          <w:bCs/>
          <w:sz w:val="32"/>
          <w:szCs w:val="32"/>
        </w:rPr>
        <w:t>，</w:t>
      </w:r>
      <w:r>
        <w:rPr>
          <w:rFonts w:hint="eastAsia" w:ascii="仿宋" w:hAnsi="仿宋" w:eastAsia="仿宋" w:cs="DengXian-Regular"/>
          <w:sz w:val="32"/>
          <w:szCs w:val="32"/>
        </w:rPr>
        <w:t>主要是公车运行维护费严格按管理制度执行，定点维修、定点加油、统一保险和统一保养，节假日严格执行公务车辆封存制度，降低了公车运行维护费；公务接待严格执行八项规定，严格控制公务接待标准及费用；较2017年度减少</w:t>
      </w:r>
      <w:r>
        <w:rPr>
          <w:rFonts w:ascii="仿宋" w:hAnsi="仿宋" w:eastAsia="仿宋" w:cs="DengXian-Regular"/>
          <w:sz w:val="32"/>
          <w:szCs w:val="32"/>
        </w:rPr>
        <w:t>1.4</w:t>
      </w:r>
      <w:r>
        <w:rPr>
          <w:rFonts w:hint="eastAsia" w:ascii="仿宋" w:hAnsi="仿宋" w:eastAsia="仿宋" w:cs="DengXian-Regular"/>
          <w:sz w:val="32"/>
          <w:szCs w:val="32"/>
        </w:rPr>
        <w:t>万元，降低</w:t>
      </w:r>
      <w:r>
        <w:rPr>
          <w:rFonts w:ascii="仿宋" w:hAnsi="仿宋" w:eastAsia="仿宋" w:cs="DengXian-Regular"/>
          <w:sz w:val="32"/>
          <w:szCs w:val="32"/>
        </w:rPr>
        <w:t>12.44</w:t>
      </w:r>
      <w:r>
        <w:rPr>
          <w:rFonts w:hint="eastAsia" w:ascii="仿宋" w:hAnsi="仿宋" w:eastAsia="仿宋" w:cs="DengXian-Regular"/>
          <w:sz w:val="32"/>
          <w:szCs w:val="32"/>
        </w:rPr>
        <w:t>%，主要是公车运行维护费严格按管理制度执行，定点维修、定点加油、统一保险和统一保养，节假日严格执行公务车辆封存制度，降低了公车运行维护费。公务接待严格执行八项规定，严格控制公务接待标准及费用；具体情况如下：</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仿宋" w:hAnsi="仿宋" w:eastAsia="仿宋" w:cs="DengXian-Bold"/>
          <w:b/>
          <w:bCs/>
          <w:sz w:val="32"/>
          <w:szCs w:val="32"/>
        </w:rPr>
        <w:t>（一）因公出国（境）费支出0万元。</w:t>
      </w:r>
      <w:r>
        <w:rPr>
          <w:rFonts w:hint="eastAsia" w:ascii="仿宋" w:hAnsi="仿宋" w:eastAsia="仿宋" w:cs="DengXian-Regular"/>
          <w:sz w:val="32"/>
          <w:szCs w:val="32"/>
        </w:rPr>
        <w:t>本部门</w:t>
      </w:r>
      <w:r>
        <w:rPr>
          <w:rFonts w:ascii="仿宋" w:hAnsi="仿宋" w:eastAsia="仿宋" w:cs="DengXian-Regular"/>
          <w:sz w:val="32"/>
          <w:szCs w:val="32"/>
        </w:rPr>
        <w:t>2018</w:t>
      </w:r>
      <w:r>
        <w:rPr>
          <w:rFonts w:hint="eastAsia" w:ascii="仿宋" w:hAnsi="仿宋" w:eastAsia="仿宋" w:cs="DengXian-Regular"/>
          <w:sz w:val="32"/>
          <w:szCs w:val="32"/>
        </w:rPr>
        <w:t>年度参加其他单位组织的因公出国</w:t>
      </w:r>
      <w:r>
        <w:rPr>
          <w:rFonts w:ascii="仿宋" w:hAnsi="仿宋" w:eastAsia="仿宋" w:cs="DengXian-Regular"/>
          <w:sz w:val="32"/>
          <w:szCs w:val="32"/>
        </w:rPr>
        <w:t>(</w:t>
      </w:r>
      <w:r>
        <w:rPr>
          <w:rFonts w:hint="eastAsia" w:ascii="仿宋" w:hAnsi="仿宋" w:eastAsia="仿宋" w:cs="DengXian-Regular"/>
          <w:sz w:val="32"/>
          <w:szCs w:val="32"/>
        </w:rPr>
        <w:t>境</w:t>
      </w:r>
      <w:r>
        <w:rPr>
          <w:rFonts w:ascii="仿宋" w:hAnsi="仿宋" w:eastAsia="仿宋" w:cs="DengXian-Regular"/>
          <w:sz w:val="32"/>
          <w:szCs w:val="32"/>
        </w:rPr>
        <w:t>)</w:t>
      </w:r>
      <w:r>
        <w:rPr>
          <w:rFonts w:hint="eastAsia" w:ascii="仿宋" w:hAnsi="仿宋" w:eastAsia="仿宋" w:cs="DengXian-Regular"/>
          <w:sz w:val="32"/>
          <w:szCs w:val="32"/>
        </w:rPr>
        <w:t>团组</w:t>
      </w:r>
      <w:r>
        <w:rPr>
          <w:rFonts w:ascii="仿宋" w:hAnsi="仿宋" w:eastAsia="仿宋" w:cs="DengXian-Regular"/>
          <w:sz w:val="32"/>
          <w:szCs w:val="32"/>
        </w:rPr>
        <w:t>0</w:t>
      </w:r>
      <w:r>
        <w:rPr>
          <w:rFonts w:hint="eastAsia" w:ascii="仿宋" w:hAnsi="仿宋" w:eastAsia="仿宋" w:cs="DengXian-Regular"/>
          <w:sz w:val="32"/>
          <w:szCs w:val="32"/>
        </w:rPr>
        <w:t>个</w:t>
      </w:r>
      <w:r>
        <w:rPr>
          <w:rFonts w:hint="eastAsia" w:ascii="微软雅黑" w:hAnsi="微软雅黑" w:eastAsia="微软雅黑" w:cs="微软雅黑"/>
          <w:sz w:val="32"/>
          <w:szCs w:val="32"/>
        </w:rPr>
        <w:t>､</w:t>
      </w:r>
      <w:r>
        <w:rPr>
          <w:rFonts w:hint="eastAsia" w:ascii="仿宋" w:hAnsi="仿宋" w:eastAsia="仿宋" w:cs="仿宋"/>
          <w:sz w:val="32"/>
          <w:szCs w:val="32"/>
        </w:rPr>
        <w:t>共</w:t>
      </w:r>
      <w:r>
        <w:rPr>
          <w:rFonts w:ascii="仿宋" w:hAnsi="仿宋" w:eastAsia="仿宋" w:cs="DengXian-Regular"/>
          <w:sz w:val="32"/>
          <w:szCs w:val="32"/>
        </w:rPr>
        <w:t>0</w:t>
      </w:r>
      <w:r>
        <w:rPr>
          <w:rFonts w:hint="eastAsia" w:ascii="仿宋" w:hAnsi="仿宋" w:eastAsia="仿宋" w:cs="DengXian-Regular"/>
          <w:sz w:val="32"/>
          <w:szCs w:val="32"/>
        </w:rPr>
        <w:t>人，无本单位组织的出国</w:t>
      </w:r>
      <w:r>
        <w:rPr>
          <w:rFonts w:ascii="仿宋" w:hAnsi="仿宋" w:eastAsia="仿宋" w:cs="DengXian-Regular"/>
          <w:sz w:val="32"/>
          <w:szCs w:val="32"/>
        </w:rPr>
        <w:t>(</w:t>
      </w:r>
      <w:r>
        <w:rPr>
          <w:rFonts w:hint="eastAsia" w:ascii="仿宋" w:hAnsi="仿宋" w:eastAsia="仿宋" w:cs="DengXian-Regular"/>
          <w:sz w:val="32"/>
          <w:szCs w:val="32"/>
        </w:rPr>
        <w:t>境</w:t>
      </w:r>
      <w:r>
        <w:rPr>
          <w:rFonts w:ascii="仿宋" w:hAnsi="仿宋" w:eastAsia="仿宋" w:cs="DengXian-Regular"/>
          <w:sz w:val="32"/>
          <w:szCs w:val="32"/>
        </w:rPr>
        <w:t>)</w:t>
      </w:r>
      <w:r>
        <w:rPr>
          <w:rFonts w:hint="eastAsia" w:ascii="仿宋" w:hAnsi="仿宋" w:eastAsia="仿宋" w:cs="DengXian-Regular"/>
          <w:sz w:val="32"/>
          <w:szCs w:val="32"/>
        </w:rPr>
        <w:t>团组</w:t>
      </w:r>
      <w:r>
        <w:rPr>
          <w:rFonts w:hint="eastAsia" w:ascii="微软雅黑" w:hAnsi="微软雅黑" w:eastAsia="微软雅黑" w:cs="微软雅黑"/>
          <w:sz w:val="32"/>
          <w:szCs w:val="32"/>
        </w:rPr>
        <w:t>｡</w:t>
      </w:r>
      <w:r>
        <w:rPr>
          <w:rFonts w:hint="eastAsia" w:ascii="仿宋" w:hAnsi="仿宋" w:eastAsia="仿宋" w:cs="仿宋"/>
          <w:sz w:val="32"/>
          <w:szCs w:val="32"/>
        </w:rPr>
        <w:t>因公出国</w:t>
      </w:r>
      <w:r>
        <w:rPr>
          <w:rFonts w:ascii="仿宋" w:hAnsi="仿宋" w:eastAsia="仿宋" w:cs="DengXian-Regular"/>
          <w:sz w:val="32"/>
          <w:szCs w:val="32"/>
        </w:rPr>
        <w:t>(</w:t>
      </w:r>
      <w:r>
        <w:rPr>
          <w:rFonts w:hint="eastAsia" w:ascii="仿宋" w:hAnsi="仿宋" w:eastAsia="仿宋" w:cs="DengXian-Regular"/>
          <w:sz w:val="32"/>
          <w:szCs w:val="32"/>
        </w:rPr>
        <w:t>境</w:t>
      </w:r>
      <w:r>
        <w:rPr>
          <w:rFonts w:ascii="仿宋" w:hAnsi="仿宋" w:eastAsia="仿宋" w:cs="DengXian-Regular"/>
          <w:sz w:val="32"/>
          <w:szCs w:val="32"/>
        </w:rPr>
        <w:t>)</w:t>
      </w:r>
      <w:r>
        <w:rPr>
          <w:rFonts w:hint="eastAsia" w:ascii="仿宋" w:hAnsi="仿宋" w:eastAsia="仿宋" w:cs="DengXian-Regular"/>
          <w:sz w:val="32"/>
          <w:szCs w:val="32"/>
        </w:rPr>
        <w:t>费支出较年初预算无增减变化</w:t>
      </w:r>
      <w:r>
        <w:rPr>
          <w:rFonts w:ascii="仿宋" w:hAnsi="仿宋" w:eastAsia="仿宋" w:cs="DengXian-Regular"/>
          <w:sz w:val="32"/>
          <w:szCs w:val="32"/>
        </w:rPr>
        <w:t>,</w:t>
      </w:r>
      <w:r>
        <w:rPr>
          <w:rFonts w:hint="eastAsia" w:ascii="仿宋" w:hAnsi="仿宋" w:eastAsia="仿宋" w:cs="DengXian-Regular"/>
          <w:sz w:val="32"/>
          <w:szCs w:val="32"/>
        </w:rPr>
        <w:t>较上年无增减变化。主要是严格执行中央八项规定</w:t>
      </w:r>
      <w:bookmarkStart w:id="1" w:name="_GoBack"/>
      <w:bookmarkEnd w:id="1"/>
      <w:r>
        <w:rPr>
          <w:rFonts w:hint="eastAsia" w:ascii="仿宋" w:hAnsi="仿宋" w:eastAsia="仿宋" w:cs="DengXian-Regular"/>
          <w:sz w:val="32"/>
          <w:szCs w:val="32"/>
        </w:rPr>
        <w:t>，严格控制支出厉行节约原则。</w:t>
      </w:r>
    </w:p>
    <w:p>
      <w:pPr>
        <w:adjustRightInd w:val="0"/>
        <w:snapToGrid w:val="0"/>
        <w:spacing w:after="0" w:line="580" w:lineRule="exact"/>
        <w:ind w:firstLine="643" w:firstLineChars="200"/>
        <w:rPr>
          <w:rFonts w:ascii="仿宋" w:hAnsi="仿宋" w:eastAsia="仿宋" w:cs="DengXian-Bold"/>
          <w:bCs/>
          <w:sz w:val="32"/>
          <w:szCs w:val="32"/>
        </w:rPr>
      </w:pPr>
      <w:r>
        <w:rPr>
          <w:rFonts w:hint="eastAsia" w:ascii="仿宋" w:hAnsi="仿宋" w:eastAsia="仿宋" w:cs="DengXian-Bold"/>
          <w:b/>
          <w:bCs/>
          <w:sz w:val="32"/>
          <w:szCs w:val="32"/>
        </w:rPr>
        <w:t>（二）公务用车购置及运行维护费支出</w:t>
      </w:r>
      <w:r>
        <w:rPr>
          <w:rFonts w:ascii="仿宋" w:hAnsi="仿宋" w:eastAsia="仿宋" w:cs="DengXian-Bold"/>
          <w:b/>
          <w:bCs/>
          <w:sz w:val="32"/>
          <w:szCs w:val="32"/>
        </w:rPr>
        <w:t>10.69</w:t>
      </w:r>
      <w:r>
        <w:rPr>
          <w:rFonts w:hint="eastAsia" w:ascii="仿宋" w:hAnsi="仿宋" w:eastAsia="仿宋" w:cs="DengXian-Bold"/>
          <w:b/>
          <w:bCs/>
          <w:sz w:val="32"/>
          <w:szCs w:val="32"/>
        </w:rPr>
        <w:t>万元。</w:t>
      </w:r>
      <w:r>
        <w:rPr>
          <w:rFonts w:hint="eastAsia" w:ascii="仿宋" w:hAnsi="仿宋" w:eastAsia="仿宋" w:cs="DengXian-Regular"/>
          <w:sz w:val="32"/>
          <w:szCs w:val="32"/>
        </w:rPr>
        <w:t>本部门2018年度公务用车购置及运行维护费较年初预算减少</w:t>
      </w:r>
      <w:r>
        <w:rPr>
          <w:rFonts w:ascii="仿宋" w:hAnsi="仿宋" w:eastAsia="仿宋" w:cs="DengXian-Regular"/>
          <w:sz w:val="32"/>
          <w:szCs w:val="32"/>
        </w:rPr>
        <w:t>1.31</w:t>
      </w:r>
      <w:r>
        <w:rPr>
          <w:rFonts w:hint="eastAsia" w:ascii="仿宋" w:hAnsi="仿宋" w:eastAsia="仿宋" w:cs="DengXian-Regular"/>
          <w:sz w:val="32"/>
          <w:szCs w:val="32"/>
        </w:rPr>
        <w:t>万元，降低</w:t>
      </w:r>
      <w:r>
        <w:rPr>
          <w:rFonts w:ascii="仿宋" w:hAnsi="仿宋" w:eastAsia="仿宋" w:cs="DengXian-Regular"/>
          <w:sz w:val="32"/>
          <w:szCs w:val="32"/>
        </w:rPr>
        <w:t>10.92</w:t>
      </w:r>
      <w:r>
        <w:rPr>
          <w:rFonts w:hint="eastAsia" w:ascii="仿宋" w:hAnsi="仿宋" w:eastAsia="仿宋" w:cs="宋体"/>
          <w:sz w:val="32"/>
          <w:szCs w:val="32"/>
        </w:rPr>
        <w:t>%</w:t>
      </w:r>
      <w:r>
        <w:rPr>
          <w:rFonts w:hint="eastAsia" w:ascii="仿宋" w:hAnsi="仿宋" w:eastAsia="仿宋" w:cs="DengXian-Regular"/>
          <w:sz w:val="32"/>
          <w:szCs w:val="32"/>
        </w:rPr>
        <w:t>,主要是公车运行维护费严格按管理制度执行，定点维修、定点加油、统一保险和统一保养，节假日严格执行公务车辆封存制度，降低了公车运行维护费；较上年减少</w:t>
      </w:r>
      <w:r>
        <w:rPr>
          <w:rFonts w:ascii="仿宋" w:hAnsi="仿宋" w:eastAsia="仿宋" w:cs="DengXian-Regular"/>
          <w:sz w:val="32"/>
          <w:szCs w:val="32"/>
        </w:rPr>
        <w:t>0.99</w:t>
      </w:r>
      <w:r>
        <w:rPr>
          <w:rFonts w:hint="eastAsia" w:ascii="仿宋" w:hAnsi="仿宋" w:eastAsia="仿宋" w:cs="DengXian-Regular"/>
          <w:sz w:val="32"/>
          <w:szCs w:val="32"/>
        </w:rPr>
        <w:t>万元，降低</w:t>
      </w:r>
      <w:r>
        <w:rPr>
          <w:rFonts w:ascii="仿宋" w:hAnsi="仿宋" w:eastAsia="仿宋" w:cs="DengXian-Regular"/>
          <w:sz w:val="32"/>
          <w:szCs w:val="32"/>
        </w:rPr>
        <w:t>8.48</w:t>
      </w:r>
      <w:r>
        <w:rPr>
          <w:rFonts w:hint="eastAsia" w:ascii="仿宋" w:hAnsi="仿宋" w:eastAsia="仿宋" w:cs="DengXian-Regular"/>
          <w:sz w:val="32"/>
          <w:szCs w:val="32"/>
        </w:rPr>
        <w:t>%,主要是公车运行维护费严格按管理制度执行，定点维修、定点加油、统一保险和统一保养，节假日严格执行公务车辆封存制度，降低了公车运行维护费。</w:t>
      </w:r>
      <w:r>
        <w:rPr>
          <w:rFonts w:hint="eastAsia" w:ascii="仿宋" w:hAnsi="仿宋" w:eastAsia="仿宋" w:cs="DengXian-Bold"/>
          <w:bCs/>
          <w:sz w:val="32"/>
          <w:szCs w:val="32"/>
        </w:rPr>
        <w:t>其中：公务用车购置费0万元，公车运行维护费</w:t>
      </w:r>
      <w:r>
        <w:rPr>
          <w:rFonts w:ascii="仿宋" w:hAnsi="仿宋" w:eastAsia="仿宋" w:cs="DengXian-Bold"/>
          <w:bCs/>
          <w:sz w:val="32"/>
          <w:szCs w:val="32"/>
        </w:rPr>
        <w:t>10.69</w:t>
      </w:r>
      <w:r>
        <w:rPr>
          <w:rFonts w:hint="eastAsia" w:ascii="仿宋" w:hAnsi="仿宋" w:eastAsia="仿宋" w:cs="DengXian-Bold"/>
          <w:bCs/>
          <w:sz w:val="32"/>
          <w:szCs w:val="32"/>
        </w:rPr>
        <w:t>万元。</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仿宋" w:hAnsi="仿宋" w:eastAsia="仿宋" w:cs="DengXian-Regular"/>
          <w:b/>
          <w:sz w:val="32"/>
          <w:szCs w:val="32"/>
        </w:rPr>
        <w:t>公务用车购置费：</w:t>
      </w:r>
      <w:r>
        <w:rPr>
          <w:rFonts w:hint="eastAsia" w:ascii="仿宋" w:hAnsi="仿宋" w:eastAsia="仿宋" w:cs="仿宋"/>
          <w:sz w:val="32"/>
          <w:szCs w:val="32"/>
        </w:rPr>
        <w:t>本部门2018年度公务用车购置量0辆,发生“公务用车购置”经费支出0万元｡公务用车购置费支出较年初预算无增减变化，较2017年度决算无增减变化。主要是严格执行中央八项规定，严格控制支出坚持厉行节约原则。</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仿宋" w:hAnsi="仿宋" w:eastAsia="仿宋" w:cs="DengXian-Regular"/>
          <w:b/>
          <w:sz w:val="32"/>
          <w:szCs w:val="32"/>
        </w:rPr>
        <w:t>公务用车运行维护费：</w:t>
      </w:r>
      <w:r>
        <w:rPr>
          <w:rFonts w:hint="eastAsia" w:ascii="仿宋" w:hAnsi="仿宋" w:eastAsia="仿宋" w:cs="DengXian-Regular"/>
          <w:sz w:val="32"/>
          <w:szCs w:val="32"/>
        </w:rPr>
        <w:t>本部门2018年度单位公务用车保有量3辆。公车运行维护费支出较年初预算减少</w:t>
      </w:r>
      <w:r>
        <w:rPr>
          <w:rFonts w:ascii="仿宋" w:hAnsi="仿宋" w:eastAsia="仿宋" w:cs="DengXian-Regular"/>
          <w:sz w:val="32"/>
          <w:szCs w:val="32"/>
        </w:rPr>
        <w:t>1.31</w:t>
      </w:r>
      <w:r>
        <w:rPr>
          <w:rFonts w:hint="eastAsia" w:ascii="仿宋" w:hAnsi="仿宋" w:eastAsia="仿宋" w:cs="DengXian-Regular"/>
          <w:sz w:val="32"/>
          <w:szCs w:val="32"/>
        </w:rPr>
        <w:t>万元，降低</w:t>
      </w:r>
      <w:r>
        <w:rPr>
          <w:rFonts w:ascii="仿宋" w:hAnsi="仿宋" w:eastAsia="仿宋" w:cs="DengXian-Regular"/>
          <w:sz w:val="32"/>
          <w:szCs w:val="32"/>
        </w:rPr>
        <w:t>10.92</w:t>
      </w:r>
      <w:r>
        <w:rPr>
          <w:rFonts w:hint="eastAsia" w:ascii="仿宋" w:hAnsi="仿宋" w:eastAsia="仿宋" w:cs="DengXian-Regular"/>
          <w:sz w:val="32"/>
          <w:szCs w:val="32"/>
        </w:rPr>
        <w:t>%,主要是公车运行维护费严格按管理制度执行，定点维修、定点加油、统一保险和统一保养，节假日严格执行公务车辆封存制度，降低了公车运行维护费；较上年减少</w:t>
      </w:r>
      <w:r>
        <w:rPr>
          <w:rFonts w:ascii="仿宋" w:hAnsi="仿宋" w:eastAsia="仿宋" w:cs="DengXian-Regular"/>
          <w:sz w:val="32"/>
          <w:szCs w:val="32"/>
        </w:rPr>
        <w:t>0.99</w:t>
      </w:r>
      <w:r>
        <w:rPr>
          <w:rFonts w:hint="eastAsia" w:ascii="仿宋" w:hAnsi="仿宋" w:eastAsia="仿宋" w:cs="DengXian-Regular"/>
          <w:sz w:val="32"/>
          <w:szCs w:val="32"/>
        </w:rPr>
        <w:t>万元，降低</w:t>
      </w:r>
      <w:r>
        <w:rPr>
          <w:rFonts w:ascii="仿宋" w:hAnsi="仿宋" w:eastAsia="仿宋" w:cs="DengXian-Regular"/>
          <w:sz w:val="32"/>
          <w:szCs w:val="32"/>
        </w:rPr>
        <w:t>8.48</w:t>
      </w:r>
      <w:r>
        <w:rPr>
          <w:rFonts w:hint="eastAsia" w:ascii="仿宋" w:hAnsi="仿宋" w:eastAsia="仿宋" w:cs="DengXian-Regular"/>
          <w:sz w:val="32"/>
          <w:szCs w:val="32"/>
        </w:rPr>
        <w:t>%，主要是公车运行维护费严格按管理制度执行，定点维修、定点加油、统一保险和统一保养，节假日严格执行公务车辆封存制度，降低了公车运行维护费。</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仿宋" w:hAnsi="仿宋" w:eastAsia="仿宋" w:cs="DengXian-Bold"/>
          <w:b/>
          <w:bCs/>
          <w:sz w:val="32"/>
          <w:szCs w:val="32"/>
        </w:rPr>
        <w:t>（三）公务接待费支出0.</w:t>
      </w:r>
      <w:r>
        <w:rPr>
          <w:rFonts w:ascii="仿宋" w:hAnsi="仿宋" w:eastAsia="仿宋" w:cs="DengXian-Bold"/>
          <w:b/>
          <w:bCs/>
          <w:sz w:val="32"/>
          <w:szCs w:val="32"/>
        </w:rPr>
        <w:t>56</w:t>
      </w:r>
      <w:r>
        <w:rPr>
          <w:rFonts w:hint="eastAsia" w:ascii="仿宋" w:hAnsi="仿宋" w:eastAsia="仿宋" w:cs="DengXian-Bold"/>
          <w:b/>
          <w:bCs/>
          <w:sz w:val="32"/>
          <w:szCs w:val="32"/>
        </w:rPr>
        <w:t>万元。</w:t>
      </w:r>
      <w:r>
        <w:rPr>
          <w:rFonts w:hint="eastAsia" w:ascii="仿宋" w:hAnsi="仿宋" w:eastAsia="仿宋" w:cs="DengXian-Regular"/>
          <w:sz w:val="32"/>
          <w:szCs w:val="32"/>
        </w:rPr>
        <w:t>本部门2018年度公务接待共</w:t>
      </w:r>
      <w:r>
        <w:rPr>
          <w:rFonts w:ascii="仿宋" w:hAnsi="仿宋" w:eastAsia="仿宋" w:cs="DengXian-Regular"/>
          <w:sz w:val="32"/>
          <w:szCs w:val="32"/>
        </w:rPr>
        <w:t>24</w:t>
      </w:r>
      <w:r>
        <w:rPr>
          <w:rFonts w:hint="eastAsia" w:ascii="仿宋" w:hAnsi="仿宋" w:eastAsia="仿宋" w:cs="DengXian-Regular"/>
          <w:sz w:val="32"/>
          <w:szCs w:val="32"/>
        </w:rPr>
        <w:t>批次、</w:t>
      </w:r>
      <w:r>
        <w:rPr>
          <w:rFonts w:ascii="仿宋" w:hAnsi="仿宋" w:eastAsia="仿宋" w:cs="DengXian-Regular"/>
          <w:sz w:val="32"/>
          <w:szCs w:val="32"/>
        </w:rPr>
        <w:t>186</w:t>
      </w:r>
      <w:r>
        <w:rPr>
          <w:rFonts w:hint="eastAsia" w:ascii="仿宋" w:hAnsi="仿宋" w:eastAsia="仿宋" w:cs="DengXian-Regular"/>
          <w:sz w:val="32"/>
          <w:szCs w:val="32"/>
        </w:rPr>
        <w:t>人次。公务接待费支出较年初预算无增减变化。主要是严格执行八项规定，严格控制公务接待标准及费用；较上年度减少</w:t>
      </w:r>
      <w:r>
        <w:rPr>
          <w:rFonts w:ascii="仿宋" w:hAnsi="仿宋" w:eastAsia="仿宋" w:cs="DengXian-Regular"/>
          <w:sz w:val="32"/>
          <w:szCs w:val="32"/>
        </w:rPr>
        <w:t>0.41</w:t>
      </w:r>
      <w:r>
        <w:rPr>
          <w:rFonts w:hint="eastAsia" w:ascii="仿宋" w:hAnsi="仿宋" w:eastAsia="仿宋" w:cs="DengXian-Regular"/>
          <w:sz w:val="32"/>
          <w:szCs w:val="32"/>
        </w:rPr>
        <w:t>万元，降低</w:t>
      </w:r>
      <w:r>
        <w:rPr>
          <w:rFonts w:ascii="仿宋" w:hAnsi="仿宋" w:eastAsia="仿宋" w:cs="DengXian-Regular"/>
          <w:sz w:val="32"/>
          <w:szCs w:val="32"/>
        </w:rPr>
        <w:t>71.93</w:t>
      </w:r>
      <w:r>
        <w:rPr>
          <w:rFonts w:hint="eastAsia" w:ascii="仿宋" w:hAnsi="仿宋" w:eastAsia="仿宋" w:cs="DengXian-Regular"/>
          <w:sz w:val="32"/>
          <w:szCs w:val="32"/>
        </w:rPr>
        <w:t>%,主要是严格执行八项规定，严格控制公务接待标准及费用。</w:t>
      </w:r>
    </w:p>
    <w:p>
      <w:pPr>
        <w:adjustRightInd w:val="0"/>
        <w:snapToGrid w:val="0"/>
        <w:spacing w:after="0" w:line="560" w:lineRule="exact"/>
        <w:ind w:firstLine="640" w:firstLineChars="200"/>
        <w:rPr>
          <w:rFonts w:ascii="黑体" w:eastAsia="黑体"/>
          <w:sz w:val="32"/>
          <w:szCs w:val="40"/>
        </w:rPr>
      </w:pPr>
      <w:r>
        <w:rPr>
          <w:rFonts w:hint="eastAsia" w:ascii="黑体" w:eastAsia="黑体"/>
          <w:sz w:val="32"/>
          <w:szCs w:val="40"/>
        </w:rPr>
        <w:t>六、预算绩效情况说明</w:t>
      </w:r>
    </w:p>
    <w:p>
      <w:pPr>
        <w:spacing w:after="0" w:line="560" w:lineRule="exact"/>
        <w:rPr>
          <w:rFonts w:ascii="仿宋" w:hAnsi="仿宋" w:eastAsia="仿宋" w:cs="DengXian-Regular"/>
          <w:sz w:val="32"/>
          <w:szCs w:val="32"/>
        </w:rPr>
      </w:pPr>
      <w:r>
        <w:rPr>
          <w:rFonts w:hint="eastAsia" w:ascii="仿宋" w:hAnsi="仿宋" w:eastAsia="仿宋" w:cs="DengXian-Regular"/>
          <w:sz w:val="32"/>
          <w:szCs w:val="32"/>
        </w:rPr>
        <w:t xml:space="preserve">    （一）绩效管理工作开展情况</w:t>
      </w:r>
    </w:p>
    <w:p>
      <w:pPr>
        <w:spacing w:after="0" w:line="560" w:lineRule="exact"/>
        <w:ind w:firstLine="640" w:firstLineChars="200"/>
        <w:rPr>
          <w:rFonts w:ascii="仿宋" w:hAnsi="仿宋" w:eastAsia="仿宋"/>
          <w:sz w:val="32"/>
          <w:szCs w:val="32"/>
        </w:rPr>
      </w:pPr>
      <w:r>
        <w:rPr>
          <w:rFonts w:hint="eastAsia" w:ascii="仿宋" w:hAnsi="仿宋" w:eastAsia="仿宋" w:cs="仿宋"/>
          <w:sz w:val="32"/>
          <w:szCs w:val="32"/>
        </w:rPr>
        <w:t>我镇全面推进绩效预算改革,规范预算管理,严格执行预算法,坚持以绩效为导向、以绩效预算改革为抓手,将绩效理念融入预算执行管理全过程,整体提高财政资源配置效率，做到了“预算编制有目标、预算执行有监控、预算完成有评价、评价结果有应用、绩效缺失有问责”的全过程绩效管理机制大大提高了财政资金使用效益，推动了我镇经济和社会各项事业持续快速健康发展</w:t>
      </w:r>
    </w:p>
    <w:p>
      <w:pPr>
        <w:autoSpaceDE w:val="0"/>
        <w:autoSpaceDN w:val="0"/>
        <w:spacing w:after="0" w:line="560" w:lineRule="exact"/>
        <w:ind w:left="640" w:hanging="640" w:hangingChars="200"/>
        <w:rPr>
          <w:rFonts w:ascii="仿宋" w:hAnsi="仿宋" w:eastAsia="仿宋" w:cs="DengXian-Regular"/>
          <w:sz w:val="32"/>
          <w:szCs w:val="32"/>
        </w:rPr>
      </w:pPr>
      <w:r>
        <w:rPr>
          <w:rFonts w:hint="eastAsia" w:ascii="仿宋" w:hAnsi="仿宋" w:eastAsia="仿宋" w:cs="DengXian-Regular"/>
          <w:sz w:val="32"/>
          <w:szCs w:val="32"/>
        </w:rPr>
        <w:t xml:space="preserve">   （二）项目绩效自评结果</w:t>
      </w:r>
    </w:p>
    <w:p>
      <w:pPr>
        <w:autoSpaceDE w:val="0"/>
        <w:autoSpaceDN w:val="0"/>
        <w:spacing w:after="0" w:line="560" w:lineRule="exact"/>
        <w:ind w:firstLine="640" w:firstLineChars="200"/>
        <w:jc w:val="left"/>
        <w:rPr>
          <w:rFonts w:ascii="仿宋" w:hAnsi="仿宋" w:eastAsia="仿宋" w:cs="DengXian-Regular"/>
          <w:sz w:val="32"/>
          <w:szCs w:val="32"/>
        </w:rPr>
      </w:pPr>
      <w:r>
        <w:rPr>
          <w:rFonts w:hint="eastAsia" w:ascii="仿宋" w:hAnsi="仿宋" w:eastAsia="仿宋" w:cs="仿宋_GB2312"/>
          <w:sz w:val="32"/>
          <w:szCs w:val="32"/>
        </w:rPr>
        <w:t>组织有关人员，讨论确定指标标准值，通过对基础资料进行核实、分析、整理，采取查阅政府相关统计数据、抽查各项目执行记录、对服务对象的跟踪调查、测验数据等途径，获得各项绩效指标实际值。此次绩效评价坚持科学、客观、公正和实事求是的原则，以定量评价方法为主，结合定性分析，从政策实施、项目管理、项目实施、综合效益等方面，对各个项目开展情况进行考评计分。全部项目中最高分96分，最低分92分，平均得分94分</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（三）重点项目绩效评价结果</w:t>
      </w:r>
    </w:p>
    <w:p>
      <w:pPr>
        <w:adjustRightInd w:val="0"/>
        <w:snapToGrid w:val="0"/>
        <w:spacing w:after="0" w:line="560" w:lineRule="exact"/>
        <w:ind w:firstLine="640" w:firstLineChars="200"/>
        <w:rPr>
          <w:rFonts w:ascii="仿宋" w:hAnsi="仿宋" w:eastAsia="仿宋" w:cs="仿宋"/>
          <w:sz w:val="32"/>
          <w:szCs w:val="32"/>
        </w:rPr>
      </w:pPr>
      <w:r>
        <w:rPr>
          <w:rFonts w:hint="eastAsia" w:ascii="仿宋" w:hAnsi="仿宋" w:eastAsia="仿宋" w:cs="仿宋_GB2312"/>
          <w:sz w:val="32"/>
          <w:szCs w:val="32"/>
        </w:rPr>
        <w:t>通过整体评价分析，我单位在2018年较好的完成了部门整体绩效目标，取得了一定的成效。</w:t>
      </w:r>
    </w:p>
    <w:p>
      <w:pPr>
        <w:numPr>
          <w:ilvl w:val="0"/>
          <w:numId w:val="2"/>
        </w:numPr>
        <w:adjustRightInd w:val="0"/>
        <w:snapToGrid w:val="0"/>
        <w:spacing w:after="0" w:line="560" w:lineRule="exact"/>
        <w:ind w:firstLine="640" w:firstLineChars="200"/>
        <w:rPr>
          <w:rFonts w:ascii="仿宋" w:hAnsi="仿宋" w:eastAsia="仿宋" w:cs="仿宋_GB2312"/>
          <w:sz w:val="32"/>
          <w:szCs w:val="32"/>
        </w:rPr>
      </w:pPr>
      <w:r>
        <w:rPr>
          <w:rFonts w:ascii="仿宋" w:hAnsi="仿宋" w:eastAsia="仿宋" w:cs="仿宋_GB2312"/>
          <w:sz w:val="32"/>
          <w:szCs w:val="32"/>
        </w:rPr>
        <w:t>城乡社区环境卫生</w:t>
      </w:r>
      <w:r>
        <w:rPr>
          <w:rFonts w:hint="eastAsia" w:ascii="仿宋" w:hAnsi="仿宋" w:eastAsia="仿宋" w:cs="仿宋_GB2312"/>
          <w:sz w:val="32"/>
          <w:szCs w:val="32"/>
        </w:rPr>
        <w:t>项目自评综述：</w:t>
      </w:r>
      <w:r>
        <w:rPr>
          <w:rFonts w:ascii="仿宋" w:hAnsi="仿宋" w:eastAsia="仿宋" w:cs="仿宋_GB2312"/>
          <w:sz w:val="32"/>
          <w:szCs w:val="32"/>
        </w:rPr>
        <w:t>城乡社区环境卫生</w:t>
      </w:r>
      <w:r>
        <w:rPr>
          <w:rFonts w:hint="eastAsia" w:ascii="仿宋" w:hAnsi="仿宋" w:eastAsia="仿宋" w:cs="仿宋_GB2312"/>
          <w:sz w:val="32"/>
          <w:szCs w:val="32"/>
        </w:rPr>
        <w:t>项目绩效自评得分96分。全年预算数</w:t>
      </w:r>
      <w:r>
        <w:rPr>
          <w:rFonts w:ascii="仿宋" w:hAnsi="仿宋" w:eastAsia="仿宋" w:cs="仿宋_GB2312"/>
          <w:sz w:val="32"/>
          <w:szCs w:val="32"/>
        </w:rPr>
        <w:t>13.71</w:t>
      </w:r>
      <w:r>
        <w:rPr>
          <w:rFonts w:hint="eastAsia" w:ascii="仿宋" w:hAnsi="仿宋" w:eastAsia="仿宋" w:cs="仿宋_GB2312"/>
          <w:sz w:val="32"/>
          <w:szCs w:val="32"/>
        </w:rPr>
        <w:t>万元，实际执行</w:t>
      </w:r>
      <w:r>
        <w:rPr>
          <w:rFonts w:ascii="仿宋" w:hAnsi="仿宋" w:eastAsia="仿宋" w:cs="仿宋_GB2312"/>
          <w:sz w:val="32"/>
          <w:szCs w:val="32"/>
        </w:rPr>
        <w:t>13.71</w:t>
      </w:r>
      <w:r>
        <w:rPr>
          <w:rFonts w:hint="eastAsia" w:ascii="仿宋" w:hAnsi="仿宋" w:eastAsia="仿宋" w:cs="仿宋_GB2312"/>
          <w:sz w:val="32"/>
          <w:szCs w:val="32"/>
        </w:rPr>
        <w:t>万元，完成100%。通过环境治理，较好地改善了百姓的生活环境，提高了百姓的幸福指数。群众满意度大于90%，公众满意度大于90%，验收通过率大于90%，绩效评价为优。发现的主要问题及原因:缺乏体现项目实施长期效益的指标。下一步改进措施:进一步推进项目绩效评价指标体系的建设，提高项目绩效指标评价准确性，持续加强对项目实施后的长期跟踪评价。</w:t>
      </w:r>
    </w:p>
    <w:p>
      <w:pPr>
        <w:numPr>
          <w:ilvl w:val="0"/>
          <w:numId w:val="2"/>
        </w:numPr>
        <w:adjustRightInd w:val="0"/>
        <w:snapToGrid w:val="0"/>
        <w:spacing w:after="0" w:line="560" w:lineRule="exact"/>
        <w:ind w:firstLine="640" w:firstLineChars="200"/>
        <w:rPr>
          <w:rFonts w:ascii="仿宋" w:hAnsi="仿宋" w:eastAsia="仿宋" w:cs="仿宋"/>
          <w:sz w:val="32"/>
          <w:lang w:val="zh-CN"/>
        </w:rPr>
      </w:pPr>
      <w:r>
        <w:rPr>
          <w:rFonts w:hint="eastAsia" w:ascii="仿宋" w:hAnsi="仿宋" w:eastAsia="仿宋" w:cs="仿宋_GB2312"/>
          <w:sz w:val="32"/>
          <w:szCs w:val="32"/>
        </w:rPr>
        <w:t>农村公益事业项目绩效自评综述：农村公益事业项目绩效自评得分92分。全年预算数</w:t>
      </w:r>
      <w:r>
        <w:rPr>
          <w:rFonts w:ascii="仿宋" w:hAnsi="仿宋" w:eastAsia="仿宋" w:cs="仿宋_GB2312"/>
          <w:sz w:val="32"/>
          <w:szCs w:val="32"/>
        </w:rPr>
        <w:t>28.17</w:t>
      </w:r>
      <w:r>
        <w:rPr>
          <w:rFonts w:hint="eastAsia" w:ascii="仿宋" w:hAnsi="仿宋" w:eastAsia="仿宋" w:cs="仿宋_GB2312"/>
          <w:sz w:val="32"/>
          <w:szCs w:val="32"/>
        </w:rPr>
        <w:t>万元，实际执行</w:t>
      </w:r>
      <w:r>
        <w:rPr>
          <w:rFonts w:ascii="仿宋" w:hAnsi="仿宋" w:eastAsia="仿宋" w:cs="仿宋_GB2312"/>
          <w:sz w:val="32"/>
          <w:szCs w:val="32"/>
        </w:rPr>
        <w:t>28.17</w:t>
      </w:r>
      <w:r>
        <w:rPr>
          <w:rFonts w:hint="eastAsia" w:ascii="仿宋" w:hAnsi="仿宋" w:eastAsia="仿宋" w:cs="仿宋_GB2312"/>
          <w:sz w:val="32"/>
          <w:szCs w:val="32"/>
        </w:rPr>
        <w:t>万元，完成100%。通过街道绿化亮化，美化了村容村貌。群众满意度大于90%，公众满意度大于90%，验收通过率大于90%，绩效评价为优。项目资金绩效总体较好。</w:t>
      </w:r>
    </w:p>
    <w:p>
      <w:pPr>
        <w:autoSpaceDE w:val="0"/>
        <w:autoSpaceDN w:val="0"/>
        <w:spacing w:after="0" w:line="560" w:lineRule="exact"/>
        <w:ind w:firstLine="640" w:firstLineChars="200"/>
        <w:rPr>
          <w:rFonts w:ascii="仿宋" w:hAnsi="仿宋" w:eastAsia="仿宋" w:cs="DengXian-Regular"/>
          <w:sz w:val="32"/>
          <w:szCs w:val="32"/>
        </w:rPr>
      </w:pPr>
      <w:r>
        <w:rPr>
          <w:rFonts w:hint="eastAsia" w:ascii="仿宋" w:hAnsi="仿宋" w:eastAsia="仿宋" w:cs="仿宋_GB2312"/>
          <w:sz w:val="32"/>
          <w:szCs w:val="32"/>
        </w:rPr>
        <w:t>通过实施项目绩效评价发现，预算绩效目标设定还需详细些。进一步改进完善措施，一是提高对绩效评价工作的认识，二是进一步探索具有科学的绩效分析。</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七、其他重要事项的说明</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（一）机关运行经费情况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仿宋"/>
          <w:sz w:val="32"/>
          <w:szCs w:val="32"/>
        </w:rPr>
        <w:t>我单位性质是其他单位，机关运行经费支出0万元，与上年持平，较年初预算无增减变化。</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（二）政府采购情况</w:t>
      </w:r>
    </w:p>
    <w:p>
      <w:pPr>
        <w:widowControl/>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本部门2018年度政府采购支出总额0万元，从采购类型来看，</w:t>
      </w:r>
      <w:r>
        <w:rPr>
          <w:rFonts w:ascii="仿宋" w:hAnsi="仿宋" w:eastAsia="仿宋" w:cs="仿宋_GB2312"/>
          <w:color w:val="000000"/>
          <w:kern w:val="0"/>
          <w:sz w:val="32"/>
          <w:szCs w:val="32"/>
        </w:rPr>
        <w:t>政府采购货物支出</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万元、政府采购工程支出</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 xml:space="preserve">万元、政府采购服务支出 </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万元。授予中小企业合同金</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万元，占政府采购支出总额的</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其中授予小微企业合同金额</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 xml:space="preserve">万元，占政府采购支出总额的 </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（三）国有资产占用情况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截至2018年12月31日，本部门共有车辆3辆，较年初预算无增减变化，较2017年度决算无增减变化。其中，副部（省）级及以上领导用车0辆，主要领导干部用车</w:t>
      </w:r>
      <w:r>
        <w:rPr>
          <w:rFonts w:ascii="仿宋" w:hAnsi="仿宋" w:eastAsia="仿宋" w:cs="DengXian-Regular"/>
          <w:sz w:val="32"/>
          <w:szCs w:val="32"/>
        </w:rPr>
        <w:t>0</w:t>
      </w:r>
      <w:r>
        <w:rPr>
          <w:rFonts w:hint="eastAsia" w:ascii="仿宋" w:hAnsi="仿宋" w:eastAsia="仿宋" w:cs="DengXian-Regular"/>
          <w:sz w:val="32"/>
          <w:szCs w:val="32"/>
        </w:rPr>
        <w:t>辆，机要通信用车0辆，应急保障用车0辆，执法执勤用车</w:t>
      </w:r>
      <w:r>
        <w:rPr>
          <w:rFonts w:ascii="仿宋" w:hAnsi="仿宋" w:eastAsia="仿宋" w:cs="DengXian-Regular"/>
          <w:sz w:val="32"/>
          <w:szCs w:val="32"/>
        </w:rPr>
        <w:t>0</w:t>
      </w:r>
      <w:r>
        <w:rPr>
          <w:rFonts w:hint="eastAsia" w:ascii="仿宋" w:hAnsi="仿宋" w:eastAsia="仿宋" w:cs="DengXian-Regular"/>
          <w:sz w:val="32"/>
          <w:szCs w:val="32"/>
        </w:rPr>
        <w:t>辆，特种专业技术用车0辆，离退休干部用车0辆，其他用车</w:t>
      </w:r>
      <w:r>
        <w:rPr>
          <w:rFonts w:ascii="仿宋" w:hAnsi="仿宋" w:eastAsia="仿宋" w:cs="DengXian-Regular"/>
          <w:sz w:val="32"/>
          <w:szCs w:val="32"/>
        </w:rPr>
        <w:t>3</w:t>
      </w:r>
      <w:r>
        <w:rPr>
          <w:rFonts w:hint="eastAsia" w:ascii="仿宋" w:hAnsi="仿宋" w:eastAsia="仿宋" w:cs="DengXian-Regular"/>
          <w:sz w:val="32"/>
          <w:szCs w:val="32"/>
        </w:rPr>
        <w:t>辆。</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万元以上通用设备0台，比上年无增减变化，单位价值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万元以上专用设备0台，比上年无增减变化。</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（四）其他需要说明的情况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2018年度“政府性基金预算财政拨款收入支出决算表”（公开08表），无收支及结转结余情况，故以空表列示；本部门2018年度“国有资本经营预算财政拨款支出决算表”（公开09表），无相关支出情况，故以空表列示。本部门2018年度“政府采购情况表”（公开10表），无预算安排及支出情况，故以空表列示。</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16" name="文本框 22"/>
                <wp:cNvGraphicFramePr/>
                <a:graphic xmlns:a="http://schemas.openxmlformats.org/drawingml/2006/main">
                  <a:graphicData uri="http://schemas.microsoft.com/office/word/2010/wordprocessingShape">
                    <wps:wsp>
                      <wps:cNvSpPr/>
                      <wps:spPr>
                        <a:xfrm>
                          <a:off x="0" y="0"/>
                          <a:ext cx="7571740" cy="2020570"/>
                        </a:xfrm>
                        <a:prstGeom prst="rect">
                          <a:avLst/>
                        </a:prstGeom>
                        <a:noFill/>
                        <a:ln>
                          <a:noFill/>
                        </a:ln>
                        <a:effectLst/>
                      </wps:spPr>
                      <wps:txbx>
                        <w:txbxContent>
                          <w:p>
                            <w:pPr>
                              <w:widowControl/>
                              <w:spacing w:line="1200" w:lineRule="exact"/>
                              <w:jc w:val="center"/>
                              <w:rPr>
                                <w:rFonts w:ascii="黑体" w:hAnsi="宋体" w:eastAsia="黑体"/>
                                <w:sz w:val="96"/>
                                <w:szCs w:val="96"/>
                              </w:rPr>
                            </w:pPr>
                            <w:r>
                              <w:rPr>
                                <w:rFonts w:hint="eastAsia" w:ascii="黑体" w:hAnsi="宋体" w:eastAsia="黑体"/>
                                <w:sz w:val="96"/>
                                <w:szCs w:val="96"/>
                              </w:rPr>
                              <w:t>第四部分</w:t>
                            </w:r>
                          </w:p>
                          <w:p>
                            <w:pPr>
                              <w:widowControl/>
                              <w:spacing w:line="1200" w:lineRule="exact"/>
                              <w:jc w:val="center"/>
                              <w:rPr>
                                <w:sz w:val="96"/>
                                <w:szCs w:val="96"/>
                              </w:rPr>
                            </w:pPr>
                            <w:r>
                              <w:rPr>
                                <w:rFonts w:hint="eastAsia" w:ascii="黑体" w:hAnsi="宋体" w:eastAsia="黑体"/>
                                <w:sz w:val="96"/>
                                <w:szCs w:val="96"/>
                              </w:rPr>
                              <w:t>相关名词解释</w:t>
                            </w:r>
                          </w:p>
                        </w:txbxContent>
                      </wps:txbx>
                      <wps:bodyPr vert="horz" wrap="square" lIns="91440" tIns="45720" rIns="91440" bIns="45720" anchor="t">
                        <a:noAutofit/>
                      </wps:bodyPr>
                    </wps:wsp>
                  </a:graphicData>
                </a:graphic>
              </wp:anchor>
            </w:drawing>
          </mc:Choice>
          <mc:Fallback>
            <w:pict>
              <v:rect id="文本框 22" o:spid="_x0000_s1026" o:spt="1" style="position:absolute;left:0pt;margin-left:-78.7pt;margin-top:232.8pt;height:159.1pt;width:596.2pt;z-index:251665408;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85tcO&#10;3gAAAA0BAAAPAAAAAAAAAAEAIAAAACIAAABkcnMvZG93bnJldi54bWxQSwECFAAUAAAACACHTuJA&#10;vfc0aeIBAAC+AwAADgAAAAAAAAABACAAAAAtAQAAZHJzL2Uyb0RvYy54bWxQSwUGAAAAAAYABgBZ&#10;AQAAgQUAAAAA&#10;">
                <v:fill on="f" focussize="0,0"/>
                <v:stroke on="f"/>
                <v:imagedata o:title=""/>
                <o:lock v:ext="edit" aspectratio="f"/>
                <v:textbox>
                  <w:txbxContent>
                    <w:p>
                      <w:pPr>
                        <w:widowControl/>
                        <w:spacing w:line="1200" w:lineRule="exact"/>
                        <w:jc w:val="center"/>
                        <w:rPr>
                          <w:rFonts w:ascii="黑体" w:hAnsi="宋体" w:eastAsia="黑体"/>
                          <w:sz w:val="96"/>
                          <w:szCs w:val="96"/>
                        </w:rPr>
                      </w:pPr>
                      <w:r>
                        <w:rPr>
                          <w:rFonts w:hint="eastAsia" w:ascii="黑体" w:hAnsi="宋体" w:eastAsia="黑体"/>
                          <w:sz w:val="96"/>
                          <w:szCs w:val="96"/>
                        </w:rPr>
                        <w:t>第四部分</w:t>
                      </w:r>
                    </w:p>
                    <w:p>
                      <w:pPr>
                        <w:widowControl/>
                        <w:spacing w:line="1200" w:lineRule="exact"/>
                        <w:jc w:val="center"/>
                        <w:rPr>
                          <w:sz w:val="96"/>
                          <w:szCs w:val="96"/>
                        </w:rPr>
                      </w:pPr>
                      <w:r>
                        <w:rPr>
                          <w:rFonts w:hint="eastAsia" w:ascii="黑体" w:hAnsi="宋体" w:eastAsia="黑体"/>
                          <w:sz w:val="96"/>
                          <w:szCs w:val="96"/>
                        </w:rPr>
                        <w:t>相关名词解释</w:t>
                      </w:r>
                    </w:p>
                  </w:txbxContent>
                </v:textbox>
              </v:rect>
            </w:pict>
          </mc:Fallback>
        </mc:AlternateConten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（一）财政拨款收入：</w:t>
      </w:r>
      <w:r>
        <w:rPr>
          <w:rFonts w:hint="eastAsia" w:ascii="仿宋" w:hAnsi="仿宋" w:eastAsia="仿宋"/>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（二）事业收入：</w:t>
      </w:r>
      <w:r>
        <w:rPr>
          <w:rFonts w:hint="eastAsia" w:ascii="仿宋" w:hAnsi="仿宋" w:eastAsia="仿宋"/>
          <w:color w:val="000000"/>
          <w:kern w:val="0"/>
          <w:sz w:val="32"/>
          <w:szCs w:val="32"/>
        </w:rPr>
        <w:t>指事业单位开展专业业务活动及辅助活动所取得的收入。</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（三）其他收入：</w:t>
      </w:r>
      <w:r>
        <w:rPr>
          <w:rFonts w:hint="eastAsia" w:ascii="仿宋" w:hAnsi="仿宋" w:eastAsia="仿宋"/>
          <w:color w:val="000000"/>
          <w:kern w:val="0"/>
          <w:sz w:val="32"/>
          <w:szCs w:val="32"/>
        </w:rPr>
        <w:t>指除上述“财政拨款收入”、“事业收入”、“经营收入”等以外的收入。</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（四）用事业基金弥补收支差额：</w:t>
      </w:r>
      <w:r>
        <w:rPr>
          <w:rFonts w:hint="eastAsia" w:ascii="仿宋" w:hAnsi="仿宋" w:eastAsia="仿宋"/>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（五）年初结转和结余：</w:t>
      </w:r>
      <w:r>
        <w:rPr>
          <w:rFonts w:hint="eastAsia" w:ascii="仿宋" w:hAnsi="仿宋" w:eastAsia="仿宋"/>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（六）结余分配：</w:t>
      </w:r>
      <w:r>
        <w:rPr>
          <w:rFonts w:hint="eastAsia" w:ascii="仿宋" w:hAnsi="仿宋" w:eastAsia="仿宋"/>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（七）年末结转和结余：</w:t>
      </w:r>
      <w:r>
        <w:rPr>
          <w:rFonts w:hint="eastAsia" w:ascii="仿宋" w:hAnsi="仿宋" w:eastAsia="仿宋"/>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（八）基本支出：</w:t>
      </w:r>
      <w:r>
        <w:rPr>
          <w:rFonts w:hint="eastAsia" w:ascii="仿宋" w:hAnsi="仿宋" w:eastAsia="仿宋"/>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（九）项目支出：</w:t>
      </w:r>
      <w:r>
        <w:rPr>
          <w:rFonts w:hint="eastAsia" w:ascii="仿宋" w:hAnsi="仿宋" w:eastAsia="仿宋"/>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（十）基本建设支出：</w:t>
      </w:r>
      <w:r>
        <w:rPr>
          <w:rFonts w:hint="eastAsia" w:ascii="仿宋" w:hAnsi="仿宋" w:eastAsia="仿宋"/>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（十一）其他资本性支出：</w:t>
      </w:r>
      <w:r>
        <w:rPr>
          <w:rFonts w:hint="eastAsia" w:ascii="仿宋" w:hAnsi="仿宋" w:eastAsia="仿宋"/>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（十二）“三公”经费：</w:t>
      </w:r>
      <w:r>
        <w:rPr>
          <w:rFonts w:hint="eastAsia" w:ascii="仿宋" w:hAnsi="仿宋" w:eastAsia="仿宋"/>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（十三）其他交通费用：</w:t>
      </w:r>
      <w:r>
        <w:rPr>
          <w:rFonts w:hint="eastAsia" w:ascii="仿宋" w:hAnsi="仿宋" w:eastAsia="仿宋"/>
          <w:color w:val="000000"/>
          <w:kern w:val="0"/>
          <w:sz w:val="32"/>
          <w:szCs w:val="32"/>
        </w:rPr>
        <w:t>填列单位除公务用车运行维护费以外的其他交通费用。如飞机、船舶等的燃料费、维修费、过桥过路费、保险费、出租车费用、公务交通补贴等。</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（十四）公务用车购置：</w:t>
      </w:r>
      <w:r>
        <w:rPr>
          <w:rFonts w:hint="eastAsia" w:ascii="仿宋" w:hAnsi="仿宋" w:eastAsia="仿宋"/>
          <w:color w:val="000000"/>
          <w:kern w:val="0"/>
          <w:sz w:val="32"/>
          <w:szCs w:val="32"/>
        </w:rPr>
        <w:t>填列单位公务用车车辆购置支出（含车辆购置税）。</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（十五）其他交通工具购置：</w:t>
      </w:r>
      <w:r>
        <w:rPr>
          <w:rFonts w:hint="eastAsia" w:ascii="仿宋" w:hAnsi="仿宋" w:eastAsia="仿宋"/>
          <w:color w:val="000000"/>
          <w:kern w:val="0"/>
          <w:sz w:val="32"/>
          <w:szCs w:val="32"/>
        </w:rPr>
        <w:t>填列单位除公务用车外的其他各类交通工具（如船舶、飞机）购置支出（含车辆购置税）。</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（十六）机关运行经费：</w:t>
      </w:r>
      <w:r>
        <w:rPr>
          <w:rFonts w:hint="eastAsia" w:ascii="仿宋" w:hAnsi="仿宋" w:eastAsia="仿宋"/>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 w:hAnsi="仿宋" w:eastAsia="仿宋" w:cs="ArialUnicodeMS"/>
          <w:kern w:val="0"/>
          <w:sz w:val="32"/>
          <w:szCs w:val="32"/>
        </w:rPr>
      </w:pPr>
      <w:r>
        <w:rPr>
          <w:rFonts w:hint="eastAsia" w:ascii="仿宋" w:hAnsi="仿宋" w:eastAsia="仿宋"/>
          <w:b/>
          <w:bCs/>
          <w:color w:val="000000"/>
          <w:kern w:val="0"/>
          <w:sz w:val="32"/>
          <w:szCs w:val="32"/>
        </w:rPr>
        <w:t>（十七）经费形式:</w:t>
      </w:r>
      <w:r>
        <w:rPr>
          <w:rFonts w:hint="eastAsia" w:ascii="仿宋" w:hAnsi="仿宋" w:eastAsia="仿宋"/>
          <w:color w:val="000000"/>
          <w:kern w:val="0"/>
          <w:sz w:val="32"/>
          <w:szCs w:val="32"/>
        </w:rPr>
        <w:t>按照经费来源，</w:t>
      </w:r>
      <w:r>
        <w:rPr>
          <w:rFonts w:hint="eastAsia" w:ascii="仿宋" w:hAnsi="仿宋" w:eastAsia="仿宋"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p>
      <w:pPr>
        <w:widowControl/>
        <w:spacing w:after="0" w:line="560" w:lineRule="exact"/>
        <w:ind w:firstLine="640" w:firstLineChars="200"/>
        <w:rPr>
          <w:rFonts w:ascii="仿宋" w:hAnsi="仿宋" w:eastAsia="仿宋"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F1A57D-678B-459F-AD6A-AF25A917581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F8E53B7-3186-49A1-A12D-4EC9A9EF90DC}"/>
  </w:font>
  <w:font w:name="Cambria">
    <w:panose1 w:val="02040503050406030204"/>
    <w:charset w:val="00"/>
    <w:family w:val="roman"/>
    <w:pitch w:val="default"/>
    <w:sig w:usb0="E00002FF" w:usb1="400004FF" w:usb2="00000000" w:usb3="00000000" w:csb0="2000019F" w:csb1="00000000"/>
    <w:embedRegular r:id="rId3" w:fontKey="{36E22375-9590-490B-BE3A-3309AD8C0CE1}"/>
  </w:font>
  <w:font w:name="楷体">
    <w:panose1 w:val="02010609060101010101"/>
    <w:charset w:val="86"/>
    <w:family w:val="modern"/>
    <w:pitch w:val="default"/>
    <w:sig w:usb0="800002BF" w:usb1="38CF7CFA" w:usb2="00000016" w:usb3="00000000" w:csb0="00040001" w:csb1="00000000"/>
    <w:embedRegular r:id="rId4" w:fontKey="{E016EC3F-BFD0-4B65-931B-01D9E32C3787}"/>
  </w:font>
  <w:font w:name="仿宋_GB2312">
    <w:altName w:val="仿宋"/>
    <w:panose1 w:val="00000000000000000000"/>
    <w:charset w:val="86"/>
    <w:family w:val="modern"/>
    <w:pitch w:val="default"/>
    <w:sig w:usb0="00000000" w:usb1="00000000" w:usb2="00000010" w:usb3="00000000" w:csb0="00040000" w:csb1="00000000"/>
    <w:embedRegular r:id="rId5" w:fontKey="{CBE4F5BC-7CC5-411A-B252-1AC22ED67261}"/>
  </w:font>
  <w:font w:name="仿宋">
    <w:panose1 w:val="02010609060101010101"/>
    <w:charset w:val="86"/>
    <w:family w:val="modern"/>
    <w:pitch w:val="default"/>
    <w:sig w:usb0="800002BF" w:usb1="38CF7CFA" w:usb2="00000016" w:usb3="00000000" w:csb0="00040001" w:csb1="00000000"/>
    <w:embedRegular r:id="rId6" w:fontKey="{1F3F6294-F91F-4355-A218-6C20423ABE02}"/>
  </w:font>
  <w:font w:name="方正黑体简体">
    <w:panose1 w:val="03000509000000000000"/>
    <w:charset w:val="86"/>
    <w:family w:val="script"/>
    <w:pitch w:val="default"/>
    <w:sig w:usb0="00000001" w:usb1="080E0000" w:usb2="00000000" w:usb3="00000000" w:csb0="00040000" w:csb1="00000000"/>
    <w:embedRegular r:id="rId7" w:fontKey="{67081D4B-18F1-43A3-A4AE-52017357C6E8}"/>
  </w:font>
  <w:font w:name="ArialUnicodeMS">
    <w:altName w:val="Malgun Gothic"/>
    <w:panose1 w:val="00000000000000000000"/>
    <w:charset w:val="81"/>
    <w:family w:val="auto"/>
    <w:pitch w:val="default"/>
    <w:sig w:usb0="00000000" w:usb1="00000000" w:usb2="00000010" w:usb3="00000000" w:csb0="00080000" w:csb1="00000000"/>
    <w:embedRegular r:id="rId8" w:fontKey="{3D4FD4E6-C148-499C-86AC-DC35DCE8D615}"/>
  </w:font>
  <w:font w:name="MS-UIGothic,Bold">
    <w:altName w:val="Malgun Gothic"/>
    <w:panose1 w:val="00000000000000000000"/>
    <w:charset w:val="81"/>
    <w:family w:val="auto"/>
    <w:pitch w:val="default"/>
    <w:sig w:usb0="00000000" w:usb1="00000000" w:usb2="00000010" w:usb3="00000000" w:csb0="00080000" w:csb1="00000000"/>
    <w:embedRegular r:id="rId9" w:fontKey="{5D447E5E-5FFE-4CC0-BD69-C961122E5A38}"/>
  </w:font>
  <w:font w:name="Arial">
    <w:panose1 w:val="020B0604020202020204"/>
    <w:charset w:val="00"/>
    <w:family w:val="swiss"/>
    <w:pitch w:val="default"/>
    <w:sig w:usb0="E0002AFF" w:usb1="C0007843" w:usb2="00000009" w:usb3="00000000" w:csb0="400001FF" w:csb1="FFFF0000"/>
    <w:embedRegular r:id="rId10" w:fontKey="{5A536868-2EF0-4543-BF89-71D2EB57072C}"/>
  </w:font>
  <w:font w:name="___WRD_EMBED_SUB_40">
    <w:altName w:val="宋体"/>
    <w:panose1 w:val="00000000000000000000"/>
    <w:charset w:val="86"/>
    <w:family w:val="modern"/>
    <w:pitch w:val="default"/>
    <w:sig w:usb0="00000000" w:usb1="00000000" w:usb2="00000010" w:usb3="00000000" w:csb0="00040001" w:csb1="00000000"/>
    <w:embedRegular r:id="rId11" w:fontKey="{ABF953C0-47D2-4D7E-AC80-FB80D073050A}"/>
  </w:font>
  <w:font w:name="DengXian-Regular">
    <w:altName w:val="宋体"/>
    <w:panose1 w:val="00000000000000000000"/>
    <w:charset w:val="86"/>
    <w:family w:val="auto"/>
    <w:pitch w:val="default"/>
    <w:sig w:usb0="00000000" w:usb1="00000000" w:usb2="00000010" w:usb3="00000000" w:csb0="00040000" w:csb1="00000000"/>
    <w:embedRegular r:id="rId12" w:fontKey="{CF275F50-5914-4F92-9993-B217850FD71E}"/>
  </w:font>
  <w:font w:name="DengXian-Bold">
    <w:altName w:val="宋体"/>
    <w:panose1 w:val="00000000000000000000"/>
    <w:charset w:val="86"/>
    <w:family w:val="auto"/>
    <w:pitch w:val="default"/>
    <w:sig w:usb0="00000000" w:usb1="00000000" w:usb2="00000010" w:usb3="00000000" w:csb0="00040000" w:csb1="00000000"/>
    <w:embedRegular r:id="rId13" w:fontKey="{28E49E26-4C4D-4803-871B-8B1D8EF39415}"/>
  </w:font>
  <w:font w:name="微软雅黑">
    <w:panose1 w:val="020B0503020204020204"/>
    <w:charset w:val="86"/>
    <w:family w:val="swiss"/>
    <w:pitch w:val="default"/>
    <w:sig w:usb0="80000287" w:usb1="280F3C52" w:usb2="00000016" w:usb3="00000000" w:csb0="0004001F" w:csb1="00000000"/>
    <w:embedRegular r:id="rId14" w:fontKey="{FCF3CA4B-D1DD-4B02-9031-044365316955}"/>
  </w:font>
  <w:font w:name="TimesNewRomanPSMT">
    <w:altName w:val="Arial"/>
    <w:panose1 w:val="00000000000000000000"/>
    <w:charset w:val="00"/>
    <w:family w:val="swiss"/>
    <w:pitch w:val="default"/>
    <w:sig w:usb0="00000000" w:usb1="00000000" w:usb2="00000000" w:usb3="00000000" w:csb0="00000001" w:csb1="00000000"/>
  </w:font>
  <w:font w:name="MS PGothic">
    <w:panose1 w:val="020B0600070205080204"/>
    <w:charset w:val="80"/>
    <w:family w:val="auto"/>
    <w:pitch w:val="default"/>
    <w:sig w:usb0="E00002FF" w:usb1="6AC7FDFB" w:usb2="00000012" w:usb3="00000000" w:csb0="4002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B03"/>
    <w:multiLevelType w:val="singleLevel"/>
    <w:tmpl w:val="31F96B03"/>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jZTU2YzQ1YWRkY2JlMDI0ZDNlN2EwMTQ0NTEwNmYifQ=="/>
  </w:docVars>
  <w:rsids>
    <w:rsidRoot w:val="009C665E"/>
    <w:rsid w:val="00022D62"/>
    <w:rsid w:val="000400B2"/>
    <w:rsid w:val="000505AC"/>
    <w:rsid w:val="0005462F"/>
    <w:rsid w:val="00056484"/>
    <w:rsid w:val="000575E9"/>
    <w:rsid w:val="00063D1B"/>
    <w:rsid w:val="00073A8B"/>
    <w:rsid w:val="00074315"/>
    <w:rsid w:val="00076CA6"/>
    <w:rsid w:val="00080325"/>
    <w:rsid w:val="00095D0F"/>
    <w:rsid w:val="000A2842"/>
    <w:rsid w:val="000B1E57"/>
    <w:rsid w:val="000C352D"/>
    <w:rsid w:val="000C7627"/>
    <w:rsid w:val="000D3E07"/>
    <w:rsid w:val="000E2102"/>
    <w:rsid w:val="000E2EBC"/>
    <w:rsid w:val="000E3BAE"/>
    <w:rsid w:val="000F283D"/>
    <w:rsid w:val="00107A9C"/>
    <w:rsid w:val="00112113"/>
    <w:rsid w:val="00113DC4"/>
    <w:rsid w:val="001145CA"/>
    <w:rsid w:val="00114892"/>
    <w:rsid w:val="00125C06"/>
    <w:rsid w:val="00132784"/>
    <w:rsid w:val="00133633"/>
    <w:rsid w:val="00135147"/>
    <w:rsid w:val="00140D4A"/>
    <w:rsid w:val="00150A11"/>
    <w:rsid w:val="001617CA"/>
    <w:rsid w:val="001665E7"/>
    <w:rsid w:val="0017238E"/>
    <w:rsid w:val="001831BD"/>
    <w:rsid w:val="001832DC"/>
    <w:rsid w:val="00183A21"/>
    <w:rsid w:val="0018429F"/>
    <w:rsid w:val="00197856"/>
    <w:rsid w:val="001A0F04"/>
    <w:rsid w:val="001A110D"/>
    <w:rsid w:val="001B58FD"/>
    <w:rsid w:val="001C1480"/>
    <w:rsid w:val="001D2494"/>
    <w:rsid w:val="001E017A"/>
    <w:rsid w:val="001E4B75"/>
    <w:rsid w:val="001F05D7"/>
    <w:rsid w:val="00207085"/>
    <w:rsid w:val="00211313"/>
    <w:rsid w:val="00221203"/>
    <w:rsid w:val="00221507"/>
    <w:rsid w:val="00224EDB"/>
    <w:rsid w:val="00246F4C"/>
    <w:rsid w:val="002472C9"/>
    <w:rsid w:val="00253F56"/>
    <w:rsid w:val="0027745E"/>
    <w:rsid w:val="00282474"/>
    <w:rsid w:val="00292573"/>
    <w:rsid w:val="00293E51"/>
    <w:rsid w:val="00297945"/>
    <w:rsid w:val="00297A77"/>
    <w:rsid w:val="002B10CC"/>
    <w:rsid w:val="002B302C"/>
    <w:rsid w:val="002B55C5"/>
    <w:rsid w:val="002B7A92"/>
    <w:rsid w:val="002B7E20"/>
    <w:rsid w:val="002C54EF"/>
    <w:rsid w:val="002C7E24"/>
    <w:rsid w:val="00316C07"/>
    <w:rsid w:val="0031791F"/>
    <w:rsid w:val="00321E08"/>
    <w:rsid w:val="003250A0"/>
    <w:rsid w:val="00332E6D"/>
    <w:rsid w:val="00334D7A"/>
    <w:rsid w:val="00341273"/>
    <w:rsid w:val="0034294D"/>
    <w:rsid w:val="00345D1B"/>
    <w:rsid w:val="0035112A"/>
    <w:rsid w:val="00353259"/>
    <w:rsid w:val="00387E8C"/>
    <w:rsid w:val="00393A9D"/>
    <w:rsid w:val="003A04D0"/>
    <w:rsid w:val="003A3374"/>
    <w:rsid w:val="003A4279"/>
    <w:rsid w:val="003B4541"/>
    <w:rsid w:val="003C176B"/>
    <w:rsid w:val="003C6B71"/>
    <w:rsid w:val="003D2553"/>
    <w:rsid w:val="003D513E"/>
    <w:rsid w:val="003F2D35"/>
    <w:rsid w:val="004120CA"/>
    <w:rsid w:val="00415E4A"/>
    <w:rsid w:val="0042121A"/>
    <w:rsid w:val="00426A1B"/>
    <w:rsid w:val="00433B72"/>
    <w:rsid w:val="004340D9"/>
    <w:rsid w:val="00435E6A"/>
    <w:rsid w:val="00445722"/>
    <w:rsid w:val="004467CC"/>
    <w:rsid w:val="0045104B"/>
    <w:rsid w:val="00456C54"/>
    <w:rsid w:val="00456E68"/>
    <w:rsid w:val="0046126F"/>
    <w:rsid w:val="004647C9"/>
    <w:rsid w:val="00465065"/>
    <w:rsid w:val="004759AF"/>
    <w:rsid w:val="004766E0"/>
    <w:rsid w:val="00486BD5"/>
    <w:rsid w:val="00487B89"/>
    <w:rsid w:val="004913EF"/>
    <w:rsid w:val="00494801"/>
    <w:rsid w:val="0049522E"/>
    <w:rsid w:val="004A0740"/>
    <w:rsid w:val="004A07F1"/>
    <w:rsid w:val="004A1573"/>
    <w:rsid w:val="004A7962"/>
    <w:rsid w:val="004C154E"/>
    <w:rsid w:val="004C59C8"/>
    <w:rsid w:val="004D15CA"/>
    <w:rsid w:val="004E1AF6"/>
    <w:rsid w:val="004E3C5F"/>
    <w:rsid w:val="004E7469"/>
    <w:rsid w:val="004E779C"/>
    <w:rsid w:val="004F3F7F"/>
    <w:rsid w:val="00503C26"/>
    <w:rsid w:val="005077C7"/>
    <w:rsid w:val="00521710"/>
    <w:rsid w:val="00523118"/>
    <w:rsid w:val="00523532"/>
    <w:rsid w:val="005259AC"/>
    <w:rsid w:val="005361E6"/>
    <w:rsid w:val="00542D8F"/>
    <w:rsid w:val="0054395B"/>
    <w:rsid w:val="00545E5D"/>
    <w:rsid w:val="00552058"/>
    <w:rsid w:val="00555141"/>
    <w:rsid w:val="00555AF8"/>
    <w:rsid w:val="00555B71"/>
    <w:rsid w:val="00564951"/>
    <w:rsid w:val="00567CEC"/>
    <w:rsid w:val="00572953"/>
    <w:rsid w:val="00573F5F"/>
    <w:rsid w:val="00575AF4"/>
    <w:rsid w:val="00587B13"/>
    <w:rsid w:val="00594983"/>
    <w:rsid w:val="005A1336"/>
    <w:rsid w:val="005A169C"/>
    <w:rsid w:val="005B36D6"/>
    <w:rsid w:val="005E4816"/>
    <w:rsid w:val="005E66E2"/>
    <w:rsid w:val="005E6DD2"/>
    <w:rsid w:val="005F31EF"/>
    <w:rsid w:val="005F5B9B"/>
    <w:rsid w:val="006222A3"/>
    <w:rsid w:val="00631B3A"/>
    <w:rsid w:val="00651800"/>
    <w:rsid w:val="00653258"/>
    <w:rsid w:val="00654E39"/>
    <w:rsid w:val="00654FE0"/>
    <w:rsid w:val="006708A8"/>
    <w:rsid w:val="0067178D"/>
    <w:rsid w:val="00691F73"/>
    <w:rsid w:val="006944FC"/>
    <w:rsid w:val="006A033E"/>
    <w:rsid w:val="006B2E81"/>
    <w:rsid w:val="006B3FA6"/>
    <w:rsid w:val="006B45FB"/>
    <w:rsid w:val="006B7271"/>
    <w:rsid w:val="006C4B7A"/>
    <w:rsid w:val="006C72E5"/>
    <w:rsid w:val="006D5CF5"/>
    <w:rsid w:val="006D60B9"/>
    <w:rsid w:val="006E7C6B"/>
    <w:rsid w:val="006F2A0D"/>
    <w:rsid w:val="006F5482"/>
    <w:rsid w:val="006F617C"/>
    <w:rsid w:val="007027C8"/>
    <w:rsid w:val="00716908"/>
    <w:rsid w:val="00724352"/>
    <w:rsid w:val="0072621D"/>
    <w:rsid w:val="00727EAC"/>
    <w:rsid w:val="00734896"/>
    <w:rsid w:val="00743A06"/>
    <w:rsid w:val="00743C60"/>
    <w:rsid w:val="007467A7"/>
    <w:rsid w:val="00752B8E"/>
    <w:rsid w:val="0075338D"/>
    <w:rsid w:val="00753479"/>
    <w:rsid w:val="007534CE"/>
    <w:rsid w:val="007712C2"/>
    <w:rsid w:val="0078188B"/>
    <w:rsid w:val="00782D30"/>
    <w:rsid w:val="00782DEE"/>
    <w:rsid w:val="00782F89"/>
    <w:rsid w:val="007875F8"/>
    <w:rsid w:val="00796907"/>
    <w:rsid w:val="007A25C1"/>
    <w:rsid w:val="007A520A"/>
    <w:rsid w:val="007A6B6D"/>
    <w:rsid w:val="007C0344"/>
    <w:rsid w:val="007C0463"/>
    <w:rsid w:val="007D7440"/>
    <w:rsid w:val="007E070E"/>
    <w:rsid w:val="007E2700"/>
    <w:rsid w:val="007E3934"/>
    <w:rsid w:val="007F3A4D"/>
    <w:rsid w:val="007F4810"/>
    <w:rsid w:val="008079A0"/>
    <w:rsid w:val="008112A6"/>
    <w:rsid w:val="00815EED"/>
    <w:rsid w:val="00820834"/>
    <w:rsid w:val="00840629"/>
    <w:rsid w:val="00847FA4"/>
    <w:rsid w:val="00866155"/>
    <w:rsid w:val="0086651D"/>
    <w:rsid w:val="008738EA"/>
    <w:rsid w:val="0087774B"/>
    <w:rsid w:val="00885481"/>
    <w:rsid w:val="008B2071"/>
    <w:rsid w:val="008B7A48"/>
    <w:rsid w:val="008C7D62"/>
    <w:rsid w:val="008D42AD"/>
    <w:rsid w:val="008E0D85"/>
    <w:rsid w:val="00902DE8"/>
    <w:rsid w:val="009045FC"/>
    <w:rsid w:val="00914009"/>
    <w:rsid w:val="00914783"/>
    <w:rsid w:val="00927951"/>
    <w:rsid w:val="00951B12"/>
    <w:rsid w:val="00954E1D"/>
    <w:rsid w:val="00957867"/>
    <w:rsid w:val="00957EC6"/>
    <w:rsid w:val="00961A89"/>
    <w:rsid w:val="00983A6C"/>
    <w:rsid w:val="009876A8"/>
    <w:rsid w:val="009912BC"/>
    <w:rsid w:val="009A3295"/>
    <w:rsid w:val="009B2AFD"/>
    <w:rsid w:val="009B2C36"/>
    <w:rsid w:val="009C270C"/>
    <w:rsid w:val="009C665E"/>
    <w:rsid w:val="009D4E73"/>
    <w:rsid w:val="009E0DC0"/>
    <w:rsid w:val="00A03EEC"/>
    <w:rsid w:val="00A06B7B"/>
    <w:rsid w:val="00A1473D"/>
    <w:rsid w:val="00A1499C"/>
    <w:rsid w:val="00A80FAF"/>
    <w:rsid w:val="00A86747"/>
    <w:rsid w:val="00A87C4D"/>
    <w:rsid w:val="00AA038C"/>
    <w:rsid w:val="00AA2910"/>
    <w:rsid w:val="00AA35BB"/>
    <w:rsid w:val="00AB1E68"/>
    <w:rsid w:val="00AC71FC"/>
    <w:rsid w:val="00AD7AF8"/>
    <w:rsid w:val="00AE1032"/>
    <w:rsid w:val="00AE3A86"/>
    <w:rsid w:val="00AF50EC"/>
    <w:rsid w:val="00B025BC"/>
    <w:rsid w:val="00B13367"/>
    <w:rsid w:val="00B23B88"/>
    <w:rsid w:val="00B43B75"/>
    <w:rsid w:val="00B543ED"/>
    <w:rsid w:val="00B809D0"/>
    <w:rsid w:val="00B923FF"/>
    <w:rsid w:val="00B95345"/>
    <w:rsid w:val="00BA29CA"/>
    <w:rsid w:val="00BB16C9"/>
    <w:rsid w:val="00BC0865"/>
    <w:rsid w:val="00BC3D81"/>
    <w:rsid w:val="00BD12C8"/>
    <w:rsid w:val="00BD668B"/>
    <w:rsid w:val="00BE7848"/>
    <w:rsid w:val="00BF3F30"/>
    <w:rsid w:val="00BF3F70"/>
    <w:rsid w:val="00BF68D4"/>
    <w:rsid w:val="00C00D44"/>
    <w:rsid w:val="00C056F2"/>
    <w:rsid w:val="00C15CA8"/>
    <w:rsid w:val="00C167DB"/>
    <w:rsid w:val="00C2165B"/>
    <w:rsid w:val="00C27806"/>
    <w:rsid w:val="00C3369F"/>
    <w:rsid w:val="00C37B7E"/>
    <w:rsid w:val="00C46832"/>
    <w:rsid w:val="00C5031C"/>
    <w:rsid w:val="00C71379"/>
    <w:rsid w:val="00C73D54"/>
    <w:rsid w:val="00C74C43"/>
    <w:rsid w:val="00C87A6B"/>
    <w:rsid w:val="00C91637"/>
    <w:rsid w:val="00C975AF"/>
    <w:rsid w:val="00CA0BB6"/>
    <w:rsid w:val="00CB5F06"/>
    <w:rsid w:val="00CC3FF2"/>
    <w:rsid w:val="00CD06B0"/>
    <w:rsid w:val="00CD17F1"/>
    <w:rsid w:val="00CD3708"/>
    <w:rsid w:val="00CD7FC0"/>
    <w:rsid w:val="00CE034F"/>
    <w:rsid w:val="00CE289E"/>
    <w:rsid w:val="00CE7682"/>
    <w:rsid w:val="00D075BD"/>
    <w:rsid w:val="00D11960"/>
    <w:rsid w:val="00D27D8F"/>
    <w:rsid w:val="00D32E18"/>
    <w:rsid w:val="00D44A06"/>
    <w:rsid w:val="00D46223"/>
    <w:rsid w:val="00D50280"/>
    <w:rsid w:val="00D633BC"/>
    <w:rsid w:val="00D742F0"/>
    <w:rsid w:val="00D83A03"/>
    <w:rsid w:val="00D92528"/>
    <w:rsid w:val="00DA7CEC"/>
    <w:rsid w:val="00DD09AC"/>
    <w:rsid w:val="00DD1EFF"/>
    <w:rsid w:val="00DE03DC"/>
    <w:rsid w:val="00DE0570"/>
    <w:rsid w:val="00E05975"/>
    <w:rsid w:val="00E1338A"/>
    <w:rsid w:val="00E247EB"/>
    <w:rsid w:val="00E463F3"/>
    <w:rsid w:val="00E522F0"/>
    <w:rsid w:val="00E7467E"/>
    <w:rsid w:val="00E94732"/>
    <w:rsid w:val="00E9479B"/>
    <w:rsid w:val="00E962E1"/>
    <w:rsid w:val="00EA2B5B"/>
    <w:rsid w:val="00EA6A8F"/>
    <w:rsid w:val="00EB4ADD"/>
    <w:rsid w:val="00EC236B"/>
    <w:rsid w:val="00EC289E"/>
    <w:rsid w:val="00EC2E0A"/>
    <w:rsid w:val="00EC3612"/>
    <w:rsid w:val="00EC444B"/>
    <w:rsid w:val="00EC51F8"/>
    <w:rsid w:val="00ED19A3"/>
    <w:rsid w:val="00ED1E0F"/>
    <w:rsid w:val="00ED69D3"/>
    <w:rsid w:val="00EE070A"/>
    <w:rsid w:val="00EE3760"/>
    <w:rsid w:val="00EE5247"/>
    <w:rsid w:val="00EE6080"/>
    <w:rsid w:val="00EE7F69"/>
    <w:rsid w:val="00EF067E"/>
    <w:rsid w:val="00EF5562"/>
    <w:rsid w:val="00EF616E"/>
    <w:rsid w:val="00EF63EC"/>
    <w:rsid w:val="00EF6DE5"/>
    <w:rsid w:val="00F018EC"/>
    <w:rsid w:val="00F12E41"/>
    <w:rsid w:val="00F2784B"/>
    <w:rsid w:val="00F41029"/>
    <w:rsid w:val="00F4104E"/>
    <w:rsid w:val="00F4556B"/>
    <w:rsid w:val="00F73681"/>
    <w:rsid w:val="00F74FF6"/>
    <w:rsid w:val="00F86F6F"/>
    <w:rsid w:val="00F92399"/>
    <w:rsid w:val="00F92A1A"/>
    <w:rsid w:val="00FB13E1"/>
    <w:rsid w:val="00FB3053"/>
    <w:rsid w:val="00FB7250"/>
    <w:rsid w:val="00FC7CD4"/>
    <w:rsid w:val="00FD7D36"/>
    <w:rsid w:val="00FE05BC"/>
    <w:rsid w:val="00FE3061"/>
    <w:rsid w:val="00FE47D0"/>
    <w:rsid w:val="00FE602B"/>
    <w:rsid w:val="00FF06B8"/>
    <w:rsid w:val="00FF10BE"/>
    <w:rsid w:val="00FF444F"/>
    <w:rsid w:val="0D1C412E"/>
    <w:rsid w:val="273425EA"/>
    <w:rsid w:val="2B945589"/>
    <w:rsid w:val="31D526F3"/>
    <w:rsid w:val="346E7519"/>
    <w:rsid w:val="3D3E02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0"/>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Date"/>
    <w:basedOn w:val="1"/>
    <w:next w:val="1"/>
    <w:link w:val="31"/>
    <w:qFormat/>
    <w:uiPriority w:val="99"/>
    <w:pPr>
      <w:ind w:left="100" w:leftChars="2500"/>
    </w:pPr>
  </w:style>
  <w:style w:type="paragraph" w:styleId="7">
    <w:name w:val="Balloon Text"/>
    <w:basedOn w:val="1"/>
    <w:link w:val="19"/>
    <w:qFormat/>
    <w:uiPriority w:val="99"/>
    <w:rPr>
      <w:sz w:val="18"/>
      <w:szCs w:val="18"/>
    </w:rPr>
  </w:style>
  <w:style w:type="paragraph" w:styleId="8">
    <w:name w:val="footer"/>
    <w:basedOn w:val="1"/>
    <w:link w:val="16"/>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autoRedefine/>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autoRedefine/>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autoRedefine/>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5">
    <w:name w:val="页眉 字符"/>
    <w:basedOn w:val="14"/>
    <w:link w:val="9"/>
    <w:autoRedefine/>
    <w:qFormat/>
    <w:uiPriority w:val="99"/>
    <w:rPr>
      <w:sz w:val="18"/>
      <w:szCs w:val="18"/>
    </w:rPr>
  </w:style>
  <w:style w:type="character" w:customStyle="1" w:styleId="16">
    <w:name w:val="页脚 字符"/>
    <w:basedOn w:val="14"/>
    <w:link w:val="8"/>
    <w:autoRedefine/>
    <w:qFormat/>
    <w:uiPriority w:val="99"/>
    <w:rPr>
      <w:sz w:val="18"/>
      <w:szCs w:val="18"/>
    </w:rPr>
  </w:style>
  <w:style w:type="paragraph" w:styleId="17">
    <w:name w:val="No Spacing"/>
    <w:link w:val="18"/>
    <w:autoRedefine/>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字符"/>
    <w:basedOn w:val="14"/>
    <w:link w:val="17"/>
    <w:autoRedefine/>
    <w:qFormat/>
    <w:uiPriority w:val="1"/>
    <w:rPr>
      <w:kern w:val="0"/>
      <w:sz w:val="22"/>
    </w:rPr>
  </w:style>
  <w:style w:type="character" w:customStyle="1" w:styleId="19">
    <w:name w:val="批注框文本 字符"/>
    <w:basedOn w:val="14"/>
    <w:link w:val="7"/>
    <w:autoRedefine/>
    <w:qFormat/>
    <w:uiPriority w:val="99"/>
    <w:rPr>
      <w:rFonts w:ascii="Times New Roman" w:hAnsi="Times New Roman" w:eastAsia="宋体" w:cs="Times New Roman"/>
      <w:sz w:val="18"/>
      <w:szCs w:val="18"/>
    </w:rPr>
  </w:style>
  <w:style w:type="character" w:customStyle="1" w:styleId="20">
    <w:name w:val="标题 字符"/>
    <w:basedOn w:val="14"/>
    <w:link w:val="11"/>
    <w:autoRedefine/>
    <w:qFormat/>
    <w:uiPriority w:val="10"/>
    <w:rPr>
      <w:rFonts w:ascii="Calibri" w:hAnsi="Calibri" w:eastAsia="宋体" w:cs="宋体"/>
      <w:color w:val="3B2C24"/>
      <w:spacing w:val="5"/>
      <w:kern w:val="28"/>
      <w:sz w:val="52"/>
      <w:szCs w:val="52"/>
    </w:rPr>
  </w:style>
  <w:style w:type="character" w:customStyle="1" w:styleId="21">
    <w:name w:val="副标题 字符"/>
    <w:basedOn w:val="14"/>
    <w:link w:val="10"/>
    <w:autoRedefine/>
    <w:qFormat/>
    <w:uiPriority w:val="11"/>
    <w:rPr>
      <w:rFonts w:ascii="Calibri" w:hAnsi="Calibri" w:eastAsia="宋体" w:cs="宋体"/>
      <w:i/>
      <w:iCs/>
      <w:color w:val="F0A22E"/>
      <w:spacing w:val="15"/>
      <w:kern w:val="0"/>
      <w:sz w:val="24"/>
      <w:szCs w:val="24"/>
    </w:rPr>
  </w:style>
  <w:style w:type="character" w:customStyle="1" w:styleId="22">
    <w:name w:val="Style1"/>
    <w:basedOn w:val="14"/>
    <w:autoRedefine/>
    <w:qFormat/>
    <w:uiPriority w:val="1"/>
    <w:rPr>
      <w:rFonts w:ascii="Cambria" w:hAnsi="黑体" w:eastAsia="黑体" w:cs="宋体"/>
      <w:sz w:val="22"/>
      <w:szCs w:val="22"/>
      <w:lang w:eastAsia="zh-CN"/>
    </w:rPr>
  </w:style>
  <w:style w:type="character" w:customStyle="1" w:styleId="23">
    <w:name w:val="Style2"/>
    <w:basedOn w:val="14"/>
    <w:autoRedefine/>
    <w:qFormat/>
    <w:uiPriority w:val="1"/>
    <w:rPr>
      <w:rFonts w:ascii="Cambria" w:hAnsi="黑体" w:eastAsia="黑体" w:cs="宋体"/>
      <w:sz w:val="22"/>
      <w:szCs w:val="22"/>
      <w:lang w:eastAsia="zh-CN"/>
    </w:rPr>
  </w:style>
  <w:style w:type="character" w:customStyle="1" w:styleId="24">
    <w:name w:val="Style3"/>
    <w:basedOn w:val="14"/>
    <w:autoRedefine/>
    <w:qFormat/>
    <w:uiPriority w:val="1"/>
    <w:rPr>
      <w:rFonts w:ascii="Cambria" w:hAnsi="黑体" w:eastAsia="黑体" w:cs="宋体"/>
      <w:szCs w:val="22"/>
      <w:lang w:eastAsia="zh-CN"/>
    </w:rPr>
  </w:style>
  <w:style w:type="character" w:customStyle="1" w:styleId="25">
    <w:name w:val="Style4"/>
    <w:basedOn w:val="14"/>
    <w:autoRedefine/>
    <w:qFormat/>
    <w:uiPriority w:val="1"/>
    <w:rPr>
      <w:rFonts w:ascii="Cambria" w:hAnsi="黑体" w:eastAsia="黑体" w:cs="宋体"/>
      <w:szCs w:val="22"/>
      <w:lang w:eastAsia="zh-CN"/>
    </w:rPr>
  </w:style>
  <w:style w:type="character" w:customStyle="1" w:styleId="26">
    <w:name w:val="Style5"/>
    <w:basedOn w:val="14"/>
    <w:autoRedefine/>
    <w:qFormat/>
    <w:uiPriority w:val="1"/>
    <w:rPr>
      <w:rFonts w:ascii="Cambria" w:hAnsi="黑体" w:eastAsia="黑体" w:cs="宋体"/>
      <w:sz w:val="22"/>
      <w:szCs w:val="22"/>
      <w:lang w:eastAsia="zh-CN"/>
    </w:rPr>
  </w:style>
  <w:style w:type="character" w:customStyle="1" w:styleId="27">
    <w:name w:val="标题 1 字符"/>
    <w:basedOn w:val="14"/>
    <w:link w:val="2"/>
    <w:autoRedefine/>
    <w:qFormat/>
    <w:uiPriority w:val="9"/>
    <w:rPr>
      <w:rFonts w:ascii="Times New Roman" w:hAnsi="Times New Roman" w:eastAsia="宋体" w:cs="Times New Roman"/>
      <w:b/>
      <w:bCs/>
      <w:kern w:val="44"/>
      <w:sz w:val="44"/>
      <w:szCs w:val="44"/>
    </w:rPr>
  </w:style>
  <w:style w:type="character" w:customStyle="1" w:styleId="28">
    <w:name w:val="标题 2 字符"/>
    <w:basedOn w:val="14"/>
    <w:link w:val="3"/>
    <w:autoRedefine/>
    <w:qFormat/>
    <w:uiPriority w:val="9"/>
    <w:rPr>
      <w:rFonts w:ascii="Calibri" w:hAnsi="Calibri" w:eastAsia="宋体" w:cs="宋体"/>
      <w:b/>
      <w:bCs/>
      <w:sz w:val="32"/>
      <w:szCs w:val="32"/>
    </w:rPr>
  </w:style>
  <w:style w:type="character" w:customStyle="1" w:styleId="29">
    <w:name w:val="标题 3 字符"/>
    <w:basedOn w:val="14"/>
    <w:link w:val="4"/>
    <w:autoRedefine/>
    <w:qFormat/>
    <w:uiPriority w:val="9"/>
    <w:rPr>
      <w:rFonts w:ascii="Times New Roman" w:hAnsi="Times New Roman" w:eastAsia="宋体" w:cs="Times New Roman"/>
      <w:b/>
      <w:bCs/>
      <w:sz w:val="32"/>
      <w:szCs w:val="32"/>
    </w:rPr>
  </w:style>
  <w:style w:type="character" w:customStyle="1" w:styleId="30">
    <w:name w:val="标题 4 字符"/>
    <w:basedOn w:val="14"/>
    <w:link w:val="5"/>
    <w:autoRedefine/>
    <w:qFormat/>
    <w:uiPriority w:val="9"/>
    <w:rPr>
      <w:rFonts w:ascii="Calibri" w:hAnsi="Calibri" w:eastAsia="宋体" w:cs="宋体"/>
      <w:b/>
      <w:bCs/>
      <w:sz w:val="28"/>
      <w:szCs w:val="28"/>
    </w:rPr>
  </w:style>
  <w:style w:type="character" w:customStyle="1" w:styleId="31">
    <w:name w:val="日期 字符"/>
    <w:basedOn w:val="14"/>
    <w:link w:val="6"/>
    <w:autoRedefine/>
    <w:qFormat/>
    <w:uiPriority w:val="99"/>
    <w:rPr>
      <w:rFonts w:ascii="Times New Roman" w:hAnsi="Times New Roman" w:eastAsia="宋体" w:cs="Times New Roman"/>
      <w:szCs w:val="24"/>
    </w:rPr>
  </w:style>
  <w:style w:type="paragraph" w:styleId="32">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5923B6-D1F1-497A-80EA-227E975CAE7C}">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34</Pages>
  <Words>9738</Words>
  <Characters>4547</Characters>
  <Lines>37</Lines>
  <Paragraphs>28</Paragraphs>
  <TotalTime>112</TotalTime>
  <ScaleCrop>false</ScaleCrop>
  <LinksUpToDate>false</LinksUpToDate>
  <CharactersWithSpaces>14257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WPS_1681355457</cp:lastModifiedBy>
  <cp:lastPrinted>2019-08-06T09:12:00Z</cp:lastPrinted>
  <dcterms:modified xsi:type="dcterms:W3CDTF">2024-03-20T07:41:58Z</dcterms:modified>
  <dc:subject>石家庄市xxx部门</dc:subject>
  <dc:title>2017年度部门决算</dc:title>
  <cp:revision>322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B424F89043EB43BCB87305AF2DE9EC69_13</vt:lpwstr>
  </property>
</Properties>
</file>