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ectPr>
          <w:headerReference r:id="rId5" w:type="first"/>
          <w:footerReference r:id="rId8" w:type="first"/>
          <w:headerReference r:id="rId3" w:type="default"/>
          <w:footerReference r:id="rId6" w:type="default"/>
          <w:headerReference r:id="rId4" w:type="even"/>
          <w:footerReference r:id="rId7" w:type="even"/>
          <w:pgSz w:w="11906" w:h="16838"/>
          <w:pgMar w:top="0" w:right="0" w:bottom="0" w:left="0" w:header="851" w:footer="992" w:gutter="0"/>
          <w:cols w:space="425" w:num="1"/>
          <w:titlePg/>
          <w:docGrid w:type="lines" w:linePitch="312" w:charSpace="0"/>
        </w:sectPr>
      </w:pPr>
      <w:r>
        <w:pict>
          <v:group id="_x0000_s1026" o:spid="_x0000_s1026" o:spt="203" style="position:absolute;left:0pt;margin-left:0pt;margin-top:-58.25pt;height:308.5pt;width:600.25pt;z-index:-251650048;mso-width-relative:page;mso-height-relative:page;" coordorigin="13622,283" coordsize="12005,6170">
            <o:lock v:ext="edit"/>
            <v:rect id="矩形 5" o:spid="_x0000_s1027" o:spt="1" style="position:absolute;left:13622;top:283;height:6170;width:12005;v-text-anchor:middle;" fillcolor="#FDBC11" filled="t" stroked="f" coordsize="21600,21600">
              <v:path/>
              <v:fill on="t" focussize="0,0"/>
              <v:stroke on="f" weight="1pt"/>
              <v:imagedata o:title=""/>
              <o:lock v:ext="edit"/>
            </v:rect>
            <v:shape id="_x0000_s1028" o:spid="_x0000_s1028" o:spt="202" type="#_x0000_t202" style="position:absolute;left:17229;top:5021;height:1392;width:8083;" filled="f" stroked="f" coordsize="21600,21600">
              <v:path/>
              <v:fill on="f" focussize="0,0"/>
              <v:stroke on="f" joinstyle="miter"/>
              <v:imagedata o:title=""/>
              <o:lock v:ext="edit"/>
              <v:textbox style="mso-fit-shape-to-text:t;">
                <w:txbxContent>
                  <w:p>
                    <w:pPr>
                      <w:jc w:val="left"/>
                      <w:rPr>
                        <w:color w:val="000000"/>
                        <w:kern w:val="0"/>
                        <w:sz w:val="92"/>
                        <w:szCs w:val="92"/>
                      </w:rPr>
                    </w:pPr>
                    <w:r>
                      <w:rPr>
                        <w:rFonts w:hint="eastAsia" w:ascii="思源黑体 HW Bold" w:hAnsi="思源黑体 HW Bold" w:eastAsia="思源黑体 HW Bold"/>
                        <w:color w:val="000000"/>
                        <w:kern w:val="24"/>
                        <w:sz w:val="92"/>
                        <w:szCs w:val="92"/>
                      </w:rPr>
                      <w:t>部门决算公开文本</w:t>
                    </w:r>
                  </w:p>
                </w:txbxContent>
              </v:textbox>
            </v:shape>
          </v:group>
        </w:pict>
      </w:r>
      <w:r>
        <w:pict>
          <v:shape id="文本框 10" o:spid="_x0000_s1029" o:spt="202" type="#_x0000_t202" style="position:absolute;left:0pt;margin-left:106.25pt;margin-top:693.55pt;height:79.95pt;width:404.15pt;z-index:251663360;mso-width-relative:page;mso-height-relative:page;" filled="f" stroked="f" coordsize="21600,21600">
            <v:path/>
            <v:fill on="f" focussize="0,0"/>
            <v:stroke on="f" joinstyle="miter"/>
            <v:imagedata o:title=""/>
            <o:lock v:ext="edit"/>
            <v:textbox style="mso-fit-shape-to-text:t;">
              <w:txbxContent>
                <w:p>
                  <w:pPr>
                    <w:jc w:val="center"/>
                    <w:rPr>
                      <w:rFonts w:ascii="楷体_GB2312" w:hAnsi="楷体_GB2312" w:eastAsia="楷体_GB2312" w:cs="楷体_GB2312"/>
                      <w:color w:val="000000"/>
                      <w:kern w:val="0"/>
                      <w:sz w:val="44"/>
                      <w:szCs w:val="44"/>
                    </w:rPr>
                  </w:pPr>
                  <w:r>
                    <w:rPr>
                      <w:rFonts w:hint="eastAsia" w:ascii="楷体_GB2312" w:hAnsi="楷体_GB2312" w:eastAsia="楷体_GB2312" w:cs="楷体_GB2312"/>
                      <w:color w:val="000000"/>
                      <w:kern w:val="0"/>
                      <w:sz w:val="44"/>
                      <w:szCs w:val="44"/>
                    </w:rPr>
                    <w:t>二〇二〇年八月</w:t>
                  </w:r>
                </w:p>
              </w:txbxContent>
            </v:textbox>
          </v:shape>
        </w:pict>
      </w:r>
      <w:r>
        <w:pict>
          <v:shape id="椭圆 8" o:spid="_x0000_s1030" o:spt="3" type="#_x0000_t3" style="position:absolute;left:0pt;margin-left:53.5pt;margin-top:232.45pt;height:121.95pt;width:121.95pt;z-index:251660288;v-text-anchor:middle;mso-width-relative:page;mso-height-relative:page;" stroked="f" coordsize="21600,21600">
            <v:path/>
            <v:fill focussize="0,0"/>
            <v:stroke on="f" weight="1pt" joinstyle="miter"/>
            <v:imagedata o:title=""/>
            <o:lock v:ext="edit"/>
            <v:textbox>
              <w:txbxContent>
                <w:p/>
              </w:txbxContent>
            </v:textbox>
          </v:shape>
        </w:pict>
      </w:r>
      <w:r>
        <w:pict>
          <v:group id="_x0000_s1031" o:spid="_x0000_s1031" o:spt="203" style="position:absolute;left:0pt;margin-left:1.25pt;margin-top:821.7pt;height:21.45pt;width:595.25pt;z-index:251661312;mso-width-relative:page;mso-height-relative:page;" coordorigin="1483,16692" coordsize="11905,429203">
            <o:lock v:ext="edit"/>
            <v:rect id="矩形 6" o:spid="_x0000_s1032" o:spt="1" style="position:absolute;left:1483;top:16692;height:428;width:1125;v-text-anchor:middle;" fillcolor="#FDBC11" filled="t" stroked="f" coordsize="21600,21600">
              <v:path/>
              <v:fill on="t" focussize="0,0"/>
              <v:stroke on="f" weight="1pt"/>
              <v:imagedata o:title=""/>
              <o:lock v:ext="edit"/>
            </v:rect>
            <v:rect id="矩形 7" o:spid="_x0000_s1033" o:spt="1" style="position:absolute;left:2608;top:16693;height:428;width:10780;v-text-anchor:middle;" fillcolor="#1F2959" filled="t" stroked="f" coordsize="21600,21600">
              <v:path/>
              <v:fill on="t" focussize="0,0"/>
              <v:stroke on="f" weight="1pt"/>
              <v:imagedata o:title=""/>
              <o:lock v:ext="edit"/>
            </v:rect>
          </v:group>
        </w:pict>
      </w:r>
      <w:r>
        <w:pict>
          <v:group id="_x0000_s1034" o:spid="_x0000_s1034" o:spt="203" style="position:absolute;left:0pt;margin-left:-2.5pt;margin-top:-3.35pt;height:69.6pt;width:600.25pt;z-index:-251657216;mso-width-relative:page;mso-height-relative:page;" coordorigin="136,-667" coordsize="120,13920">
            <o:lock v:ext="edit"/>
            <v:rect id="矩形 5" o:spid="_x0000_s1035" o:spt="1" style="position:absolute;left:136;top:2;height:62;width:120;v-text-anchor:middle;" fillcolor="#FDBC11" filled="t" stroked="f" coordsize="21600,21600">
              <v:path/>
              <v:fill on="t" focussize="0,0"/>
              <v:stroke on="f" weight="1pt"/>
              <v:imagedata o:title=""/>
              <o:lock v:ext="edit"/>
            </v:rect>
            <v:shape id="_x0000_s1036" o:spid="_x0000_s1036" o:spt="202" type="#_x0000_t202" style="position:absolute;left:172;top:-667;height:13920;width:81;" filled="f" stroked="f" coordsize="21600,21600">
              <v:path/>
              <v:fill on="f" focussize="0,0"/>
              <v:stroke on="f" joinstyle="miter"/>
              <v:imagedata o:title=""/>
              <o:lock v:ext="edit"/>
              <v:textbox style="mso-fit-shape-to-text:t;">
                <w:txbxContent>
                  <w:p>
                    <w:pPr>
                      <w:jc w:val="left"/>
                      <w:rPr>
                        <w:color w:val="000000"/>
                        <w:kern w:val="0"/>
                        <w:sz w:val="92"/>
                        <w:szCs w:val="92"/>
                      </w:rPr>
                    </w:pPr>
                    <w:r>
                      <w:rPr>
                        <w:rFonts w:hint="eastAsia" w:ascii="思源黑体 HW Bold" w:hAnsi="思源黑体 HW Bold" w:eastAsia="思源黑体 HW Bold"/>
                        <w:color w:val="000000"/>
                        <w:kern w:val="24"/>
                        <w:sz w:val="92"/>
                        <w:szCs w:val="92"/>
                      </w:rPr>
                      <w:t>部门决算公开文本</w:t>
                    </w:r>
                  </w:p>
                </w:txbxContent>
              </v:textbox>
            </v:shape>
          </v:group>
        </w:pict>
      </w:r>
      <w:r>
        <w:pict>
          <v:rect id="矩形 11" o:spid="_x0000_s1037" o:spt="1" style="position:absolute;left:0pt;margin-left:184.75pt;margin-top:286.6pt;height:31.25pt;width:339.65pt;mso-wrap-style:none;z-index:251662336;mso-width-relative:page;mso-height-relative:page;" filled="f" stroked="f" coordsize="21600,21600">
            <v:path/>
            <v:fill on="f" focussize="0,0"/>
            <v:stroke on="f"/>
            <v:imagedata o:title=""/>
            <o:lock v:ext="edit"/>
            <v:textbox style="mso-fit-shape-to-text:t;">
              <w:txbxContent>
                <w:p/>
              </w:txbxContent>
            </v:textbox>
          </v:rect>
        </w:pict>
      </w:r>
    </w:p>
    <w:p/>
    <w:p>
      <w:pPr>
        <w:jc w:val="center"/>
        <w:rPr>
          <w:rFonts w:ascii="黑体" w:hAnsi="黑体" w:eastAsia="黑体" w:cs="黑体"/>
          <w:sz w:val="56"/>
          <w:szCs w:val="72"/>
        </w:rPr>
      </w:pPr>
    </w:p>
    <w:p>
      <w:pPr>
        <w:jc w:val="center"/>
        <w:rPr>
          <w:rFonts w:ascii="黑体" w:hAnsi="黑体" w:eastAsia="黑体" w:cs="黑体"/>
          <w:sz w:val="56"/>
          <w:szCs w:val="72"/>
        </w:rPr>
      </w:pPr>
    </w:p>
    <w:p>
      <w:pPr>
        <w:rPr>
          <w:rFonts w:ascii="黑体" w:hAnsi="Times New Roman" w:eastAsia="黑体"/>
          <w:sz w:val="48"/>
          <w:szCs w:val="48"/>
        </w:rPr>
      </w:pPr>
      <w:r>
        <w:pict>
          <v:shape id="椭圆 9" o:spid="_x0000_s1038" o:spt="3" type="#_x0000_t3" style="position:absolute;left:0pt;flip:y;margin-left:-22.55pt;margin-top:23.8pt;height:117pt;width:121.45pt;z-index:251663360;v-text-anchor:middle;mso-width-relative:page;mso-height-relative:page;" fillcolor="#1F2959" filled="t" stroked="f" coordsize="21600,21600">
            <v:path/>
            <v:fill on="t" focussize="0,0"/>
            <v:stroke on="f" weight="1pt" joinstyle="miter"/>
            <v:imagedata o:title=""/>
            <o:lock v:ext="edit"/>
            <v:textbox>
              <w:txbxContent>
                <w:p/>
              </w:txbxContent>
            </v:textbox>
          </v:shape>
        </w:pict>
      </w:r>
      <w:r>
        <w:pict>
          <v:rect id="矩形 14" o:spid="_x0000_s1039" o:spt="1" style="position:absolute;left:0pt;margin-left:-49.55pt;margin-top:35.35pt;height:54pt;width:160.65pt;z-index:251664384;mso-width-relative:page;mso-height-relative:page;" filled="f" stroked="f" coordsize="21600,21600">
            <v:path/>
            <v:fill on="f" focussize="0,0"/>
            <v:stroke on="f"/>
            <v:imagedata o:title=""/>
            <o:lock v:ext="edit"/>
            <v:textbox style="mso-fit-shape-to-text:t;">
              <w:txbxContent>
                <w:p>
                  <w:pPr>
                    <w:spacing w:line="360" w:lineRule="auto"/>
                    <w:jc w:val="center"/>
                    <w:rPr>
                      <w:rFonts w:ascii="Yu Gothic UI Semibold" w:hAnsi="Yu Gothic UI Semibold" w:eastAsia="宋体"/>
                      <w:color w:val="FFFFFF"/>
                      <w:kern w:val="24"/>
                      <w:sz w:val="72"/>
                      <w:szCs w:val="72"/>
                    </w:rPr>
                  </w:pPr>
                  <w:r>
                    <w:rPr>
                      <w:rFonts w:ascii="Yu Gothic UI Semibold" w:hAnsi="Yu Gothic UI Semibold" w:eastAsia="宋体"/>
                      <w:color w:val="FFFFFF"/>
                      <w:kern w:val="24"/>
                      <w:sz w:val="72"/>
                      <w:szCs w:val="72"/>
                    </w:rPr>
                    <w:t xml:space="preserve"> 2019</w:t>
                  </w:r>
                </w:p>
              </w:txbxContent>
            </v:textbox>
          </v:rect>
        </w:pict>
      </w:r>
      <w:r>
        <w:rPr>
          <w:rFonts w:ascii="黑体" w:hAnsi="Times New Roman" w:eastAsia="黑体"/>
          <w:sz w:val="48"/>
          <w:szCs w:val="48"/>
        </w:rPr>
        <w:br w:type="page"/>
      </w:r>
    </w:p>
    <w:p>
      <w:pPr>
        <w:rPr>
          <w:rFonts w:ascii="黑体" w:hAnsi="Times New Roman" w:eastAsia="黑体"/>
          <w:sz w:val="48"/>
          <w:szCs w:val="48"/>
        </w:rPr>
      </w:pPr>
      <w:r>
        <w:rPr>
          <w:rFonts w:ascii="黑体" w:hAnsi="Times New Roman" w:eastAsia="黑体"/>
          <w:sz w:val="48"/>
          <w:szCs w:val="48"/>
        </w:rPr>
        <w:pict>
          <v:shape id="_x0000_i1025" o:spt="75" alt="2019年" type="#_x0000_t75" style="height:597pt;width:434.25pt;" filled="f" o:preferrelative="t" stroked="f" coordsize="21600,21600">
            <v:path/>
            <v:fill on="f" focussize="0,0"/>
            <v:stroke on="f" joinstyle="miter"/>
            <v:imagedata r:id="rId16" o:title=""/>
            <o:lock v:ext="edit" aspectratio="t"/>
            <w10:wrap type="none"/>
            <w10:anchorlock/>
          </v:shape>
        </w:pict>
      </w:r>
    </w:p>
    <w:p>
      <w:pPr>
        <w:tabs>
          <w:tab w:val="left" w:pos="2728"/>
        </w:tabs>
        <w:jc w:val="center"/>
        <w:rPr>
          <w:rFonts w:ascii="黑体" w:hAnsi="Times New Roman" w:eastAsia="黑体"/>
          <w:sz w:val="48"/>
          <w:szCs w:val="48"/>
        </w:rPr>
      </w:pPr>
      <w:r>
        <w:rPr>
          <w:rFonts w:hint="eastAsia" w:ascii="黑体" w:hAnsi="Times New Roman" w:eastAsia="黑体"/>
          <w:sz w:val="48"/>
          <w:szCs w:val="48"/>
        </w:rPr>
        <w:t>目录</w:t>
      </w:r>
    </w:p>
    <w:p>
      <w:pPr>
        <w:widowControl/>
        <w:spacing w:after="160" w:line="580" w:lineRule="exact"/>
        <w:ind w:firstLine="640" w:firstLineChars="200"/>
        <w:rPr>
          <w:rFonts w:ascii="Times New Roman" w:hAnsi="Times New Roman" w:eastAsia="黑体"/>
          <w:sz w:val="32"/>
          <w:szCs w:val="32"/>
        </w:rPr>
      </w:pPr>
    </w:p>
    <w:p>
      <w:pPr>
        <w:widowControl/>
        <w:spacing w:after="160" w:line="580" w:lineRule="exact"/>
        <w:ind w:firstLine="640" w:firstLineChars="200"/>
        <w:rPr>
          <w:rFonts w:ascii="Times New Roman" w:hAnsi="Times New Roman" w:eastAsia="仿宋_GB2312"/>
          <w:sz w:val="24"/>
          <w:szCs w:val="32"/>
        </w:rPr>
      </w:pPr>
      <w:r>
        <w:rPr>
          <w:rFonts w:hint="eastAsia" w:ascii="Times New Roman" w:hAnsi="Times New Roman" w:eastAsia="黑体"/>
          <w:sz w:val="32"/>
          <w:szCs w:val="32"/>
        </w:rPr>
        <w:t>第一部分部门概况</w:t>
      </w:r>
    </w:p>
    <w:p>
      <w:pPr>
        <w:widowControl/>
        <w:spacing w:after="160" w:line="580" w:lineRule="exact"/>
        <w:ind w:firstLine="1273" w:firstLineChars="398"/>
        <w:rPr>
          <w:rFonts w:ascii="Times New Roman" w:hAnsi="Times New Roman" w:eastAsia="仿宋_GB2312"/>
          <w:sz w:val="32"/>
          <w:szCs w:val="32"/>
        </w:rPr>
      </w:pPr>
      <w:r>
        <w:rPr>
          <w:rFonts w:hint="eastAsia" w:ascii="Times New Roman" w:hAnsi="Times New Roman" w:eastAsia="仿宋_GB2312"/>
          <w:sz w:val="32"/>
          <w:szCs w:val="32"/>
        </w:rPr>
        <w:t>一、部门职责</w:t>
      </w:r>
    </w:p>
    <w:p>
      <w:pPr>
        <w:widowControl/>
        <w:spacing w:after="160" w:line="580" w:lineRule="exact"/>
        <w:ind w:firstLine="1273" w:firstLineChars="398"/>
        <w:rPr>
          <w:rFonts w:ascii="Times New Roman" w:hAnsi="Times New Roman" w:eastAsia="仿宋_GB2312"/>
          <w:sz w:val="32"/>
          <w:szCs w:val="32"/>
        </w:rPr>
      </w:pPr>
      <w:r>
        <w:rPr>
          <w:rFonts w:hint="eastAsia" w:ascii="Times New Roman" w:hAnsi="Times New Roman" w:eastAsia="仿宋_GB2312"/>
          <w:sz w:val="32"/>
          <w:szCs w:val="32"/>
        </w:rPr>
        <w:t>二、机构设置</w:t>
      </w:r>
    </w:p>
    <w:p>
      <w:pPr>
        <w:widowControl/>
        <w:spacing w:after="160" w:line="58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第二部分</w:t>
      </w:r>
      <w:r>
        <w:rPr>
          <w:rFonts w:ascii="Times New Roman" w:hAnsi="Times New Roman" w:eastAsia="黑体"/>
          <w:sz w:val="32"/>
          <w:szCs w:val="32"/>
        </w:rPr>
        <w:t xml:space="preserve">   2019</w:t>
      </w:r>
      <w:r>
        <w:rPr>
          <w:rFonts w:hint="eastAsia" w:ascii="Times New Roman" w:hAnsi="Times New Roman" w:eastAsia="黑体"/>
          <w:sz w:val="32"/>
          <w:szCs w:val="32"/>
        </w:rPr>
        <w:t>年部门决算情况说明</w:t>
      </w:r>
    </w:p>
    <w:p>
      <w:pPr>
        <w:widowControl/>
        <w:spacing w:after="160" w:line="580" w:lineRule="exact"/>
        <w:ind w:left="640" w:firstLine="640" w:firstLineChars="200"/>
        <w:rPr>
          <w:rFonts w:ascii="Times New Roman" w:hAnsi="Times New Roman" w:eastAsia="仿宋_GB2312"/>
          <w:sz w:val="32"/>
          <w:szCs w:val="32"/>
        </w:rPr>
      </w:pPr>
      <w:r>
        <w:rPr>
          <w:rFonts w:hint="eastAsia" w:ascii="Times New Roman" w:hAnsi="Times New Roman" w:eastAsia="仿宋_GB2312"/>
          <w:sz w:val="32"/>
          <w:szCs w:val="32"/>
        </w:rPr>
        <w:t>一、收入支出决算总体情况说明</w:t>
      </w:r>
    </w:p>
    <w:p>
      <w:pPr>
        <w:widowControl/>
        <w:spacing w:after="160" w:line="580" w:lineRule="exact"/>
        <w:ind w:left="640" w:firstLine="640" w:firstLineChars="200"/>
        <w:rPr>
          <w:rFonts w:ascii="Times New Roman" w:hAnsi="Times New Roman" w:eastAsia="仿宋_GB2312"/>
          <w:sz w:val="32"/>
          <w:szCs w:val="32"/>
        </w:rPr>
      </w:pPr>
      <w:r>
        <w:rPr>
          <w:rFonts w:hint="eastAsia" w:ascii="Times New Roman" w:hAnsi="Times New Roman" w:eastAsia="仿宋_GB2312"/>
          <w:sz w:val="32"/>
          <w:szCs w:val="32"/>
        </w:rPr>
        <w:t>二、收入决算情况说明</w:t>
      </w:r>
    </w:p>
    <w:p>
      <w:pPr>
        <w:widowControl/>
        <w:spacing w:after="160" w:line="580" w:lineRule="exact"/>
        <w:ind w:left="640" w:firstLine="640" w:firstLineChars="200"/>
        <w:rPr>
          <w:rFonts w:ascii="Times New Roman" w:hAnsi="Times New Roman" w:eastAsia="仿宋_GB2312"/>
          <w:sz w:val="32"/>
          <w:szCs w:val="32"/>
        </w:rPr>
      </w:pPr>
      <w:r>
        <w:rPr>
          <w:rFonts w:hint="eastAsia" w:ascii="Times New Roman" w:hAnsi="Times New Roman" w:eastAsia="仿宋_GB2312"/>
          <w:sz w:val="32"/>
          <w:szCs w:val="32"/>
        </w:rPr>
        <w:t>三、支出决算情况说明</w:t>
      </w:r>
    </w:p>
    <w:p>
      <w:pPr>
        <w:widowControl/>
        <w:spacing w:after="160" w:line="580" w:lineRule="exact"/>
        <w:ind w:left="640" w:firstLine="640" w:firstLineChars="200"/>
        <w:rPr>
          <w:rFonts w:ascii="Times New Roman" w:hAnsi="Times New Roman" w:eastAsia="仿宋_GB2312"/>
          <w:sz w:val="32"/>
          <w:szCs w:val="32"/>
        </w:rPr>
      </w:pPr>
      <w:r>
        <w:rPr>
          <w:rFonts w:hint="eastAsia" w:ascii="Times New Roman" w:hAnsi="Times New Roman" w:eastAsia="仿宋_GB2312"/>
          <w:sz w:val="32"/>
          <w:szCs w:val="32"/>
        </w:rPr>
        <w:t>四、财政拨款收入支出决算总体情况说明</w:t>
      </w:r>
    </w:p>
    <w:p>
      <w:pPr>
        <w:widowControl/>
        <w:spacing w:after="160" w:line="580" w:lineRule="exact"/>
        <w:ind w:left="640" w:firstLine="640" w:firstLineChars="200"/>
        <w:rPr>
          <w:rFonts w:ascii="Times New Roman" w:hAnsi="Times New Roman" w:eastAsia="仿宋_GB2312"/>
          <w:sz w:val="32"/>
          <w:szCs w:val="32"/>
        </w:rPr>
      </w:pPr>
      <w:r>
        <w:rPr>
          <w:rFonts w:hint="eastAsia" w:ascii="Times New Roman" w:hAnsi="Times New Roman" w:eastAsia="仿宋_GB2312"/>
          <w:sz w:val="32"/>
          <w:szCs w:val="32"/>
        </w:rPr>
        <w:t>五、一般公共预算</w:t>
      </w:r>
      <w:r>
        <w:rPr>
          <w:rFonts w:ascii="Times New Roman" w:hAnsi="Times New Roman" w:eastAsia="仿宋_GB2312"/>
          <w:sz w:val="32"/>
          <w:szCs w:val="32"/>
        </w:rPr>
        <w:t>“</w:t>
      </w:r>
      <w:r>
        <w:rPr>
          <w:rFonts w:hint="eastAsia" w:ascii="Times New Roman" w:hAnsi="Times New Roman" w:eastAsia="仿宋_GB2312"/>
          <w:sz w:val="32"/>
          <w:szCs w:val="32"/>
        </w:rPr>
        <w:t>三公</w:t>
      </w:r>
      <w:r>
        <w:rPr>
          <w:rFonts w:ascii="Times New Roman" w:hAnsi="Times New Roman" w:eastAsia="仿宋_GB2312"/>
          <w:sz w:val="32"/>
          <w:szCs w:val="32"/>
        </w:rPr>
        <w:t>”</w:t>
      </w:r>
      <w:r>
        <w:rPr>
          <w:rFonts w:hint="eastAsia" w:ascii="Times New Roman" w:hAnsi="Times New Roman" w:eastAsia="仿宋_GB2312"/>
          <w:sz w:val="32"/>
          <w:szCs w:val="32"/>
        </w:rPr>
        <w:t>经费支出决算情况说明</w:t>
      </w:r>
    </w:p>
    <w:p>
      <w:pPr>
        <w:widowControl/>
        <w:spacing w:after="160" w:line="580" w:lineRule="exact"/>
        <w:ind w:left="640" w:firstLine="640" w:firstLineChars="200"/>
        <w:rPr>
          <w:rFonts w:ascii="Times New Roman" w:hAnsi="Times New Roman" w:eastAsia="仿宋_GB2312"/>
          <w:sz w:val="32"/>
          <w:szCs w:val="32"/>
        </w:rPr>
      </w:pPr>
      <w:r>
        <w:rPr>
          <w:rFonts w:hint="eastAsia" w:ascii="Times New Roman" w:hAnsi="Times New Roman" w:eastAsia="仿宋_GB2312"/>
          <w:sz w:val="32"/>
          <w:szCs w:val="32"/>
        </w:rPr>
        <w:t>六、预算绩效情况说明</w:t>
      </w:r>
    </w:p>
    <w:p>
      <w:pPr>
        <w:widowControl/>
        <w:spacing w:after="160" w:line="580" w:lineRule="exact"/>
        <w:ind w:left="640" w:firstLine="640" w:firstLineChars="200"/>
        <w:rPr>
          <w:rFonts w:ascii="Times New Roman" w:hAnsi="Times New Roman" w:eastAsia="仿宋_GB2312"/>
          <w:sz w:val="32"/>
          <w:szCs w:val="32"/>
        </w:rPr>
      </w:pPr>
      <w:r>
        <w:rPr>
          <w:rFonts w:hint="eastAsia" w:ascii="Times New Roman" w:hAnsi="Times New Roman" w:eastAsia="仿宋_GB2312"/>
          <w:sz w:val="32"/>
          <w:szCs w:val="32"/>
        </w:rPr>
        <w:t>七、其他重要事项的说明</w:t>
      </w:r>
    </w:p>
    <w:p>
      <w:pPr>
        <w:widowControl/>
        <w:spacing w:after="160" w:line="58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第三部分名词解释</w:t>
      </w:r>
    </w:p>
    <w:p>
      <w:pPr>
        <w:widowControl/>
        <w:spacing w:after="160" w:line="580" w:lineRule="exact"/>
        <w:ind w:firstLine="640" w:firstLineChars="200"/>
        <w:rPr>
          <w:rFonts w:ascii="Times New Roman" w:hAnsi="Times New Roman" w:eastAsia="仿宋_GB2312"/>
          <w:sz w:val="20"/>
          <w:szCs w:val="32"/>
        </w:rPr>
      </w:pPr>
      <w:r>
        <w:rPr>
          <w:rFonts w:hint="eastAsia" w:ascii="Times New Roman" w:hAnsi="Times New Roman" w:eastAsia="黑体"/>
          <w:sz w:val="32"/>
          <w:szCs w:val="32"/>
        </w:rPr>
        <w:t>第四部分</w:t>
      </w:r>
      <w:r>
        <w:rPr>
          <w:rFonts w:ascii="Times New Roman" w:hAnsi="Times New Roman" w:eastAsia="黑体"/>
          <w:sz w:val="32"/>
          <w:szCs w:val="32"/>
        </w:rPr>
        <w:t xml:space="preserve">  2019</w:t>
      </w:r>
      <w:r>
        <w:rPr>
          <w:rFonts w:hint="eastAsia" w:ascii="Times New Roman" w:hAnsi="Times New Roman" w:eastAsia="黑体"/>
          <w:sz w:val="32"/>
          <w:szCs w:val="32"/>
        </w:rPr>
        <w:t>年度部门决算报表</w:t>
      </w:r>
    </w:p>
    <w:p>
      <w:pPr>
        <w:widowControl/>
        <w:spacing w:after="160" w:line="580" w:lineRule="exact"/>
        <w:rPr>
          <w:rFonts w:ascii="Times New Roman" w:hAnsi="Times New Roman" w:eastAsia="黑体"/>
          <w:sz w:val="32"/>
          <w:szCs w:val="32"/>
        </w:rPr>
      </w:pPr>
    </w:p>
    <w:p>
      <w:pPr>
        <w:widowControl/>
        <w:spacing w:line="580" w:lineRule="exact"/>
        <w:ind w:left="640" w:firstLine="640" w:firstLineChars="200"/>
        <w:rPr>
          <w:rFonts w:eastAsia="仿宋_GB2312"/>
          <w:sz w:val="32"/>
          <w:szCs w:val="32"/>
        </w:rPr>
      </w:pPr>
      <w:r>
        <w:rPr>
          <w:rFonts w:hint="eastAsia" w:eastAsia="仿宋_GB2312"/>
          <w:sz w:val="32"/>
          <w:szCs w:val="32"/>
        </w:rPr>
        <w:t>一、收入支出决算总表</w:t>
      </w:r>
    </w:p>
    <w:p>
      <w:pPr>
        <w:widowControl/>
        <w:spacing w:line="580" w:lineRule="exact"/>
        <w:ind w:left="640" w:firstLine="640" w:firstLineChars="200"/>
        <w:rPr>
          <w:rFonts w:eastAsia="仿宋_GB2312"/>
          <w:sz w:val="32"/>
          <w:szCs w:val="32"/>
        </w:rPr>
      </w:pPr>
      <w:r>
        <w:rPr>
          <w:rFonts w:hint="eastAsia" w:eastAsia="仿宋_GB2312"/>
          <w:sz w:val="32"/>
          <w:szCs w:val="32"/>
        </w:rPr>
        <w:t>二、收入决算表</w:t>
      </w:r>
    </w:p>
    <w:p>
      <w:pPr>
        <w:widowControl/>
        <w:spacing w:line="580" w:lineRule="exact"/>
        <w:ind w:left="640" w:firstLine="640" w:firstLineChars="200"/>
        <w:rPr>
          <w:rFonts w:eastAsia="仿宋_GB2312"/>
          <w:sz w:val="32"/>
          <w:szCs w:val="32"/>
        </w:rPr>
      </w:pPr>
      <w:r>
        <w:rPr>
          <w:rFonts w:hint="eastAsia" w:eastAsia="仿宋_GB2312"/>
          <w:sz w:val="32"/>
          <w:szCs w:val="32"/>
        </w:rPr>
        <w:t>三、支出决算表</w:t>
      </w:r>
    </w:p>
    <w:p>
      <w:pPr>
        <w:widowControl/>
        <w:spacing w:line="580" w:lineRule="exact"/>
        <w:ind w:left="640" w:firstLine="640" w:firstLineChars="200"/>
        <w:rPr>
          <w:rFonts w:eastAsia="仿宋_GB2312"/>
          <w:sz w:val="32"/>
          <w:szCs w:val="32"/>
        </w:rPr>
      </w:pPr>
      <w:r>
        <w:rPr>
          <w:rFonts w:hint="eastAsia" w:eastAsia="仿宋_GB2312"/>
          <w:sz w:val="32"/>
          <w:szCs w:val="32"/>
        </w:rPr>
        <w:t>四、财政拨款收入支出决算总表</w:t>
      </w:r>
    </w:p>
    <w:p>
      <w:pPr>
        <w:widowControl/>
        <w:spacing w:line="580" w:lineRule="exact"/>
        <w:ind w:left="640" w:firstLine="640" w:firstLineChars="200"/>
        <w:rPr>
          <w:rFonts w:eastAsia="仿宋_GB2312"/>
          <w:sz w:val="32"/>
          <w:szCs w:val="32"/>
        </w:rPr>
      </w:pPr>
      <w:r>
        <w:rPr>
          <w:rFonts w:hint="eastAsia" w:eastAsia="仿宋_GB2312"/>
          <w:sz w:val="32"/>
          <w:szCs w:val="32"/>
        </w:rPr>
        <w:t>五、一般公共预算财政拨款支出决算表</w:t>
      </w:r>
    </w:p>
    <w:p>
      <w:pPr>
        <w:widowControl/>
        <w:spacing w:line="580" w:lineRule="exact"/>
        <w:ind w:left="640" w:firstLine="640" w:firstLineChars="200"/>
        <w:rPr>
          <w:rFonts w:eastAsia="仿宋_GB2312"/>
          <w:sz w:val="32"/>
          <w:szCs w:val="32"/>
        </w:rPr>
      </w:pPr>
      <w:r>
        <w:rPr>
          <w:rFonts w:hint="eastAsia" w:eastAsia="仿宋_GB2312"/>
          <w:sz w:val="32"/>
          <w:szCs w:val="32"/>
        </w:rPr>
        <w:t>六、一般公共预算财政拨款基本支出决算表</w:t>
      </w:r>
    </w:p>
    <w:p>
      <w:pPr>
        <w:widowControl/>
        <w:spacing w:line="580" w:lineRule="exact"/>
        <w:ind w:left="640" w:firstLine="640" w:firstLineChars="200"/>
        <w:rPr>
          <w:rFonts w:eastAsia="仿宋_GB2312"/>
          <w:sz w:val="32"/>
          <w:szCs w:val="32"/>
        </w:rPr>
      </w:pPr>
      <w:r>
        <w:rPr>
          <w:rFonts w:hint="eastAsia" w:eastAsia="仿宋_GB2312"/>
          <w:sz w:val="32"/>
          <w:szCs w:val="32"/>
        </w:rPr>
        <w:t>七、一般公共预算财政拨款</w:t>
      </w:r>
      <w:r>
        <w:rPr>
          <w:rFonts w:ascii="µÈÏß Western" w:hAnsi="µÈÏß Western" w:eastAsia="仿宋_GB2312"/>
          <w:sz w:val="32"/>
          <w:szCs w:val="32"/>
        </w:rPr>
        <w:t>“</w:t>
      </w:r>
      <w:r>
        <w:rPr>
          <w:rFonts w:hint="eastAsia" w:eastAsia="仿宋_GB2312"/>
          <w:sz w:val="32"/>
          <w:szCs w:val="32"/>
        </w:rPr>
        <w:t>三公</w:t>
      </w:r>
      <w:r>
        <w:rPr>
          <w:rFonts w:ascii="µÈÏß Western" w:hAnsi="µÈÏß Western" w:eastAsia="仿宋_GB2312"/>
          <w:sz w:val="32"/>
          <w:szCs w:val="32"/>
        </w:rPr>
        <w:t>”</w:t>
      </w:r>
      <w:r>
        <w:rPr>
          <w:rFonts w:hint="eastAsia" w:eastAsia="仿宋_GB2312"/>
          <w:sz w:val="32"/>
          <w:szCs w:val="32"/>
        </w:rPr>
        <w:t>经费支出决算表</w:t>
      </w:r>
    </w:p>
    <w:p>
      <w:pPr>
        <w:widowControl/>
        <w:spacing w:line="580" w:lineRule="exact"/>
        <w:ind w:left="640" w:firstLine="640" w:firstLineChars="200"/>
        <w:rPr>
          <w:rFonts w:eastAsia="仿宋_GB2312"/>
          <w:sz w:val="32"/>
          <w:szCs w:val="32"/>
        </w:rPr>
      </w:pPr>
      <w:r>
        <w:rPr>
          <w:rFonts w:hint="eastAsia" w:eastAsia="仿宋_GB2312"/>
          <w:sz w:val="32"/>
          <w:szCs w:val="32"/>
        </w:rPr>
        <w:t>八、政府性基金预算财政拨款收入支出决算表</w:t>
      </w:r>
    </w:p>
    <w:p>
      <w:pPr>
        <w:widowControl/>
        <w:spacing w:line="580" w:lineRule="exact"/>
        <w:ind w:left="640" w:firstLine="640" w:firstLineChars="200"/>
        <w:rPr>
          <w:rFonts w:eastAsia="仿宋_GB2312"/>
          <w:sz w:val="32"/>
          <w:szCs w:val="32"/>
        </w:rPr>
      </w:pPr>
      <w:r>
        <w:rPr>
          <w:rFonts w:hint="eastAsia" w:eastAsia="仿宋_GB2312"/>
          <w:sz w:val="32"/>
          <w:szCs w:val="32"/>
        </w:rPr>
        <w:t>九、国有资本经营预算支出决算表</w:t>
      </w:r>
    </w:p>
    <w:p>
      <w:pPr>
        <w:widowControl/>
        <w:spacing w:after="160" w:line="580" w:lineRule="exact"/>
        <w:rPr>
          <w:rFonts w:ascii="Times New Roman" w:hAnsi="Times New Roman" w:eastAsia="黑体"/>
          <w:sz w:val="32"/>
          <w:szCs w:val="32"/>
        </w:rPr>
        <w:sectPr>
          <w:headerReference r:id="rId10" w:type="first"/>
          <w:footerReference r:id="rId12" w:type="first"/>
          <w:headerReference r:id="rId9" w:type="default"/>
          <w:footerReference r:id="rId11" w:type="default"/>
          <w:type w:val="continuous"/>
          <w:pgSz w:w="11906" w:h="16838"/>
          <w:pgMar w:top="2041" w:right="1531" w:bottom="2041" w:left="1531" w:header="851" w:footer="992" w:gutter="0"/>
          <w:cols w:space="0" w:num="1"/>
          <w:titlePg/>
          <w:docGrid w:type="lines" w:linePitch="312" w:charSpace="0"/>
        </w:sect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jc w:val="center"/>
        <w:rPr>
          <w:rFonts w:ascii="黑体" w:hAnsi="黑体" w:eastAsia="黑体" w:cs="黑体"/>
          <w:color w:val="000000"/>
          <w:sz w:val="96"/>
          <w:szCs w:val="96"/>
        </w:rPr>
      </w:pPr>
      <w:r>
        <w:rPr>
          <w:rFonts w:hint="eastAsia" w:ascii="黑体" w:hAnsi="黑体" w:eastAsia="黑体" w:cs="黑体"/>
          <w:color w:val="000000"/>
          <w:sz w:val="96"/>
          <w:szCs w:val="96"/>
        </w:rPr>
        <w:t>第一部分部门概况</w:t>
      </w:r>
    </w:p>
    <w:p>
      <w:r>
        <w:br w:type="page"/>
      </w:r>
    </w:p>
    <w:p>
      <w:pPr>
        <w:pStyle w:val="2"/>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一、部门职责</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根据《唐山市机构编制委员会关于印发〈遵化市乡镇机构改革方案〉的通知》（唐机编字［</w:t>
      </w:r>
      <w:r>
        <w:rPr>
          <w:rFonts w:ascii="仿宋" w:hAnsi="仿宋" w:eastAsia="仿宋" w:cs="仿宋"/>
          <w:sz w:val="32"/>
          <w:szCs w:val="32"/>
        </w:rPr>
        <w:t>2011</w:t>
      </w:r>
      <w:r>
        <w:rPr>
          <w:rFonts w:hint="eastAsia" w:ascii="仿宋" w:hAnsi="仿宋" w:eastAsia="仿宋" w:cs="仿宋"/>
          <w:sz w:val="32"/>
          <w:szCs w:val="32"/>
        </w:rPr>
        <w:t>］</w:t>
      </w:r>
      <w:r>
        <w:rPr>
          <w:rFonts w:ascii="仿宋" w:hAnsi="仿宋" w:eastAsia="仿宋" w:cs="仿宋"/>
          <w:sz w:val="32"/>
          <w:szCs w:val="32"/>
        </w:rPr>
        <w:t>44</w:t>
      </w:r>
      <w:r>
        <w:rPr>
          <w:rFonts w:hint="eastAsia" w:ascii="仿宋" w:hAnsi="仿宋" w:eastAsia="仿宋" w:cs="仿宋"/>
          <w:sz w:val="32"/>
          <w:szCs w:val="32"/>
        </w:rPr>
        <w:t>号）</w:t>
      </w:r>
      <w:r>
        <w:rPr>
          <w:rFonts w:ascii="仿宋" w:hAnsi="仿宋" w:eastAsia="仿宋" w:cs="仿宋"/>
          <w:sz w:val="32"/>
          <w:szCs w:val="32"/>
        </w:rPr>
        <w:t xml:space="preserve"> </w:t>
      </w:r>
      <w:r>
        <w:rPr>
          <w:rFonts w:hint="eastAsia" w:ascii="仿宋" w:hAnsi="仿宋" w:eastAsia="仿宋" w:cs="仿宋"/>
          <w:sz w:val="32"/>
          <w:szCs w:val="32"/>
        </w:rPr>
        <w:t>文件，我单位主要职责是：</w:t>
      </w:r>
      <w:r>
        <w:rPr>
          <w:rFonts w:ascii="仿宋" w:hAnsi="仿宋" w:eastAsia="仿宋" w:cs="仿宋"/>
          <w:sz w:val="32"/>
          <w:szCs w:val="32"/>
        </w:rPr>
        <w:t xml:space="preserve">  </w:t>
      </w:r>
    </w:p>
    <w:p>
      <w:pPr>
        <w:spacing w:line="560" w:lineRule="exact"/>
        <w:ind w:firstLine="639"/>
        <w:rPr>
          <w:rFonts w:ascii="仿宋" w:hAnsi="仿宋" w:eastAsia="仿宋" w:cs="仿宋"/>
          <w:sz w:val="32"/>
          <w:szCs w:val="32"/>
        </w:rPr>
      </w:pPr>
      <w:r>
        <w:rPr>
          <w:rFonts w:ascii="仿宋" w:hAnsi="仿宋" w:eastAsia="仿宋" w:cs="仿宋"/>
          <w:b/>
          <w:sz w:val="32"/>
          <w:szCs w:val="32"/>
        </w:rPr>
        <w:t>(</w:t>
      </w:r>
      <w:r>
        <w:rPr>
          <w:rFonts w:hint="eastAsia" w:ascii="仿宋" w:hAnsi="仿宋" w:eastAsia="仿宋" w:cs="仿宋"/>
          <w:b/>
          <w:sz w:val="32"/>
          <w:szCs w:val="32"/>
        </w:rPr>
        <w:t>一</w:t>
      </w:r>
      <w:r>
        <w:rPr>
          <w:rFonts w:ascii="仿宋" w:hAnsi="仿宋" w:eastAsia="仿宋" w:cs="仿宋"/>
          <w:b/>
          <w:sz w:val="32"/>
          <w:szCs w:val="32"/>
        </w:rPr>
        <w:t>)</w:t>
      </w:r>
      <w:r>
        <w:rPr>
          <w:rFonts w:hint="eastAsia" w:ascii="仿宋" w:hAnsi="仿宋" w:eastAsia="仿宋" w:cs="仿宋"/>
          <w:b/>
          <w:sz w:val="32"/>
          <w:szCs w:val="32"/>
        </w:rPr>
        <w:t>促进经济发展，增加农民收入。</w:t>
      </w:r>
      <w:r>
        <w:rPr>
          <w:rFonts w:hint="eastAsia" w:ascii="仿宋" w:hAnsi="仿宋" w:eastAsia="仿宋" w:cs="仿宋"/>
          <w:sz w:val="32"/>
          <w:szCs w:val="32"/>
        </w:rPr>
        <w:t>依据市国民经济和社会发展中长期规划及年度计划，结合本乡实际，科学制定经济和社会发展规划及发展模式；以市场为导向，积极组织、引导农民进行产业结构调整，培育主导产业，促进农民持续稳定增产、增收；加强新型农村服务体系建设，落实强农惠农措施，培育和发展农民专业合作组织和中介组织，着力解决农民生产生活中的突出问题；大力发展民营经济，壮大第二、第三产业，加快城镇化进程；营造良好的发展环境，提高经济发展的质量和水平，促进招商引资和项目建设工作。</w:t>
      </w:r>
    </w:p>
    <w:p>
      <w:pPr>
        <w:spacing w:line="560" w:lineRule="exact"/>
        <w:ind w:firstLine="639"/>
        <w:rPr>
          <w:rFonts w:ascii="仿宋" w:hAnsi="仿宋" w:eastAsia="仿宋" w:cs="仿宋"/>
          <w:sz w:val="32"/>
          <w:szCs w:val="32"/>
        </w:rPr>
      </w:pPr>
      <w:r>
        <w:rPr>
          <w:rFonts w:hint="eastAsia" w:ascii="仿宋" w:hAnsi="仿宋" w:eastAsia="仿宋" w:cs="仿宋"/>
          <w:b/>
          <w:sz w:val="32"/>
          <w:szCs w:val="32"/>
        </w:rPr>
        <w:t>（二）提供公共服务，着力改善民生。</w:t>
      </w:r>
      <w:r>
        <w:rPr>
          <w:rFonts w:hint="eastAsia" w:ascii="仿宋" w:hAnsi="仿宋" w:eastAsia="仿宋" w:cs="仿宋"/>
          <w:sz w:val="32"/>
          <w:szCs w:val="32"/>
        </w:rPr>
        <w:t>发展农村义务教育、公共卫生、文化体育、广播电视等各项事业，促进农村经济社会协调发展；落实计划生育基本国策，推进优生优育，稳定农村低生育水平，做好生殖健康检查和育龄妇女普查等计划生育服务工作；加强农田水利基本建设，增强农业抗御自然灾害的能力；组织好科技和信息服务工作，提高农民现代信息技术水平；加强对农村劳动力的职业技能培训，扩大农村富余劳动力就业；加强农村市场设施建设和管理，增强市场服务功能；做好防灾减灾、优抚安置、低保、扶贫救济等社会救助工作，发展农村老龄服务，加强农村残疾预防和残疾人康复工作；加强农村基础设施建设，改善农民生活环境，积极稳妥有序推进农村新民居建设；建立健全农村社会保障体系，解除农民后顾之忧。</w:t>
      </w:r>
    </w:p>
    <w:p>
      <w:pPr>
        <w:spacing w:line="560" w:lineRule="exact"/>
        <w:ind w:firstLine="639"/>
        <w:rPr>
          <w:rFonts w:ascii="仿宋" w:hAnsi="仿宋" w:eastAsia="仿宋" w:cs="仿宋"/>
          <w:sz w:val="32"/>
          <w:szCs w:val="32"/>
        </w:rPr>
      </w:pPr>
      <w:r>
        <w:rPr>
          <w:rFonts w:hint="eastAsia" w:ascii="仿宋" w:hAnsi="仿宋" w:eastAsia="仿宋" w:cs="仿宋"/>
          <w:b/>
          <w:sz w:val="32"/>
          <w:szCs w:val="32"/>
        </w:rPr>
        <w:t>（三）加强社会管理，维护农村稳定。</w:t>
      </w:r>
      <w:r>
        <w:rPr>
          <w:rFonts w:hint="eastAsia" w:ascii="仿宋" w:hAnsi="仿宋" w:eastAsia="仿宋" w:cs="仿宋"/>
          <w:sz w:val="32"/>
          <w:szCs w:val="32"/>
        </w:rPr>
        <w:t>组织、监督国家法律法规和基本公共政策在农村的实施，制定社会主义新农村和文明生态村建设的规划和措施；加强乡村财政资金监管和乡村建设等社会事务的行政管理，促进各项社会事业的发展；协助市直有关部门做好国土资源管理、环境保护和农村普法宣传教育等工作；加强社会治安综合治理，维护社会安全秩序；认真做好人民群众的来信来访工作，维护、保障人民群众的合法权益；建立完善协调联动机制，搞好农村矛盾纠纷排查调处，及时化解农村社会矛盾；完善预警机制，妥善处理公共性、突发性、群体性事件；加强安全生产管理，做好各项安全生产工作的监督检查、隐患排查，落实安全生产责任制。</w:t>
      </w:r>
    </w:p>
    <w:p>
      <w:pPr>
        <w:spacing w:line="560" w:lineRule="exact"/>
        <w:ind w:firstLine="639"/>
        <w:rPr>
          <w:rFonts w:ascii="方正仿宋简体" w:hAnsi="仿宋_GB2312" w:eastAsia="方正仿宋简体" w:cs="仿宋_GB2312"/>
          <w:sz w:val="32"/>
          <w:szCs w:val="32"/>
        </w:rPr>
      </w:pPr>
      <w:r>
        <w:rPr>
          <w:rFonts w:hint="eastAsia" w:ascii="仿宋" w:hAnsi="仿宋" w:eastAsia="仿宋" w:cs="仿宋"/>
          <w:b/>
          <w:sz w:val="32"/>
          <w:szCs w:val="32"/>
        </w:rPr>
        <w:t>（四）推进基层民主，促进农村和谐。</w:t>
      </w:r>
      <w:r>
        <w:rPr>
          <w:rFonts w:hint="eastAsia" w:ascii="仿宋" w:hAnsi="仿宋" w:eastAsia="仿宋" w:cs="仿宋"/>
          <w:sz w:val="32"/>
          <w:szCs w:val="32"/>
        </w:rPr>
        <w:t>加强农村党的基层组织建设、农村基层干部队伍建设、农村党员队伍建设；保障法律法规赋予公民的经济、政治、文化权利，落实公民在选举、决策、管理和监督方面的民主权利，依法行政；加强农村文化宣传及统战工作，抓好农村的思想政治建设和精神文明建设；依法推进村民组织自治，完善民主议事制度，推进村务公开、财务公开，引导农民有序参与村级事务管理，推动农村社区建设，促进社会组织健康发展，增强社会自治功能。</w:t>
      </w:r>
    </w:p>
    <w:p>
      <w:pPr>
        <w:keepNext/>
        <w:keepLines/>
        <w:spacing w:line="580" w:lineRule="exact"/>
        <w:ind w:firstLine="640" w:firstLineChars="200"/>
        <w:jc w:val="left"/>
        <w:outlineLvl w:val="0"/>
        <w:rPr>
          <w:rFonts w:ascii="黑体" w:hAnsi="Calibri" w:eastAsia="黑体" w:cs="黑体"/>
          <w:kern w:val="0"/>
          <w:sz w:val="32"/>
          <w:szCs w:val="32"/>
        </w:rPr>
      </w:pPr>
      <w:r>
        <w:rPr>
          <w:rFonts w:hint="eastAsia" w:ascii="黑体" w:hAnsi="Calibri" w:eastAsia="黑体" w:cs="黑体"/>
          <w:kern w:val="0"/>
          <w:sz w:val="32"/>
          <w:szCs w:val="32"/>
        </w:rPr>
        <w:t>二、机构设置</w:t>
      </w:r>
    </w:p>
    <w:p>
      <w:pPr>
        <w:spacing w:line="580" w:lineRule="exact"/>
        <w:ind w:firstLine="640" w:firstLineChars="200"/>
        <w:rPr>
          <w:rFonts w:ascii="仿宋_GB2312" w:hAnsi="Calibri" w:eastAsia="仿宋_GB2312" w:cs="ArialUnicodeMS"/>
          <w:kern w:val="0"/>
          <w:sz w:val="32"/>
          <w:szCs w:val="32"/>
        </w:rPr>
      </w:pPr>
      <w:r>
        <w:rPr>
          <w:rFonts w:hint="eastAsia" w:ascii="仿宋_GB2312" w:hAnsi="Calibri" w:eastAsia="仿宋_GB2312" w:cs="ArialUnicodeMS"/>
          <w:kern w:val="0"/>
          <w:sz w:val="32"/>
          <w:szCs w:val="32"/>
        </w:rPr>
        <w:t>从决算编报单位构成看，纳入</w:t>
      </w:r>
      <w:r>
        <w:rPr>
          <w:rFonts w:ascii="仿宋_GB2312" w:hAnsi="Calibri" w:eastAsia="仿宋_GB2312" w:cs="ArialUnicodeMS"/>
          <w:kern w:val="0"/>
          <w:sz w:val="32"/>
          <w:szCs w:val="32"/>
        </w:rPr>
        <w:t xml:space="preserve">2019 </w:t>
      </w:r>
      <w:r>
        <w:rPr>
          <w:rFonts w:hint="eastAsia" w:ascii="仿宋_GB2312" w:hAnsi="Calibri" w:eastAsia="仿宋_GB2312" w:cs="ArialUnicodeMS"/>
          <w:kern w:val="0"/>
          <w:sz w:val="32"/>
          <w:szCs w:val="32"/>
        </w:rPr>
        <w:t>年度本部门决算汇编范围的独立核算单位（以下简称“单位”）共</w:t>
      </w:r>
      <w:r>
        <w:rPr>
          <w:rFonts w:ascii="仿宋_GB2312" w:hAnsi="Calibri" w:eastAsia="仿宋_GB2312" w:cs="ArialUnicodeMS"/>
          <w:kern w:val="0"/>
          <w:sz w:val="32"/>
          <w:szCs w:val="32"/>
        </w:rPr>
        <w:t>1</w:t>
      </w:r>
      <w:r>
        <w:rPr>
          <w:rFonts w:hint="eastAsia" w:ascii="仿宋_GB2312" w:hAnsi="Calibri" w:eastAsia="仿宋_GB2312" w:cs="ArialUnicodeMS"/>
          <w:kern w:val="0"/>
          <w:sz w:val="32"/>
          <w:szCs w:val="32"/>
        </w:rPr>
        <w:t>个，具体情况如下：</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726"/>
        <w:gridCol w:w="1709"/>
        <w:gridCol w:w="1469"/>
        <w:gridCol w:w="28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726" w:type="dxa"/>
            <w:vMerge w:val="restart"/>
            <w:vAlign w:val="center"/>
          </w:tcPr>
          <w:p>
            <w:pPr>
              <w:spacing w:line="300" w:lineRule="exact"/>
              <w:jc w:val="center"/>
              <w:rPr>
                <w:rFonts w:ascii="黑体" w:hAnsi="黑体" w:eastAsia="黑体" w:cs="黑体"/>
                <w:b/>
                <w:bCs/>
                <w:sz w:val="28"/>
                <w:szCs w:val="28"/>
              </w:rPr>
            </w:pPr>
            <w:r>
              <w:rPr>
                <w:rFonts w:hint="eastAsia" w:ascii="黑体" w:hAnsi="黑体" w:eastAsia="黑体" w:cs="黑体"/>
                <w:b/>
                <w:bCs/>
                <w:sz w:val="28"/>
                <w:szCs w:val="28"/>
              </w:rPr>
              <w:t>单位名称</w:t>
            </w:r>
          </w:p>
        </w:tc>
        <w:tc>
          <w:tcPr>
            <w:tcW w:w="1709" w:type="dxa"/>
            <w:vMerge w:val="restart"/>
            <w:vAlign w:val="center"/>
          </w:tcPr>
          <w:p>
            <w:pPr>
              <w:spacing w:line="300" w:lineRule="exact"/>
              <w:jc w:val="center"/>
              <w:rPr>
                <w:rFonts w:ascii="黑体" w:hAnsi="黑体" w:eastAsia="黑体" w:cs="黑体"/>
                <w:b/>
                <w:bCs/>
                <w:sz w:val="28"/>
                <w:szCs w:val="28"/>
              </w:rPr>
            </w:pPr>
            <w:r>
              <w:rPr>
                <w:rFonts w:hint="eastAsia" w:ascii="黑体" w:hAnsi="黑体" w:eastAsia="黑体" w:cs="黑体"/>
                <w:b/>
                <w:bCs/>
                <w:sz w:val="28"/>
                <w:szCs w:val="28"/>
              </w:rPr>
              <w:t>单位性质</w:t>
            </w:r>
          </w:p>
        </w:tc>
        <w:tc>
          <w:tcPr>
            <w:tcW w:w="1469" w:type="dxa"/>
            <w:vMerge w:val="restart"/>
            <w:vAlign w:val="center"/>
          </w:tcPr>
          <w:p>
            <w:pPr>
              <w:spacing w:line="300" w:lineRule="exact"/>
              <w:jc w:val="center"/>
              <w:rPr>
                <w:rFonts w:ascii="黑体" w:hAnsi="黑体" w:eastAsia="黑体" w:cs="黑体"/>
                <w:b/>
                <w:bCs/>
                <w:sz w:val="28"/>
                <w:szCs w:val="28"/>
              </w:rPr>
            </w:pPr>
            <w:r>
              <w:rPr>
                <w:rFonts w:hint="eastAsia" w:ascii="黑体" w:hAnsi="黑体" w:eastAsia="黑体" w:cs="黑体"/>
                <w:b/>
                <w:bCs/>
                <w:sz w:val="28"/>
                <w:szCs w:val="28"/>
              </w:rPr>
              <w:t>单位规格</w:t>
            </w:r>
          </w:p>
        </w:tc>
        <w:tc>
          <w:tcPr>
            <w:tcW w:w="2829" w:type="dxa"/>
            <w:vMerge w:val="restart"/>
            <w:vAlign w:val="center"/>
          </w:tcPr>
          <w:p>
            <w:pPr>
              <w:spacing w:line="300" w:lineRule="exact"/>
              <w:jc w:val="center"/>
              <w:rPr>
                <w:rFonts w:ascii="黑体" w:hAnsi="黑体" w:eastAsia="黑体" w:cs="黑体"/>
                <w:b/>
                <w:bCs/>
                <w:sz w:val="28"/>
                <w:szCs w:val="28"/>
              </w:rPr>
            </w:pPr>
            <w:r>
              <w:rPr>
                <w:rFonts w:hint="eastAsia" w:ascii="黑体" w:hAnsi="黑体" w:eastAsia="黑体" w:cs="黑体"/>
                <w:b/>
                <w:bCs/>
                <w:sz w:val="28"/>
                <w:szCs w:val="28"/>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726" w:type="dxa"/>
            <w:vMerge w:val="continue"/>
            <w:vAlign w:val="center"/>
          </w:tcPr>
          <w:p>
            <w:pPr>
              <w:spacing w:line="300" w:lineRule="exact"/>
              <w:jc w:val="left"/>
              <w:outlineLvl w:val="0"/>
              <w:rPr>
                <w:rFonts w:ascii="黑体" w:hAnsi="黑体" w:eastAsia="黑体" w:cs="黑体"/>
                <w:sz w:val="28"/>
                <w:szCs w:val="28"/>
              </w:rPr>
            </w:pPr>
          </w:p>
        </w:tc>
        <w:tc>
          <w:tcPr>
            <w:tcW w:w="1709" w:type="dxa"/>
            <w:vMerge w:val="continue"/>
            <w:vAlign w:val="center"/>
          </w:tcPr>
          <w:p>
            <w:pPr>
              <w:spacing w:line="300" w:lineRule="exact"/>
              <w:jc w:val="left"/>
              <w:outlineLvl w:val="0"/>
              <w:rPr>
                <w:rFonts w:ascii="黑体" w:hAnsi="黑体" w:eastAsia="黑体" w:cs="黑体"/>
                <w:sz w:val="28"/>
                <w:szCs w:val="28"/>
              </w:rPr>
            </w:pPr>
          </w:p>
        </w:tc>
        <w:tc>
          <w:tcPr>
            <w:tcW w:w="1469" w:type="dxa"/>
            <w:vMerge w:val="continue"/>
            <w:vAlign w:val="center"/>
          </w:tcPr>
          <w:p>
            <w:pPr>
              <w:spacing w:line="300" w:lineRule="exact"/>
              <w:jc w:val="left"/>
              <w:outlineLvl w:val="0"/>
              <w:rPr>
                <w:rFonts w:ascii="黑体" w:hAnsi="黑体" w:eastAsia="黑体" w:cs="黑体"/>
                <w:sz w:val="28"/>
                <w:szCs w:val="28"/>
              </w:rPr>
            </w:pPr>
          </w:p>
        </w:tc>
        <w:tc>
          <w:tcPr>
            <w:tcW w:w="2829" w:type="dxa"/>
            <w:vMerge w:val="continue"/>
            <w:vAlign w:val="center"/>
          </w:tcPr>
          <w:p>
            <w:pPr>
              <w:spacing w:line="300" w:lineRule="exact"/>
              <w:jc w:val="left"/>
              <w:outlineLvl w:val="0"/>
              <w:rPr>
                <w:rFonts w:ascii="黑体" w:hAnsi="黑体" w:eastAsia="黑体" w:cs="黑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726" w:type="dxa"/>
            <w:vAlign w:val="center"/>
          </w:tcPr>
          <w:p>
            <w:pPr>
              <w:spacing w:line="300" w:lineRule="exact"/>
              <w:jc w:val="center"/>
              <w:rPr>
                <w:rFonts w:ascii="黑体" w:hAnsi="黑体" w:eastAsia="黑体" w:cs="黑体"/>
                <w:b/>
                <w:bCs/>
                <w:sz w:val="28"/>
                <w:szCs w:val="28"/>
              </w:rPr>
            </w:pPr>
            <w:r>
              <w:rPr>
                <w:rFonts w:hint="eastAsia" w:ascii="黑体" w:hAnsi="黑体" w:eastAsia="黑体" w:cs="黑体"/>
                <w:b/>
                <w:bCs/>
                <w:sz w:val="28"/>
                <w:szCs w:val="28"/>
              </w:rPr>
              <w:t>合</w:t>
            </w:r>
            <w:r>
              <w:rPr>
                <w:rFonts w:ascii="黑体" w:hAnsi="黑体" w:eastAsia="黑体" w:cs="黑体"/>
                <w:b/>
                <w:bCs/>
                <w:sz w:val="28"/>
                <w:szCs w:val="28"/>
              </w:rPr>
              <w:t xml:space="preserve">    </w:t>
            </w:r>
            <w:r>
              <w:rPr>
                <w:rFonts w:hint="eastAsia" w:ascii="黑体" w:hAnsi="黑体" w:eastAsia="黑体" w:cs="黑体"/>
                <w:b/>
                <w:bCs/>
                <w:sz w:val="28"/>
                <w:szCs w:val="28"/>
              </w:rPr>
              <w:t>计</w:t>
            </w:r>
          </w:p>
        </w:tc>
        <w:tc>
          <w:tcPr>
            <w:tcW w:w="1709" w:type="dxa"/>
            <w:vAlign w:val="center"/>
          </w:tcPr>
          <w:p>
            <w:pPr>
              <w:spacing w:line="300" w:lineRule="exact"/>
              <w:jc w:val="center"/>
              <w:rPr>
                <w:rFonts w:ascii="黑体" w:hAnsi="黑体" w:eastAsia="黑体" w:cs="黑体"/>
                <w:b/>
                <w:bCs/>
                <w:sz w:val="28"/>
                <w:szCs w:val="28"/>
              </w:rPr>
            </w:pPr>
          </w:p>
        </w:tc>
        <w:tc>
          <w:tcPr>
            <w:tcW w:w="1469" w:type="dxa"/>
            <w:vAlign w:val="center"/>
          </w:tcPr>
          <w:p>
            <w:pPr>
              <w:spacing w:line="300" w:lineRule="exact"/>
              <w:jc w:val="center"/>
              <w:rPr>
                <w:rFonts w:ascii="黑体" w:hAnsi="黑体" w:eastAsia="黑体" w:cs="黑体"/>
                <w:b/>
                <w:bCs/>
                <w:sz w:val="28"/>
                <w:szCs w:val="28"/>
              </w:rPr>
            </w:pPr>
          </w:p>
        </w:tc>
        <w:tc>
          <w:tcPr>
            <w:tcW w:w="2829" w:type="dxa"/>
            <w:vAlign w:val="center"/>
          </w:tcPr>
          <w:p>
            <w:pPr>
              <w:spacing w:line="300" w:lineRule="exact"/>
              <w:jc w:val="center"/>
              <w:rPr>
                <w:rFonts w:ascii="黑体" w:hAnsi="黑体" w:eastAsia="黑体" w:cs="黑体"/>
                <w:b/>
                <w:bC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0" w:hRule="atLeast"/>
          <w:jc w:val="center"/>
        </w:trPr>
        <w:tc>
          <w:tcPr>
            <w:tcW w:w="4726" w:type="dxa"/>
            <w:vAlign w:val="center"/>
          </w:tcPr>
          <w:p>
            <w:pPr>
              <w:spacing w:line="300" w:lineRule="exact"/>
              <w:jc w:val="left"/>
              <w:rPr>
                <w:rFonts w:ascii="仿宋" w:hAnsi="仿宋" w:eastAsia="仿宋" w:cs="黑体"/>
                <w:sz w:val="28"/>
                <w:szCs w:val="28"/>
              </w:rPr>
            </w:pPr>
            <w:r>
              <w:rPr>
                <w:rFonts w:hint="eastAsia" w:ascii="仿宋" w:hAnsi="仿宋" w:eastAsia="仿宋" w:cs="黑体"/>
                <w:sz w:val="28"/>
                <w:szCs w:val="28"/>
              </w:rPr>
              <w:t>遵化市崔家庄乡人民政府</w:t>
            </w:r>
          </w:p>
        </w:tc>
        <w:tc>
          <w:tcPr>
            <w:tcW w:w="1709" w:type="dxa"/>
            <w:vAlign w:val="center"/>
          </w:tcPr>
          <w:p>
            <w:pPr>
              <w:spacing w:line="300" w:lineRule="exact"/>
              <w:jc w:val="center"/>
              <w:rPr>
                <w:rFonts w:ascii="仿宋" w:hAnsi="仿宋" w:eastAsia="仿宋" w:cs="黑体"/>
                <w:sz w:val="28"/>
                <w:szCs w:val="28"/>
              </w:rPr>
            </w:pPr>
            <w:r>
              <w:rPr>
                <w:rFonts w:hint="eastAsia" w:ascii="仿宋" w:hAnsi="仿宋" w:eastAsia="仿宋" w:cs="黑体"/>
                <w:sz w:val="28"/>
                <w:szCs w:val="28"/>
              </w:rPr>
              <w:t>行政</w:t>
            </w:r>
          </w:p>
        </w:tc>
        <w:tc>
          <w:tcPr>
            <w:tcW w:w="1469" w:type="dxa"/>
            <w:vAlign w:val="center"/>
          </w:tcPr>
          <w:p>
            <w:pPr>
              <w:spacing w:line="300" w:lineRule="exact"/>
              <w:jc w:val="center"/>
              <w:rPr>
                <w:rFonts w:ascii="仿宋" w:hAnsi="仿宋" w:eastAsia="仿宋" w:cs="黑体"/>
                <w:sz w:val="28"/>
                <w:szCs w:val="28"/>
              </w:rPr>
            </w:pPr>
            <w:r>
              <w:rPr>
                <w:rFonts w:hint="eastAsia" w:ascii="仿宋" w:hAnsi="仿宋" w:eastAsia="仿宋" w:cs="黑体"/>
                <w:sz w:val="28"/>
                <w:szCs w:val="28"/>
              </w:rPr>
              <w:t>正科级</w:t>
            </w:r>
          </w:p>
        </w:tc>
        <w:tc>
          <w:tcPr>
            <w:tcW w:w="2829" w:type="dxa"/>
            <w:vAlign w:val="center"/>
          </w:tcPr>
          <w:p>
            <w:pPr>
              <w:spacing w:line="300" w:lineRule="exact"/>
              <w:jc w:val="center"/>
              <w:rPr>
                <w:rFonts w:ascii="仿宋" w:hAnsi="仿宋" w:eastAsia="仿宋" w:cs="黑体"/>
                <w:sz w:val="28"/>
                <w:szCs w:val="28"/>
              </w:rPr>
            </w:pPr>
            <w:r>
              <w:rPr>
                <w:rFonts w:hint="eastAsia" w:ascii="仿宋" w:hAnsi="仿宋" w:eastAsia="仿宋" w:cs="黑体"/>
                <w:sz w:val="28"/>
                <w:szCs w:val="28"/>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726" w:type="dxa"/>
            <w:vAlign w:val="center"/>
          </w:tcPr>
          <w:p>
            <w:pPr>
              <w:spacing w:line="300" w:lineRule="exact"/>
              <w:jc w:val="left"/>
              <w:rPr>
                <w:rFonts w:ascii="仿宋" w:hAnsi="仿宋" w:eastAsia="仿宋" w:cs="黑体"/>
                <w:sz w:val="28"/>
                <w:szCs w:val="28"/>
              </w:rPr>
            </w:pPr>
            <w:r>
              <w:rPr>
                <w:rFonts w:hint="eastAsia" w:ascii="仿宋" w:hAnsi="仿宋" w:eastAsia="仿宋" w:cs="黑体"/>
                <w:sz w:val="28"/>
                <w:szCs w:val="28"/>
              </w:rPr>
              <w:t>遵化市崔家庄乡党政综合办公室</w:t>
            </w:r>
          </w:p>
        </w:tc>
        <w:tc>
          <w:tcPr>
            <w:tcW w:w="1709" w:type="dxa"/>
            <w:vAlign w:val="center"/>
          </w:tcPr>
          <w:p>
            <w:pPr>
              <w:spacing w:line="300" w:lineRule="exact"/>
              <w:jc w:val="center"/>
              <w:rPr>
                <w:rFonts w:ascii="仿宋" w:hAnsi="仿宋" w:eastAsia="仿宋" w:cs="黑体"/>
                <w:sz w:val="28"/>
                <w:szCs w:val="28"/>
              </w:rPr>
            </w:pPr>
            <w:r>
              <w:rPr>
                <w:rFonts w:hint="eastAsia" w:ascii="仿宋" w:hAnsi="仿宋" w:eastAsia="仿宋" w:cs="黑体"/>
                <w:sz w:val="28"/>
                <w:szCs w:val="28"/>
              </w:rPr>
              <w:t>行政</w:t>
            </w:r>
          </w:p>
        </w:tc>
        <w:tc>
          <w:tcPr>
            <w:tcW w:w="1469" w:type="dxa"/>
            <w:vAlign w:val="center"/>
          </w:tcPr>
          <w:p>
            <w:pPr>
              <w:spacing w:line="300" w:lineRule="exact"/>
              <w:jc w:val="center"/>
              <w:rPr>
                <w:rFonts w:ascii="仿宋" w:hAnsi="仿宋" w:eastAsia="仿宋" w:cs="黑体"/>
                <w:sz w:val="28"/>
                <w:szCs w:val="28"/>
              </w:rPr>
            </w:pPr>
            <w:r>
              <w:rPr>
                <w:rFonts w:hint="eastAsia" w:ascii="仿宋" w:hAnsi="仿宋" w:eastAsia="仿宋" w:cs="黑体"/>
                <w:sz w:val="28"/>
                <w:szCs w:val="28"/>
              </w:rPr>
              <w:t>股级</w:t>
            </w:r>
          </w:p>
        </w:tc>
        <w:tc>
          <w:tcPr>
            <w:tcW w:w="2829" w:type="dxa"/>
            <w:vAlign w:val="center"/>
          </w:tcPr>
          <w:p>
            <w:pPr>
              <w:spacing w:line="300" w:lineRule="exact"/>
              <w:jc w:val="center"/>
              <w:rPr>
                <w:rFonts w:ascii="仿宋" w:hAnsi="仿宋" w:eastAsia="仿宋" w:cs="黑体"/>
                <w:sz w:val="28"/>
                <w:szCs w:val="28"/>
              </w:rPr>
            </w:pPr>
            <w:r>
              <w:rPr>
                <w:rFonts w:hint="eastAsia" w:ascii="仿宋" w:hAnsi="仿宋" w:eastAsia="仿宋" w:cs="黑体"/>
                <w:sz w:val="28"/>
                <w:szCs w:val="28"/>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726" w:type="dxa"/>
            <w:vAlign w:val="center"/>
          </w:tcPr>
          <w:p>
            <w:pPr>
              <w:spacing w:line="300" w:lineRule="exact"/>
              <w:jc w:val="left"/>
              <w:rPr>
                <w:rFonts w:ascii="仿宋" w:hAnsi="仿宋" w:eastAsia="仿宋" w:cs="黑体"/>
                <w:sz w:val="28"/>
                <w:szCs w:val="28"/>
              </w:rPr>
            </w:pPr>
            <w:r>
              <w:rPr>
                <w:rFonts w:hint="eastAsia" w:ascii="仿宋" w:hAnsi="仿宋" w:eastAsia="仿宋" w:cs="黑体"/>
                <w:sz w:val="28"/>
                <w:szCs w:val="28"/>
              </w:rPr>
              <w:t>遵化市崔家庄乡社会事务办公室</w:t>
            </w:r>
          </w:p>
        </w:tc>
        <w:tc>
          <w:tcPr>
            <w:tcW w:w="1709" w:type="dxa"/>
            <w:vAlign w:val="center"/>
          </w:tcPr>
          <w:p>
            <w:pPr>
              <w:spacing w:line="300" w:lineRule="exact"/>
              <w:jc w:val="center"/>
              <w:rPr>
                <w:rFonts w:ascii="仿宋" w:hAnsi="仿宋" w:eastAsia="仿宋" w:cs="黑体"/>
                <w:sz w:val="28"/>
                <w:szCs w:val="28"/>
              </w:rPr>
            </w:pPr>
            <w:r>
              <w:rPr>
                <w:rFonts w:hint="eastAsia" w:ascii="仿宋" w:hAnsi="仿宋" w:eastAsia="仿宋" w:cs="黑体"/>
                <w:sz w:val="28"/>
                <w:szCs w:val="28"/>
              </w:rPr>
              <w:t>行政</w:t>
            </w:r>
          </w:p>
        </w:tc>
        <w:tc>
          <w:tcPr>
            <w:tcW w:w="1469" w:type="dxa"/>
            <w:vAlign w:val="center"/>
          </w:tcPr>
          <w:p>
            <w:pPr>
              <w:spacing w:line="300" w:lineRule="exact"/>
              <w:jc w:val="center"/>
              <w:rPr>
                <w:rFonts w:ascii="仿宋" w:hAnsi="仿宋" w:eastAsia="仿宋" w:cs="黑体"/>
                <w:sz w:val="28"/>
                <w:szCs w:val="28"/>
              </w:rPr>
            </w:pPr>
            <w:r>
              <w:rPr>
                <w:rFonts w:hint="eastAsia" w:ascii="仿宋" w:hAnsi="仿宋" w:eastAsia="仿宋" w:cs="黑体"/>
                <w:sz w:val="28"/>
                <w:szCs w:val="28"/>
              </w:rPr>
              <w:t>股级</w:t>
            </w:r>
          </w:p>
        </w:tc>
        <w:tc>
          <w:tcPr>
            <w:tcW w:w="2829" w:type="dxa"/>
            <w:vAlign w:val="center"/>
          </w:tcPr>
          <w:p>
            <w:pPr>
              <w:spacing w:line="300" w:lineRule="exact"/>
              <w:jc w:val="center"/>
              <w:rPr>
                <w:rFonts w:ascii="仿宋" w:hAnsi="仿宋" w:eastAsia="仿宋" w:cs="黑体"/>
                <w:sz w:val="28"/>
                <w:szCs w:val="28"/>
              </w:rPr>
            </w:pPr>
            <w:r>
              <w:rPr>
                <w:rFonts w:hint="eastAsia" w:ascii="仿宋" w:hAnsi="仿宋" w:eastAsia="仿宋" w:cs="黑体"/>
                <w:sz w:val="28"/>
                <w:szCs w:val="28"/>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726" w:type="dxa"/>
            <w:vAlign w:val="center"/>
          </w:tcPr>
          <w:p>
            <w:pPr>
              <w:spacing w:line="300" w:lineRule="exact"/>
              <w:jc w:val="left"/>
              <w:rPr>
                <w:rFonts w:ascii="仿宋" w:hAnsi="仿宋" w:eastAsia="仿宋" w:cs="黑体"/>
                <w:sz w:val="28"/>
                <w:szCs w:val="28"/>
              </w:rPr>
            </w:pPr>
            <w:r>
              <w:rPr>
                <w:rFonts w:hint="eastAsia" w:ascii="仿宋" w:hAnsi="仿宋" w:eastAsia="仿宋" w:cs="黑体"/>
                <w:sz w:val="28"/>
                <w:szCs w:val="28"/>
              </w:rPr>
              <w:t>遵化市崔家庄乡财政所农村经营管理服务站</w:t>
            </w:r>
          </w:p>
        </w:tc>
        <w:tc>
          <w:tcPr>
            <w:tcW w:w="1709" w:type="dxa"/>
            <w:vAlign w:val="center"/>
          </w:tcPr>
          <w:p>
            <w:pPr>
              <w:spacing w:line="300" w:lineRule="exact"/>
              <w:jc w:val="center"/>
              <w:rPr>
                <w:rFonts w:ascii="仿宋" w:hAnsi="仿宋" w:eastAsia="仿宋" w:cs="黑体"/>
                <w:sz w:val="28"/>
                <w:szCs w:val="28"/>
              </w:rPr>
            </w:pPr>
            <w:r>
              <w:rPr>
                <w:rFonts w:hint="eastAsia" w:ascii="仿宋" w:hAnsi="仿宋" w:eastAsia="仿宋" w:cs="黑体"/>
                <w:sz w:val="28"/>
                <w:szCs w:val="28"/>
              </w:rPr>
              <w:t>事业</w:t>
            </w:r>
          </w:p>
        </w:tc>
        <w:tc>
          <w:tcPr>
            <w:tcW w:w="1469" w:type="dxa"/>
            <w:vAlign w:val="center"/>
          </w:tcPr>
          <w:p>
            <w:pPr>
              <w:spacing w:line="300" w:lineRule="exact"/>
              <w:jc w:val="center"/>
              <w:rPr>
                <w:rFonts w:ascii="仿宋" w:hAnsi="仿宋" w:eastAsia="仿宋" w:cs="黑体"/>
                <w:sz w:val="28"/>
                <w:szCs w:val="28"/>
              </w:rPr>
            </w:pPr>
            <w:r>
              <w:rPr>
                <w:rFonts w:hint="eastAsia" w:ascii="仿宋" w:hAnsi="仿宋" w:eastAsia="仿宋" w:cs="黑体"/>
                <w:sz w:val="28"/>
                <w:szCs w:val="28"/>
              </w:rPr>
              <w:t>股级</w:t>
            </w:r>
          </w:p>
        </w:tc>
        <w:tc>
          <w:tcPr>
            <w:tcW w:w="2829" w:type="dxa"/>
            <w:vAlign w:val="center"/>
          </w:tcPr>
          <w:p>
            <w:pPr>
              <w:spacing w:line="300" w:lineRule="exact"/>
              <w:jc w:val="center"/>
              <w:rPr>
                <w:rFonts w:ascii="仿宋" w:hAnsi="仿宋" w:eastAsia="仿宋" w:cs="黑体"/>
                <w:sz w:val="28"/>
                <w:szCs w:val="28"/>
              </w:rPr>
            </w:pPr>
            <w:r>
              <w:rPr>
                <w:rFonts w:hint="eastAsia" w:ascii="仿宋" w:hAnsi="仿宋" w:eastAsia="仿宋" w:cs="黑体"/>
                <w:sz w:val="28"/>
                <w:szCs w:val="28"/>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5" w:hRule="atLeast"/>
          <w:jc w:val="center"/>
        </w:trPr>
        <w:tc>
          <w:tcPr>
            <w:tcW w:w="4726" w:type="dxa"/>
            <w:vAlign w:val="center"/>
          </w:tcPr>
          <w:p>
            <w:pPr>
              <w:spacing w:line="300" w:lineRule="exact"/>
              <w:jc w:val="left"/>
              <w:rPr>
                <w:rFonts w:ascii="仿宋" w:hAnsi="仿宋" w:eastAsia="仿宋" w:cs="黑体"/>
                <w:sz w:val="28"/>
                <w:szCs w:val="28"/>
              </w:rPr>
            </w:pPr>
            <w:r>
              <w:rPr>
                <w:rFonts w:hint="eastAsia" w:ascii="仿宋" w:hAnsi="仿宋" w:eastAsia="仿宋" w:cs="黑体"/>
                <w:sz w:val="28"/>
                <w:szCs w:val="28"/>
              </w:rPr>
              <w:t>遵化市崔家庄乡人口和计划生育服务中心</w:t>
            </w:r>
          </w:p>
        </w:tc>
        <w:tc>
          <w:tcPr>
            <w:tcW w:w="1709" w:type="dxa"/>
            <w:vAlign w:val="center"/>
          </w:tcPr>
          <w:p>
            <w:pPr>
              <w:spacing w:line="300" w:lineRule="exact"/>
              <w:jc w:val="center"/>
              <w:rPr>
                <w:rFonts w:ascii="仿宋" w:hAnsi="仿宋" w:eastAsia="仿宋" w:cs="黑体"/>
                <w:sz w:val="28"/>
                <w:szCs w:val="28"/>
              </w:rPr>
            </w:pPr>
            <w:r>
              <w:rPr>
                <w:rFonts w:hint="eastAsia" w:ascii="仿宋" w:hAnsi="仿宋" w:eastAsia="仿宋" w:cs="黑体"/>
                <w:sz w:val="28"/>
                <w:szCs w:val="28"/>
              </w:rPr>
              <w:t>事业</w:t>
            </w:r>
          </w:p>
        </w:tc>
        <w:tc>
          <w:tcPr>
            <w:tcW w:w="1469" w:type="dxa"/>
            <w:vAlign w:val="center"/>
          </w:tcPr>
          <w:p>
            <w:pPr>
              <w:spacing w:line="300" w:lineRule="exact"/>
              <w:jc w:val="center"/>
              <w:rPr>
                <w:rFonts w:ascii="仿宋" w:hAnsi="仿宋" w:eastAsia="仿宋" w:cs="黑体"/>
                <w:sz w:val="28"/>
                <w:szCs w:val="28"/>
              </w:rPr>
            </w:pPr>
            <w:r>
              <w:rPr>
                <w:rFonts w:hint="eastAsia" w:ascii="仿宋" w:hAnsi="仿宋" w:eastAsia="仿宋" w:cs="黑体"/>
                <w:sz w:val="28"/>
                <w:szCs w:val="28"/>
              </w:rPr>
              <w:t>股级</w:t>
            </w:r>
          </w:p>
        </w:tc>
        <w:tc>
          <w:tcPr>
            <w:tcW w:w="2829" w:type="dxa"/>
            <w:vAlign w:val="center"/>
          </w:tcPr>
          <w:p>
            <w:pPr>
              <w:spacing w:line="300" w:lineRule="exact"/>
              <w:jc w:val="center"/>
              <w:rPr>
                <w:rFonts w:ascii="仿宋" w:hAnsi="仿宋" w:eastAsia="仿宋" w:cs="黑体"/>
                <w:sz w:val="28"/>
                <w:szCs w:val="28"/>
              </w:rPr>
            </w:pPr>
            <w:r>
              <w:rPr>
                <w:rFonts w:hint="eastAsia" w:ascii="仿宋" w:hAnsi="仿宋" w:eastAsia="仿宋" w:cs="黑体"/>
                <w:sz w:val="28"/>
                <w:szCs w:val="28"/>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726" w:type="dxa"/>
            <w:vAlign w:val="center"/>
          </w:tcPr>
          <w:p>
            <w:pPr>
              <w:spacing w:line="300" w:lineRule="exact"/>
              <w:jc w:val="left"/>
              <w:rPr>
                <w:rFonts w:ascii="仿宋" w:hAnsi="仿宋" w:eastAsia="仿宋" w:cs="黑体"/>
                <w:sz w:val="28"/>
                <w:szCs w:val="28"/>
              </w:rPr>
            </w:pPr>
            <w:r>
              <w:rPr>
                <w:rFonts w:hint="eastAsia" w:ascii="仿宋" w:hAnsi="仿宋" w:eastAsia="仿宋" w:cs="黑体"/>
                <w:sz w:val="28"/>
                <w:szCs w:val="28"/>
              </w:rPr>
              <w:t>遵化市崔家庄乡文化综合服务中心</w:t>
            </w:r>
          </w:p>
        </w:tc>
        <w:tc>
          <w:tcPr>
            <w:tcW w:w="1709" w:type="dxa"/>
            <w:vAlign w:val="center"/>
          </w:tcPr>
          <w:p>
            <w:pPr>
              <w:spacing w:line="300" w:lineRule="exact"/>
              <w:jc w:val="center"/>
              <w:rPr>
                <w:rFonts w:ascii="仿宋" w:hAnsi="仿宋" w:eastAsia="仿宋" w:cs="黑体"/>
                <w:sz w:val="28"/>
                <w:szCs w:val="28"/>
              </w:rPr>
            </w:pPr>
            <w:r>
              <w:rPr>
                <w:rFonts w:hint="eastAsia" w:ascii="仿宋" w:hAnsi="仿宋" w:eastAsia="仿宋" w:cs="黑体"/>
                <w:sz w:val="28"/>
                <w:szCs w:val="28"/>
              </w:rPr>
              <w:t>事业</w:t>
            </w:r>
          </w:p>
        </w:tc>
        <w:tc>
          <w:tcPr>
            <w:tcW w:w="1469" w:type="dxa"/>
            <w:vAlign w:val="center"/>
          </w:tcPr>
          <w:p>
            <w:pPr>
              <w:spacing w:line="300" w:lineRule="exact"/>
              <w:jc w:val="center"/>
              <w:rPr>
                <w:rFonts w:ascii="仿宋" w:hAnsi="仿宋" w:eastAsia="仿宋" w:cs="黑体"/>
                <w:sz w:val="28"/>
                <w:szCs w:val="28"/>
              </w:rPr>
            </w:pPr>
            <w:r>
              <w:rPr>
                <w:rFonts w:hint="eastAsia" w:ascii="仿宋" w:hAnsi="仿宋" w:eastAsia="仿宋" w:cs="黑体"/>
                <w:sz w:val="28"/>
                <w:szCs w:val="28"/>
              </w:rPr>
              <w:t>股级</w:t>
            </w:r>
          </w:p>
        </w:tc>
        <w:tc>
          <w:tcPr>
            <w:tcW w:w="2829" w:type="dxa"/>
            <w:vAlign w:val="center"/>
          </w:tcPr>
          <w:p>
            <w:pPr>
              <w:spacing w:line="300" w:lineRule="exact"/>
              <w:jc w:val="center"/>
              <w:rPr>
                <w:rFonts w:ascii="仿宋" w:hAnsi="仿宋" w:eastAsia="仿宋" w:cs="黑体"/>
                <w:sz w:val="28"/>
                <w:szCs w:val="28"/>
              </w:rPr>
            </w:pPr>
            <w:r>
              <w:rPr>
                <w:rFonts w:hint="eastAsia" w:ascii="仿宋" w:hAnsi="仿宋" w:eastAsia="仿宋" w:cs="黑体"/>
                <w:sz w:val="28"/>
                <w:szCs w:val="28"/>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0" w:hRule="atLeast"/>
          <w:jc w:val="center"/>
        </w:trPr>
        <w:tc>
          <w:tcPr>
            <w:tcW w:w="4726" w:type="dxa"/>
            <w:vAlign w:val="center"/>
          </w:tcPr>
          <w:p>
            <w:pPr>
              <w:spacing w:line="300" w:lineRule="exact"/>
              <w:jc w:val="left"/>
              <w:rPr>
                <w:rFonts w:ascii="仿宋" w:hAnsi="仿宋" w:eastAsia="仿宋" w:cs="黑体"/>
                <w:sz w:val="28"/>
                <w:szCs w:val="28"/>
              </w:rPr>
            </w:pPr>
            <w:r>
              <w:rPr>
                <w:rFonts w:hint="eastAsia" w:ascii="仿宋" w:hAnsi="仿宋" w:eastAsia="仿宋" w:cs="黑体"/>
                <w:sz w:val="28"/>
                <w:szCs w:val="28"/>
              </w:rPr>
              <w:t>遵化市崔家庄乡劳动保障事务站</w:t>
            </w:r>
          </w:p>
        </w:tc>
        <w:tc>
          <w:tcPr>
            <w:tcW w:w="1709" w:type="dxa"/>
            <w:vAlign w:val="center"/>
          </w:tcPr>
          <w:p>
            <w:pPr>
              <w:spacing w:line="300" w:lineRule="exact"/>
              <w:jc w:val="center"/>
              <w:rPr>
                <w:rFonts w:ascii="仿宋" w:hAnsi="仿宋" w:eastAsia="仿宋" w:cs="黑体"/>
                <w:sz w:val="28"/>
                <w:szCs w:val="28"/>
              </w:rPr>
            </w:pPr>
            <w:r>
              <w:rPr>
                <w:rFonts w:hint="eastAsia" w:ascii="仿宋" w:hAnsi="仿宋" w:eastAsia="仿宋" w:cs="黑体"/>
                <w:sz w:val="28"/>
                <w:szCs w:val="28"/>
              </w:rPr>
              <w:t>事业</w:t>
            </w:r>
          </w:p>
        </w:tc>
        <w:tc>
          <w:tcPr>
            <w:tcW w:w="1469" w:type="dxa"/>
            <w:vAlign w:val="center"/>
          </w:tcPr>
          <w:p>
            <w:pPr>
              <w:spacing w:line="300" w:lineRule="exact"/>
              <w:jc w:val="center"/>
              <w:rPr>
                <w:rFonts w:ascii="仿宋" w:hAnsi="仿宋" w:eastAsia="仿宋" w:cs="黑体"/>
                <w:sz w:val="28"/>
                <w:szCs w:val="28"/>
              </w:rPr>
            </w:pPr>
            <w:r>
              <w:rPr>
                <w:rFonts w:hint="eastAsia" w:ascii="仿宋" w:hAnsi="仿宋" w:eastAsia="仿宋" w:cs="黑体"/>
                <w:sz w:val="28"/>
                <w:szCs w:val="28"/>
              </w:rPr>
              <w:t>股级</w:t>
            </w:r>
          </w:p>
        </w:tc>
        <w:tc>
          <w:tcPr>
            <w:tcW w:w="2829" w:type="dxa"/>
            <w:vAlign w:val="center"/>
          </w:tcPr>
          <w:p>
            <w:pPr>
              <w:spacing w:line="300" w:lineRule="exact"/>
              <w:jc w:val="center"/>
              <w:rPr>
                <w:rFonts w:ascii="仿宋" w:hAnsi="仿宋" w:eastAsia="仿宋" w:cs="黑体"/>
                <w:sz w:val="28"/>
                <w:szCs w:val="28"/>
              </w:rPr>
            </w:pPr>
            <w:r>
              <w:rPr>
                <w:rFonts w:hint="eastAsia" w:ascii="仿宋" w:hAnsi="仿宋" w:eastAsia="仿宋" w:cs="黑体"/>
                <w:sz w:val="28"/>
                <w:szCs w:val="28"/>
              </w:rPr>
              <w:t>财政拨款</w:t>
            </w:r>
          </w:p>
        </w:tc>
      </w:tr>
    </w:tbl>
    <w:p>
      <w:pPr>
        <w:widowControl/>
        <w:spacing w:after="160" w:line="580" w:lineRule="exact"/>
        <w:rPr>
          <w:rFonts w:ascii="Times New Roman" w:hAnsi="Times New Roman" w:eastAsia="黑体"/>
          <w:sz w:val="32"/>
          <w:szCs w:val="32"/>
        </w:rPr>
      </w:pPr>
    </w:p>
    <w:p>
      <w:pPr>
        <w:widowControl/>
        <w:spacing w:after="160" w:line="580" w:lineRule="exact"/>
        <w:ind w:firstLine="640" w:firstLineChars="200"/>
        <w:rPr>
          <w:rFonts w:ascii="Times New Roman" w:hAnsi="Times New Roman" w:eastAsia="黑体"/>
          <w:sz w:val="32"/>
          <w:szCs w:val="32"/>
        </w:rPr>
      </w:pPr>
    </w:p>
    <w:p>
      <w:pPr>
        <w:widowControl/>
        <w:spacing w:after="160" w:line="580" w:lineRule="exact"/>
        <w:ind w:firstLine="640" w:firstLineChars="200"/>
        <w:rPr>
          <w:rFonts w:ascii="Times New Roman" w:hAnsi="Times New Roman" w:eastAsia="黑体"/>
          <w:sz w:val="32"/>
          <w:szCs w:val="32"/>
        </w:rPr>
      </w:pPr>
    </w:p>
    <w:p>
      <w:pPr>
        <w:widowControl/>
        <w:spacing w:after="160" w:line="580" w:lineRule="exact"/>
        <w:ind w:firstLine="640" w:firstLineChars="200"/>
        <w:rPr>
          <w:rFonts w:ascii="Times New Roman" w:hAnsi="Times New Roman" w:eastAsia="黑体"/>
          <w:sz w:val="32"/>
          <w:szCs w:val="32"/>
        </w:rPr>
        <w:sectPr>
          <w:pgSz w:w="11906" w:h="16838"/>
          <w:pgMar w:top="2041" w:right="1531" w:bottom="2041" w:left="1531" w:header="851" w:footer="992" w:gutter="0"/>
          <w:pgNumType w:fmt="numberInDash" w:start="1"/>
          <w:cols w:space="0" w:num="1"/>
          <w:titlePg/>
          <w:docGrid w:type="lines" w:linePitch="312" w:charSpace="0"/>
        </w:sectPr>
      </w:pPr>
    </w:p>
    <w:p>
      <w:pPr>
        <w:widowControl/>
        <w:spacing w:after="160" w:line="580" w:lineRule="exact"/>
        <w:rPr>
          <w:rFonts w:ascii="Times New Roman" w:hAnsi="Times New Roman" w:eastAsia="黑体"/>
          <w:sz w:val="32"/>
          <w:szCs w:val="32"/>
        </w:rPr>
        <w:sectPr>
          <w:type w:val="continuous"/>
          <w:pgSz w:w="11906" w:h="16838"/>
          <w:pgMar w:top="2041" w:right="1531" w:bottom="2041" w:left="1531" w:header="851" w:footer="992" w:gutter="0"/>
          <w:pgNumType w:fmt="numberInDash"/>
          <w:cols w:space="0" w:num="1"/>
          <w:titlePg/>
          <w:docGrid w:type="lines" w:linePitch="312" w:charSpace="0"/>
        </w:sectPr>
      </w:pPr>
    </w:p>
    <w:p>
      <w:pPr>
        <w:widowControl/>
        <w:spacing w:after="160" w:line="580" w:lineRule="exact"/>
        <w:rPr>
          <w:rFonts w:ascii="Times New Roman" w:hAnsi="Times New Roman" w:eastAsia="黑体"/>
          <w:sz w:val="32"/>
          <w:szCs w:val="32"/>
        </w:rPr>
        <w:sectPr>
          <w:pgSz w:w="11906" w:h="16838"/>
          <w:pgMar w:top="2041" w:right="1531" w:bottom="2041" w:left="1531" w:header="851" w:footer="992" w:gutter="0"/>
          <w:pgNumType w:fmt="numberInDash"/>
          <w:cols w:space="0" w:num="1"/>
          <w:titlePg/>
          <w:docGrid w:type="lines" w:linePitch="312" w:charSpace="0"/>
        </w:sectPr>
      </w:pPr>
      <w:r>
        <w:pict>
          <v:shape id="_x0000_s1040" o:spid="_x0000_s1040" o:spt="202" type="#_x0000_t202" style="position:absolute;left:0pt;margin-left:-85.7pt;margin-top:238.15pt;height:173.25pt;width:613.65pt;z-index:251665408;mso-width-relative:page;mso-height-relative:page;" filled="f" stroked="f" coordsize="21600,21600">
            <v:path/>
            <v:fill on="f" focussize="0,0"/>
            <v:stroke on="f" weight="0.5pt" joinstyle="miter"/>
            <v:imagedata o:title=""/>
            <o:lock v:ext="edit"/>
            <v:textbox>
              <w:txbxContent>
                <w:p>
                  <w:pPr>
                    <w:widowControl/>
                    <w:jc w:val="center"/>
                    <w:rPr>
                      <w:rFonts w:ascii="黑体" w:hAnsi="黑体" w:eastAsia="黑体" w:cs="黑体"/>
                      <w:color w:val="000000"/>
                      <w:sz w:val="96"/>
                      <w:szCs w:val="96"/>
                    </w:rPr>
                  </w:pPr>
                </w:p>
                <w:p>
                  <w:pPr>
                    <w:widowControl/>
                    <w:jc w:val="center"/>
                    <w:rPr>
                      <w:rFonts w:ascii="黑体" w:hAnsi="黑体" w:eastAsia="黑体" w:cs="黑体"/>
                      <w:color w:val="000000"/>
                      <w:sz w:val="96"/>
                      <w:szCs w:val="96"/>
                    </w:rPr>
                  </w:pPr>
                </w:p>
              </w:txbxContent>
            </v:textbox>
          </v:shape>
        </w:pict>
      </w:r>
    </w:p>
    <w:p>
      <w:pPr>
        <w:rPr>
          <w:rFonts w:ascii="黑体" w:hAnsi="黑体" w:eastAsia="黑体" w:cs="黑体"/>
          <w:sz w:val="56"/>
          <w:szCs w:val="72"/>
        </w:rPr>
      </w:pPr>
    </w:p>
    <w:p>
      <w:pPr>
        <w:widowControl/>
        <w:jc w:val="center"/>
        <w:rPr>
          <w:rFonts w:ascii="黑体" w:hAnsi="黑体" w:eastAsia="黑体" w:cs="黑体"/>
          <w:color w:val="000000"/>
          <w:sz w:val="90"/>
          <w:szCs w:val="90"/>
        </w:rPr>
      </w:pPr>
      <w:r>
        <w:rPr>
          <w:rFonts w:hint="eastAsia" w:ascii="黑体" w:hAnsi="黑体" w:eastAsia="黑体" w:cs="黑体"/>
          <w:color w:val="000000"/>
          <w:sz w:val="90"/>
          <w:szCs w:val="90"/>
        </w:rPr>
        <w:t>第二部分</w:t>
      </w:r>
    </w:p>
    <w:p>
      <w:pPr>
        <w:widowControl/>
        <w:jc w:val="center"/>
        <w:rPr>
          <w:rFonts w:ascii="黑体" w:hAnsi="黑体" w:eastAsia="黑体" w:cs="黑体"/>
          <w:color w:val="000000"/>
          <w:sz w:val="90"/>
          <w:szCs w:val="90"/>
        </w:rPr>
      </w:pPr>
      <w:r>
        <w:rPr>
          <w:rFonts w:ascii="黑体" w:hAnsi="黑体" w:eastAsia="黑体" w:cs="黑体"/>
          <w:color w:val="000000"/>
          <w:sz w:val="90"/>
          <w:szCs w:val="90"/>
        </w:rPr>
        <w:t>2019</w:t>
      </w:r>
      <w:r>
        <w:rPr>
          <w:rFonts w:hint="eastAsia" w:ascii="黑体" w:hAnsi="黑体" w:eastAsia="黑体" w:cs="黑体"/>
          <w:color w:val="000000"/>
          <w:sz w:val="90"/>
          <w:szCs w:val="90"/>
        </w:rPr>
        <w:t>年部门决算情况说明</w:t>
      </w: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rPr>
          <w:rFonts w:ascii="黑体" w:hAnsi="黑体" w:eastAsia="黑体" w:cs="黑体"/>
          <w:sz w:val="56"/>
          <w:szCs w:val="72"/>
        </w:rPr>
      </w:pPr>
    </w:p>
    <w:p>
      <w:pPr>
        <w:keepNext/>
        <w:keepLines/>
        <w:snapToGrid w:val="0"/>
        <w:spacing w:line="580" w:lineRule="exact"/>
        <w:ind w:firstLine="640" w:firstLineChars="200"/>
        <w:outlineLvl w:val="1"/>
        <w:rPr>
          <w:rFonts w:ascii="黑体" w:hAnsi="Calibri" w:eastAsia="黑体"/>
          <w:sz w:val="32"/>
          <w:szCs w:val="32"/>
        </w:rPr>
      </w:pPr>
      <w:r>
        <w:rPr>
          <w:rFonts w:hint="eastAsia" w:ascii="黑体" w:hAnsi="Calibri" w:eastAsia="黑体"/>
          <w:sz w:val="32"/>
          <w:szCs w:val="32"/>
        </w:rPr>
        <w:t>一、收入</w:t>
      </w:r>
      <w:r>
        <w:rPr>
          <w:rFonts w:hint="eastAsia" w:ascii="黑体" w:hAnsi="Cambria" w:eastAsia="黑体" w:cs="黑体"/>
          <w:kern w:val="0"/>
          <w:sz w:val="32"/>
          <w:szCs w:val="32"/>
        </w:rPr>
        <w:t>支出</w:t>
      </w:r>
      <w:r>
        <w:rPr>
          <w:rFonts w:hint="eastAsia" w:ascii="黑体" w:hAnsi="Calibri" w:eastAsia="黑体"/>
          <w:sz w:val="32"/>
          <w:szCs w:val="32"/>
        </w:rPr>
        <w:t>决算总体情况说明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年度收支总计（含结转和结余）</w:t>
      </w:r>
      <w:r>
        <w:rPr>
          <w:rFonts w:ascii="仿宋_GB2312" w:hAnsi="Times New Roman" w:eastAsia="仿宋_GB2312" w:cs="DengXian-Regular"/>
          <w:sz w:val="32"/>
          <w:szCs w:val="32"/>
        </w:rPr>
        <w:t>689.68</w:t>
      </w:r>
      <w:r>
        <w:rPr>
          <w:rFonts w:hint="eastAsia" w:ascii="仿宋_GB2312" w:hAnsi="Times New Roman" w:eastAsia="仿宋_GB2312" w:cs="DengXian-Regular"/>
          <w:sz w:val="32"/>
          <w:szCs w:val="32"/>
        </w:rPr>
        <w:t>万元。与</w:t>
      </w:r>
      <w:r>
        <w:rPr>
          <w:rFonts w:ascii="仿宋_GB2312" w:hAnsi="Times New Roman" w:eastAsia="仿宋_GB2312" w:cs="DengXian-Regular"/>
          <w:sz w:val="32"/>
          <w:szCs w:val="32"/>
        </w:rPr>
        <w:t>2018</w:t>
      </w:r>
      <w:r>
        <w:rPr>
          <w:rFonts w:hint="eastAsia" w:ascii="仿宋_GB2312" w:hAnsi="Times New Roman" w:eastAsia="仿宋_GB2312" w:cs="DengXian-Regular"/>
          <w:sz w:val="32"/>
          <w:szCs w:val="32"/>
        </w:rPr>
        <w:t>年度决算相比，收支各减少</w:t>
      </w:r>
      <w:r>
        <w:rPr>
          <w:rFonts w:ascii="仿宋_GB2312" w:hAnsi="Times New Roman" w:eastAsia="仿宋_GB2312" w:cs="DengXian-Regular"/>
          <w:sz w:val="32"/>
          <w:szCs w:val="32"/>
        </w:rPr>
        <w:t>697.41</w:t>
      </w:r>
      <w:r>
        <w:rPr>
          <w:rFonts w:hint="eastAsia" w:ascii="仿宋_GB2312" w:hAnsi="Times New Roman" w:eastAsia="仿宋_GB2312" w:cs="DengXian-Regular"/>
          <w:sz w:val="32"/>
          <w:szCs w:val="32"/>
        </w:rPr>
        <w:t>万元，下降</w:t>
      </w:r>
      <w:r>
        <w:rPr>
          <w:rFonts w:ascii="仿宋_GB2312" w:hAnsi="Times New Roman" w:eastAsia="仿宋_GB2312" w:cs="DengXian-Regular"/>
          <w:sz w:val="32"/>
          <w:szCs w:val="32"/>
        </w:rPr>
        <w:t>50.28%</w:t>
      </w:r>
      <w:r>
        <w:rPr>
          <w:rFonts w:hint="eastAsia" w:ascii="仿宋_GB2312" w:hAnsi="Times New Roman" w:eastAsia="仿宋_GB2312" w:cs="DengXian-Regular"/>
          <w:sz w:val="32"/>
          <w:szCs w:val="32"/>
        </w:rPr>
        <w:t>，</w:t>
      </w:r>
      <w:r>
        <w:rPr>
          <w:rFonts w:hint="eastAsia" w:ascii="仿宋_GB2312" w:eastAsia="仿宋_GB2312" w:cs="DengXian-Regular"/>
          <w:sz w:val="32"/>
          <w:szCs w:val="32"/>
        </w:rPr>
        <w:t>主要原因是</w:t>
      </w:r>
      <w:r>
        <w:rPr>
          <w:rFonts w:hint="eastAsia" w:ascii="仿宋" w:hAnsi="仿宋" w:eastAsia="仿宋" w:cs="仿宋"/>
          <w:sz w:val="32"/>
          <w:szCs w:val="32"/>
        </w:rPr>
        <w:t>人员退休减少</w:t>
      </w:r>
      <w:r>
        <w:rPr>
          <w:rFonts w:ascii="仿宋" w:hAnsi="仿宋" w:eastAsia="仿宋" w:cs="仿宋"/>
          <w:sz w:val="32"/>
          <w:szCs w:val="32"/>
        </w:rPr>
        <w:t>2</w:t>
      </w:r>
      <w:r>
        <w:rPr>
          <w:rFonts w:hint="eastAsia" w:ascii="仿宋" w:hAnsi="仿宋" w:eastAsia="仿宋" w:cs="仿宋"/>
          <w:sz w:val="32"/>
          <w:szCs w:val="32"/>
        </w:rPr>
        <w:t>人及环境卫生治理经费投入略有所减少</w:t>
      </w:r>
      <w:r>
        <w:rPr>
          <w:rFonts w:hint="eastAsia" w:ascii="仿宋_GB2312" w:hAnsi="Times New Roman" w:eastAsia="仿宋_GB2312" w:cs="DengXian-Regular"/>
          <w:sz w:val="32"/>
          <w:szCs w:val="32"/>
        </w:rPr>
        <w:t>。</w:t>
      </w:r>
    </w:p>
    <w:p>
      <w:pPr>
        <w:keepNext/>
        <w:keepLines/>
        <w:snapToGrid w:val="0"/>
        <w:spacing w:line="580" w:lineRule="exact"/>
        <w:ind w:firstLine="640" w:firstLineChars="200"/>
        <w:outlineLvl w:val="1"/>
        <w:rPr>
          <w:rFonts w:ascii="黑体" w:hAnsi="Calibri" w:eastAsia="黑体"/>
          <w:sz w:val="32"/>
          <w:szCs w:val="32"/>
        </w:rPr>
      </w:pPr>
      <w:r>
        <w:rPr>
          <w:rFonts w:hint="eastAsia" w:ascii="黑体" w:hAnsi="Calibri" w:eastAsia="黑体"/>
          <w:sz w:val="32"/>
          <w:szCs w:val="32"/>
        </w:rPr>
        <w:t>二、收入决算情况说明</w:t>
      </w:r>
    </w:p>
    <w:p>
      <w:pPr>
        <w:adjustRightInd w:val="0"/>
        <w:snapToGrid w:val="0"/>
        <w:spacing w:line="580" w:lineRule="exact"/>
        <w:ind w:firstLine="640" w:firstLineChars="200"/>
        <w:rPr>
          <w:rFonts w:ascii="黑体" w:hAnsi="Calibri" w:eastAsia="黑体"/>
          <w:b/>
          <w:bCs/>
          <w:sz w:val="32"/>
          <w:szCs w:val="32"/>
        </w:rPr>
      </w:pP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年度本年收入合计</w:t>
      </w:r>
      <w:r>
        <w:rPr>
          <w:rFonts w:ascii="仿宋_GB2312" w:hAnsi="Times New Roman" w:eastAsia="仿宋_GB2312" w:cs="DengXian-Regular"/>
          <w:sz w:val="32"/>
          <w:szCs w:val="32"/>
        </w:rPr>
        <w:t>689.68</w:t>
      </w:r>
      <w:r>
        <w:rPr>
          <w:rFonts w:hint="eastAsia" w:ascii="仿宋_GB2312" w:hAnsi="Times New Roman" w:eastAsia="仿宋_GB2312" w:cs="DengXian-Regular"/>
          <w:sz w:val="32"/>
          <w:szCs w:val="32"/>
        </w:rPr>
        <w:t>万元，其中：财政拨款收入</w:t>
      </w:r>
      <w:r>
        <w:rPr>
          <w:rFonts w:ascii="仿宋_GB2312" w:hAnsi="Times New Roman" w:eastAsia="仿宋_GB2312" w:cs="DengXian-Regular"/>
          <w:sz w:val="32"/>
          <w:szCs w:val="32"/>
        </w:rPr>
        <w:t>689.68</w:t>
      </w:r>
      <w:r>
        <w:rPr>
          <w:rFonts w:hint="eastAsia" w:ascii="仿宋_GB2312" w:hAnsi="Times New Roman" w:eastAsia="仿宋_GB2312" w:cs="DengXian-Regular"/>
          <w:sz w:val="32"/>
          <w:szCs w:val="32"/>
        </w:rPr>
        <w:t>万元，占</w:t>
      </w:r>
      <w:r>
        <w:rPr>
          <w:rFonts w:ascii="仿宋_GB2312" w:hAnsi="Times New Roman" w:eastAsia="仿宋_GB2312" w:cs="DengXian-Regular"/>
          <w:sz w:val="32"/>
          <w:szCs w:val="32"/>
        </w:rPr>
        <w:t>100%</w:t>
      </w:r>
      <w:r>
        <w:rPr>
          <w:rFonts w:hint="eastAsia" w:ascii="仿宋_GB2312" w:hAnsi="Times New Roman" w:eastAsia="仿宋_GB2312" w:cs="DengXian-Regular"/>
          <w:sz w:val="32"/>
          <w:szCs w:val="32"/>
        </w:rPr>
        <w:t>；事业收入</w:t>
      </w:r>
      <w:r>
        <w:rPr>
          <w:rFonts w:ascii="仿宋_GB2312" w:hAnsi="Times New Roman" w:eastAsia="仿宋_GB2312" w:cs="DengXian-Regular"/>
          <w:sz w:val="32"/>
          <w:szCs w:val="32"/>
        </w:rPr>
        <w:t>0</w:t>
      </w:r>
      <w:r>
        <w:rPr>
          <w:rFonts w:hint="eastAsia" w:ascii="仿宋_GB2312" w:hAnsi="Times New Roman" w:eastAsia="仿宋_GB2312" w:cs="DengXian-Regular"/>
          <w:sz w:val="32"/>
          <w:szCs w:val="32"/>
        </w:rPr>
        <w:t>万元，占</w:t>
      </w:r>
      <w:r>
        <w:rPr>
          <w:rFonts w:ascii="仿宋_GB2312" w:hAnsi="Times New Roman" w:eastAsia="仿宋_GB2312" w:cs="DengXian-Regular"/>
          <w:sz w:val="32"/>
          <w:szCs w:val="32"/>
        </w:rPr>
        <w:t>0%</w:t>
      </w:r>
      <w:r>
        <w:rPr>
          <w:rFonts w:hint="eastAsia" w:ascii="仿宋_GB2312" w:hAnsi="Times New Roman" w:eastAsia="仿宋_GB2312" w:cs="DengXian-Regular"/>
          <w:sz w:val="32"/>
          <w:szCs w:val="32"/>
        </w:rPr>
        <w:t>；经营收入</w:t>
      </w:r>
      <w:r>
        <w:rPr>
          <w:rFonts w:ascii="仿宋_GB2312" w:hAnsi="Times New Roman" w:eastAsia="仿宋_GB2312" w:cs="DengXian-Regular"/>
          <w:sz w:val="32"/>
          <w:szCs w:val="32"/>
        </w:rPr>
        <w:t>0</w:t>
      </w:r>
      <w:r>
        <w:rPr>
          <w:rFonts w:hint="eastAsia" w:ascii="仿宋_GB2312" w:hAnsi="Times New Roman" w:eastAsia="仿宋_GB2312" w:cs="DengXian-Regular"/>
          <w:sz w:val="32"/>
          <w:szCs w:val="32"/>
        </w:rPr>
        <w:t>万元，占</w:t>
      </w:r>
      <w:r>
        <w:rPr>
          <w:rFonts w:ascii="仿宋_GB2312" w:hAnsi="Times New Roman" w:eastAsia="仿宋_GB2312" w:cs="DengXian-Regular"/>
          <w:sz w:val="32"/>
          <w:szCs w:val="32"/>
        </w:rPr>
        <w:t>0%</w:t>
      </w:r>
      <w:r>
        <w:rPr>
          <w:rFonts w:hint="eastAsia" w:ascii="仿宋_GB2312" w:hAnsi="Times New Roman" w:eastAsia="仿宋_GB2312" w:cs="DengXian-Regular"/>
          <w:sz w:val="32"/>
          <w:szCs w:val="32"/>
        </w:rPr>
        <w:t>；其他收入</w:t>
      </w:r>
      <w:r>
        <w:rPr>
          <w:rFonts w:ascii="仿宋_GB2312" w:hAnsi="Times New Roman" w:eastAsia="仿宋_GB2312" w:cs="DengXian-Regular"/>
          <w:sz w:val="32"/>
          <w:szCs w:val="32"/>
        </w:rPr>
        <w:t>0</w:t>
      </w:r>
      <w:r>
        <w:rPr>
          <w:rFonts w:hint="eastAsia" w:ascii="仿宋_GB2312" w:hAnsi="Times New Roman" w:eastAsia="仿宋_GB2312" w:cs="DengXian-Regular"/>
          <w:sz w:val="32"/>
          <w:szCs w:val="32"/>
        </w:rPr>
        <w:t>万元，占</w:t>
      </w:r>
      <w:r>
        <w:rPr>
          <w:rFonts w:ascii="仿宋_GB2312" w:hAnsi="Times New Roman" w:eastAsia="仿宋_GB2312" w:cs="DengXian-Regular"/>
          <w:sz w:val="32"/>
          <w:szCs w:val="32"/>
        </w:rPr>
        <w:t>0%</w:t>
      </w:r>
      <w:r>
        <w:rPr>
          <w:rFonts w:hint="eastAsia" w:ascii="仿宋_GB2312" w:hAnsi="Times New Roman" w:eastAsia="仿宋_GB2312" w:cs="DengXian-Regular"/>
          <w:sz w:val="32"/>
          <w:szCs w:val="32"/>
        </w:rPr>
        <w:t>。</w:t>
      </w:r>
    </w:p>
    <w:p>
      <w:pPr>
        <w:keepNext/>
        <w:keepLines/>
        <w:snapToGrid w:val="0"/>
        <w:spacing w:line="580" w:lineRule="exact"/>
        <w:ind w:firstLine="640" w:firstLineChars="200"/>
        <w:outlineLvl w:val="1"/>
        <w:rPr>
          <w:rFonts w:ascii="黑体" w:hAnsi="Calibri" w:eastAsia="黑体"/>
          <w:sz w:val="32"/>
          <w:szCs w:val="32"/>
        </w:rPr>
      </w:pPr>
      <w:r>
        <w:rPr>
          <w:rFonts w:hint="eastAsia" w:ascii="黑体" w:hAnsi="Calibri" w:eastAsia="黑体"/>
          <w:sz w:val="32"/>
          <w:szCs w:val="32"/>
        </w:rPr>
        <w:t>三、支出决算情况说明</w:t>
      </w:r>
    </w:p>
    <w:p>
      <w:pPr>
        <w:adjustRightInd w:val="0"/>
        <w:snapToGrid w:val="0"/>
        <w:spacing w:line="580" w:lineRule="exact"/>
        <w:ind w:firstLine="640" w:firstLineChars="200"/>
        <w:rPr>
          <w:rFonts w:ascii="黑体" w:hAnsi="Calibri" w:eastAsia="黑体"/>
          <w:b/>
          <w:bCs/>
          <w:sz w:val="32"/>
          <w:szCs w:val="32"/>
        </w:rPr>
      </w:pP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年度本年支出合计</w:t>
      </w:r>
      <w:r>
        <w:rPr>
          <w:rFonts w:ascii="仿宋_GB2312" w:hAnsi="Times New Roman" w:eastAsia="仿宋_GB2312" w:cs="DengXian-Regular"/>
          <w:sz w:val="32"/>
          <w:szCs w:val="32"/>
        </w:rPr>
        <w:t>689.68</w:t>
      </w:r>
      <w:r>
        <w:rPr>
          <w:rFonts w:hint="eastAsia" w:ascii="仿宋_GB2312" w:hAnsi="Times New Roman" w:eastAsia="仿宋_GB2312" w:cs="DengXian-Regular"/>
          <w:sz w:val="32"/>
          <w:szCs w:val="32"/>
        </w:rPr>
        <w:t>万元，其中：基本支出</w:t>
      </w:r>
      <w:r>
        <w:rPr>
          <w:rFonts w:ascii="仿宋_GB2312" w:hAnsi="Times New Roman" w:eastAsia="仿宋_GB2312" w:cs="DengXian-Regular"/>
          <w:sz w:val="32"/>
          <w:szCs w:val="32"/>
        </w:rPr>
        <w:t>626.52</w:t>
      </w:r>
      <w:r>
        <w:rPr>
          <w:rFonts w:hint="eastAsia" w:ascii="仿宋_GB2312" w:hAnsi="Times New Roman" w:eastAsia="仿宋_GB2312" w:cs="DengXian-Regular"/>
          <w:sz w:val="32"/>
          <w:szCs w:val="32"/>
        </w:rPr>
        <w:t>万元，占</w:t>
      </w:r>
      <w:r>
        <w:rPr>
          <w:rFonts w:ascii="仿宋_GB2312" w:hAnsi="Times New Roman" w:eastAsia="仿宋_GB2312" w:cs="DengXian-Regular"/>
          <w:sz w:val="32"/>
          <w:szCs w:val="32"/>
        </w:rPr>
        <w:t>90.84%</w:t>
      </w:r>
      <w:r>
        <w:rPr>
          <w:rFonts w:hint="eastAsia" w:ascii="仿宋_GB2312" w:hAnsi="Times New Roman" w:eastAsia="仿宋_GB2312" w:cs="DengXian-Regular"/>
          <w:sz w:val="32"/>
          <w:szCs w:val="32"/>
        </w:rPr>
        <w:t>；项目支出</w:t>
      </w:r>
      <w:r>
        <w:rPr>
          <w:rFonts w:ascii="仿宋_GB2312" w:hAnsi="Times New Roman" w:eastAsia="仿宋_GB2312" w:cs="DengXian-Regular"/>
          <w:sz w:val="32"/>
          <w:szCs w:val="32"/>
        </w:rPr>
        <w:t>63.16</w:t>
      </w:r>
      <w:r>
        <w:rPr>
          <w:rFonts w:hint="eastAsia" w:ascii="仿宋_GB2312" w:hAnsi="Times New Roman" w:eastAsia="仿宋_GB2312" w:cs="DengXian-Regular"/>
          <w:sz w:val="32"/>
          <w:szCs w:val="32"/>
        </w:rPr>
        <w:t>万元，占</w:t>
      </w:r>
      <w:r>
        <w:rPr>
          <w:rFonts w:ascii="仿宋_GB2312" w:hAnsi="Times New Roman" w:eastAsia="仿宋_GB2312" w:cs="DengXian-Regular"/>
          <w:sz w:val="32"/>
          <w:szCs w:val="32"/>
        </w:rPr>
        <w:t>9.16%</w:t>
      </w:r>
      <w:r>
        <w:rPr>
          <w:rFonts w:hint="eastAsia" w:ascii="仿宋_GB2312" w:hAnsi="Times New Roman" w:eastAsia="仿宋_GB2312" w:cs="DengXian-Regular"/>
          <w:sz w:val="32"/>
          <w:szCs w:val="32"/>
        </w:rPr>
        <w:t>；经营支出</w:t>
      </w:r>
      <w:r>
        <w:rPr>
          <w:rFonts w:ascii="仿宋_GB2312" w:hAnsi="Times New Roman" w:eastAsia="仿宋_GB2312" w:cs="DengXian-Regular"/>
          <w:sz w:val="32"/>
          <w:szCs w:val="32"/>
        </w:rPr>
        <w:t>0</w:t>
      </w:r>
      <w:r>
        <w:rPr>
          <w:rFonts w:hint="eastAsia" w:ascii="仿宋_GB2312" w:hAnsi="Times New Roman" w:eastAsia="仿宋_GB2312" w:cs="DengXian-Regular"/>
          <w:sz w:val="32"/>
          <w:szCs w:val="32"/>
        </w:rPr>
        <w:t>万元，占</w:t>
      </w:r>
      <w:r>
        <w:rPr>
          <w:rFonts w:ascii="仿宋_GB2312" w:hAnsi="Times New Roman" w:eastAsia="仿宋_GB2312" w:cs="DengXian-Regular"/>
          <w:sz w:val="32"/>
          <w:szCs w:val="32"/>
        </w:rPr>
        <w:t>0%</w:t>
      </w:r>
      <w:r>
        <w:rPr>
          <w:rFonts w:hint="eastAsia" w:ascii="仿宋_GB2312" w:hAnsi="Times New Roman" w:eastAsia="仿宋_GB2312" w:cs="DengXian-Regular"/>
          <w:sz w:val="32"/>
          <w:szCs w:val="32"/>
        </w:rPr>
        <w:t>。</w:t>
      </w:r>
    </w:p>
    <w:p>
      <w:pPr>
        <w:keepNext/>
        <w:keepLines/>
        <w:snapToGrid w:val="0"/>
        <w:spacing w:line="580" w:lineRule="exact"/>
        <w:ind w:firstLine="640" w:firstLineChars="200"/>
        <w:outlineLvl w:val="1"/>
        <w:rPr>
          <w:rFonts w:ascii="黑体" w:hAnsi="Calibri" w:eastAsia="黑体"/>
          <w:sz w:val="32"/>
          <w:szCs w:val="32"/>
        </w:rPr>
      </w:pPr>
      <w:r>
        <w:rPr>
          <w:rFonts w:hint="eastAsia" w:ascii="黑体" w:hAnsi="Calibri" w:eastAsia="黑体"/>
          <w:sz w:val="32"/>
          <w:szCs w:val="32"/>
        </w:rPr>
        <w:t>四、</w:t>
      </w:r>
      <w:r>
        <w:rPr>
          <w:rFonts w:hint="eastAsia" w:ascii="黑体" w:hAnsi="Cambria" w:eastAsia="黑体" w:cs="黑体"/>
          <w:kern w:val="0"/>
          <w:sz w:val="32"/>
          <w:szCs w:val="32"/>
        </w:rPr>
        <w:t>财政</w:t>
      </w:r>
      <w:r>
        <w:rPr>
          <w:rFonts w:hint="eastAsia" w:ascii="黑体" w:hAnsi="Calibri" w:eastAsia="黑体"/>
          <w:sz w:val="32"/>
          <w:szCs w:val="32"/>
        </w:rPr>
        <w:t>拨款收入支出决算总体情况说明</w:t>
      </w:r>
    </w:p>
    <w:p>
      <w:pPr>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（一）财政拨款收支与</w:t>
      </w:r>
      <w:r>
        <w:rPr>
          <w:rFonts w:ascii="楷体_GB2312" w:hAnsi="Times New Roman" w:eastAsia="楷体_GB2312" w:cs="DengXian-Bold"/>
          <w:b/>
          <w:bCs/>
          <w:sz w:val="32"/>
          <w:szCs w:val="32"/>
        </w:rPr>
        <w:t xml:space="preserve">2018 </w:t>
      </w:r>
      <w:r>
        <w:rPr>
          <w:rFonts w:hint="eastAsia" w:ascii="楷体_GB2312" w:hAnsi="Times New Roman" w:eastAsia="楷体_GB2312" w:cs="DengXian-Bold"/>
          <w:b/>
          <w:bCs/>
          <w:sz w:val="32"/>
          <w:szCs w:val="32"/>
        </w:rPr>
        <w:t>年度决算对比情况</w:t>
      </w:r>
    </w:p>
    <w:p>
      <w:pPr>
        <w:adjustRightInd w:val="0"/>
        <w:snapToGrid w:val="0"/>
        <w:spacing w:line="580" w:lineRule="exact"/>
        <w:ind w:firstLine="640" w:firstLineChars="200"/>
        <w:rPr>
          <w:rFonts w:ascii="楷体_GB2312" w:hAnsi="Times New Roman" w:eastAsia="楷体_GB2312" w:cs="DengXian-Bold"/>
          <w:b/>
          <w:bCs/>
          <w:sz w:val="32"/>
          <w:szCs w:val="32"/>
        </w:rPr>
      </w:pP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年度形成的财政拨款收支均为一般公共预算财政拨款，其中本年收入</w:t>
      </w:r>
      <w:r>
        <w:rPr>
          <w:rFonts w:ascii="仿宋_GB2312" w:hAnsi="Times New Roman" w:eastAsia="仿宋_GB2312" w:cs="DengXian-Regular"/>
          <w:sz w:val="32"/>
          <w:szCs w:val="32"/>
        </w:rPr>
        <w:t>689.68</w:t>
      </w:r>
      <w:r>
        <w:rPr>
          <w:rFonts w:hint="eastAsia" w:ascii="仿宋_GB2312" w:hAnsi="Times New Roman" w:eastAsia="仿宋_GB2312" w:cs="DengXian-Regular"/>
          <w:sz w:val="32"/>
          <w:szCs w:val="32"/>
        </w:rPr>
        <w:t>万元</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比</w:t>
      </w:r>
      <w:r>
        <w:rPr>
          <w:rFonts w:ascii="仿宋_GB2312" w:hAnsi="Times New Roman" w:eastAsia="仿宋_GB2312" w:cs="DengXian-Regular"/>
          <w:sz w:val="32"/>
          <w:szCs w:val="32"/>
        </w:rPr>
        <w:t>2018</w:t>
      </w:r>
      <w:r>
        <w:rPr>
          <w:rFonts w:hint="eastAsia" w:ascii="仿宋_GB2312" w:hAnsi="Times New Roman" w:eastAsia="仿宋_GB2312" w:cs="DengXian-Regular"/>
          <w:sz w:val="32"/>
          <w:szCs w:val="32"/>
        </w:rPr>
        <w:t>年度减少</w:t>
      </w:r>
      <w:r>
        <w:rPr>
          <w:rFonts w:ascii="仿宋_GB2312" w:hAnsi="Times New Roman" w:eastAsia="仿宋_GB2312" w:cs="DengXian-Regular"/>
          <w:sz w:val="32"/>
          <w:szCs w:val="32"/>
        </w:rPr>
        <w:t>697.41</w:t>
      </w:r>
      <w:r>
        <w:rPr>
          <w:rFonts w:hint="eastAsia" w:ascii="仿宋_GB2312" w:hAnsi="Times New Roman" w:eastAsia="仿宋_GB2312" w:cs="DengXian-Regular"/>
          <w:sz w:val="32"/>
          <w:szCs w:val="32"/>
        </w:rPr>
        <w:t>万元，降低</w:t>
      </w:r>
      <w:r>
        <w:rPr>
          <w:rFonts w:ascii="仿宋_GB2312" w:hAnsi="Times New Roman" w:eastAsia="仿宋_GB2312" w:cs="DengXian-Regular"/>
          <w:sz w:val="32"/>
          <w:szCs w:val="32"/>
        </w:rPr>
        <w:t>50.28%</w:t>
      </w:r>
      <w:r>
        <w:rPr>
          <w:rFonts w:hint="eastAsia" w:ascii="仿宋_GB2312" w:hAnsi="Times New Roman" w:eastAsia="仿宋_GB2312" w:cs="DengXian-Regular"/>
          <w:sz w:val="32"/>
          <w:szCs w:val="32"/>
        </w:rPr>
        <w:t>，主要是</w:t>
      </w:r>
      <w:r>
        <w:rPr>
          <w:rFonts w:hint="eastAsia" w:ascii="仿宋" w:hAnsi="仿宋" w:eastAsia="仿宋" w:cs="仿宋"/>
          <w:sz w:val="32"/>
          <w:szCs w:val="32"/>
        </w:rPr>
        <w:t>人员退休减少</w:t>
      </w:r>
      <w:r>
        <w:rPr>
          <w:rFonts w:ascii="仿宋" w:hAnsi="仿宋" w:eastAsia="仿宋" w:cs="仿宋"/>
          <w:sz w:val="32"/>
          <w:szCs w:val="32"/>
        </w:rPr>
        <w:t>2</w:t>
      </w:r>
      <w:r>
        <w:rPr>
          <w:rFonts w:hint="eastAsia" w:ascii="仿宋" w:hAnsi="仿宋" w:eastAsia="仿宋" w:cs="仿宋"/>
          <w:sz w:val="32"/>
          <w:szCs w:val="32"/>
        </w:rPr>
        <w:t>人及环境卫生治理经费投入略有所减少</w:t>
      </w:r>
      <w:r>
        <w:rPr>
          <w:rFonts w:hint="eastAsia" w:ascii="仿宋_GB2312" w:hAnsi="Times New Roman" w:eastAsia="仿宋_GB2312" w:cs="DengXian-Regular"/>
          <w:sz w:val="32"/>
          <w:szCs w:val="32"/>
        </w:rPr>
        <w:t>；本年支出</w:t>
      </w:r>
      <w:r>
        <w:rPr>
          <w:rFonts w:ascii="仿宋_GB2312" w:hAnsi="Times New Roman" w:eastAsia="仿宋_GB2312" w:cs="DengXian-Regular"/>
          <w:sz w:val="32"/>
          <w:szCs w:val="32"/>
        </w:rPr>
        <w:t>689.68</w:t>
      </w:r>
      <w:r>
        <w:rPr>
          <w:rFonts w:hint="eastAsia" w:ascii="仿宋_GB2312" w:hAnsi="Times New Roman" w:eastAsia="仿宋_GB2312" w:cs="DengXian-Regular"/>
          <w:sz w:val="32"/>
          <w:szCs w:val="32"/>
        </w:rPr>
        <w:t>万元，减少</w:t>
      </w:r>
      <w:r>
        <w:rPr>
          <w:rFonts w:ascii="仿宋_GB2312" w:hAnsi="Times New Roman" w:eastAsia="仿宋_GB2312" w:cs="DengXian-Regular"/>
          <w:sz w:val="32"/>
          <w:szCs w:val="32"/>
        </w:rPr>
        <w:t>697.41</w:t>
      </w:r>
      <w:r>
        <w:rPr>
          <w:rFonts w:hint="eastAsia" w:ascii="仿宋_GB2312" w:hAnsi="Times New Roman" w:eastAsia="仿宋_GB2312" w:cs="DengXian-Regular"/>
          <w:sz w:val="32"/>
          <w:szCs w:val="32"/>
        </w:rPr>
        <w:t>万元，降低</w:t>
      </w:r>
      <w:r>
        <w:rPr>
          <w:rFonts w:ascii="仿宋_GB2312" w:hAnsi="Times New Roman" w:eastAsia="仿宋_GB2312" w:cs="DengXian-Regular"/>
          <w:sz w:val="32"/>
          <w:szCs w:val="32"/>
        </w:rPr>
        <w:t>50.28%</w:t>
      </w:r>
      <w:r>
        <w:rPr>
          <w:rFonts w:hint="eastAsia" w:ascii="仿宋_GB2312" w:hAnsi="Times New Roman" w:eastAsia="仿宋_GB2312" w:cs="DengXian-Regular"/>
          <w:sz w:val="32"/>
          <w:szCs w:val="32"/>
        </w:rPr>
        <w:t>，主要是</w:t>
      </w:r>
      <w:r>
        <w:rPr>
          <w:rFonts w:hint="eastAsia" w:ascii="仿宋" w:hAnsi="仿宋" w:eastAsia="仿宋" w:cs="仿宋"/>
          <w:sz w:val="32"/>
          <w:szCs w:val="32"/>
        </w:rPr>
        <w:t>人员退休减少</w:t>
      </w:r>
      <w:r>
        <w:rPr>
          <w:rFonts w:ascii="仿宋" w:hAnsi="仿宋" w:eastAsia="仿宋" w:cs="仿宋"/>
          <w:sz w:val="32"/>
          <w:szCs w:val="32"/>
        </w:rPr>
        <w:t>2</w:t>
      </w:r>
      <w:r>
        <w:rPr>
          <w:rFonts w:hint="eastAsia" w:ascii="仿宋" w:hAnsi="仿宋" w:eastAsia="仿宋" w:cs="仿宋"/>
          <w:sz w:val="32"/>
          <w:szCs w:val="32"/>
        </w:rPr>
        <w:t>人及环境卫生治理经费投入略有所减少</w:t>
      </w:r>
      <w:r>
        <w:rPr>
          <w:rFonts w:hint="eastAsia" w:ascii="仿宋_GB2312" w:hAnsi="Times New Roman" w:eastAsia="仿宋_GB2312" w:cs="DengXian-Regular"/>
          <w:sz w:val="32"/>
          <w:szCs w:val="32"/>
        </w:rPr>
        <w:t>。</w:t>
      </w:r>
    </w:p>
    <w:p>
      <w:pPr>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（二）财政拨款收支与年初预算数对比情况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年度一般公共预算财政拨款收入</w:t>
      </w:r>
      <w:r>
        <w:rPr>
          <w:rFonts w:ascii="仿宋_GB2312" w:hAnsi="Times New Roman" w:eastAsia="仿宋_GB2312" w:cs="DengXian-Regular"/>
          <w:sz w:val="32"/>
          <w:szCs w:val="32"/>
        </w:rPr>
        <w:t>689.68</w:t>
      </w:r>
      <w:r>
        <w:rPr>
          <w:rFonts w:hint="eastAsia" w:ascii="仿宋_GB2312" w:hAnsi="Times New Roman" w:eastAsia="仿宋_GB2312" w:cs="DengXian-Regular"/>
          <w:sz w:val="32"/>
          <w:szCs w:val="32"/>
        </w:rPr>
        <w:t>万元，完成年初预算的</w:t>
      </w:r>
      <w:r>
        <w:rPr>
          <w:rFonts w:ascii="仿宋_GB2312" w:hAnsi="Times New Roman" w:eastAsia="仿宋_GB2312" w:cs="DengXian-Regular"/>
          <w:sz w:val="32"/>
          <w:szCs w:val="32"/>
        </w:rPr>
        <w:t>104.16%,</w:t>
      </w:r>
      <w:r>
        <w:rPr>
          <w:rFonts w:hint="eastAsia" w:ascii="仿宋_GB2312" w:hAnsi="Times New Roman" w:eastAsia="仿宋_GB2312" w:cs="DengXian-Regular"/>
          <w:sz w:val="32"/>
          <w:szCs w:val="32"/>
        </w:rPr>
        <w:t>比年初预算增加</w:t>
      </w:r>
      <w:r>
        <w:rPr>
          <w:rFonts w:ascii="仿宋_GB2312" w:hAnsi="Times New Roman" w:eastAsia="仿宋_GB2312" w:cs="DengXian-Regular"/>
          <w:sz w:val="32"/>
          <w:szCs w:val="32"/>
        </w:rPr>
        <w:t>27.52</w:t>
      </w:r>
      <w:r>
        <w:rPr>
          <w:rFonts w:hint="eastAsia" w:ascii="仿宋_GB2312" w:hAnsi="Times New Roman" w:eastAsia="仿宋_GB2312" w:cs="DengXian-Regular"/>
          <w:sz w:val="32"/>
          <w:szCs w:val="32"/>
        </w:rPr>
        <w:t>万元，决算数大于预算数主要原因是人员增资及环境治理加大了资金投入；本年支出</w:t>
      </w:r>
      <w:r>
        <w:rPr>
          <w:rFonts w:ascii="仿宋_GB2312" w:hAnsi="Times New Roman" w:eastAsia="仿宋_GB2312" w:cs="DengXian-Regular"/>
          <w:sz w:val="32"/>
          <w:szCs w:val="32"/>
        </w:rPr>
        <w:t>689.68</w:t>
      </w:r>
      <w:r>
        <w:rPr>
          <w:rFonts w:hint="eastAsia" w:ascii="仿宋_GB2312" w:hAnsi="Times New Roman" w:eastAsia="仿宋_GB2312" w:cs="DengXian-Regular"/>
          <w:sz w:val="32"/>
          <w:szCs w:val="32"/>
        </w:rPr>
        <w:t>万元，完成年初预算的</w:t>
      </w:r>
      <w:r>
        <w:rPr>
          <w:rFonts w:ascii="仿宋_GB2312" w:hAnsi="Times New Roman" w:eastAsia="仿宋_GB2312" w:cs="DengXian-Regular"/>
          <w:sz w:val="32"/>
          <w:szCs w:val="32"/>
        </w:rPr>
        <w:t>104.16%,</w:t>
      </w:r>
      <w:r>
        <w:rPr>
          <w:rFonts w:hint="eastAsia" w:ascii="仿宋_GB2312" w:hAnsi="Times New Roman" w:eastAsia="仿宋_GB2312" w:cs="DengXian-Regular"/>
          <w:sz w:val="32"/>
          <w:szCs w:val="32"/>
        </w:rPr>
        <w:t>比年初预算增加</w:t>
      </w:r>
      <w:r>
        <w:rPr>
          <w:rFonts w:ascii="仿宋_GB2312" w:hAnsi="Times New Roman" w:eastAsia="仿宋_GB2312" w:cs="DengXian-Regular"/>
          <w:sz w:val="32"/>
          <w:szCs w:val="32"/>
        </w:rPr>
        <w:t>27.52</w:t>
      </w:r>
      <w:r>
        <w:rPr>
          <w:rFonts w:hint="eastAsia" w:ascii="仿宋_GB2312" w:hAnsi="Times New Roman" w:eastAsia="仿宋_GB2312" w:cs="DengXian-Regular"/>
          <w:sz w:val="32"/>
          <w:szCs w:val="32"/>
        </w:rPr>
        <w:t>万元，决算数大于预算数主要原因是主要是人员增资及环境治理加大了资金投入。</w:t>
      </w:r>
    </w:p>
    <w:p>
      <w:pPr>
        <w:numPr>
          <w:ilvl w:val="0"/>
          <w:numId w:val="1"/>
        </w:num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财政拨款支出决算结构情况。</w:t>
      </w:r>
    </w:p>
    <w:p>
      <w:pPr>
        <w:adjustRightInd w:val="0"/>
        <w:snapToGrid w:val="0"/>
        <w:spacing w:line="580" w:lineRule="exact"/>
        <w:ind w:firstLine="640" w:firstLineChars="200"/>
        <w:rPr>
          <w:rFonts w:ascii="楷体_GB2312" w:hAnsi="Times New Roman" w:eastAsia="楷体_GB2312" w:cs="DengXian-Bold"/>
          <w:b/>
          <w:bCs/>
          <w:sz w:val="32"/>
          <w:szCs w:val="32"/>
        </w:rPr>
      </w:pPr>
      <w:r>
        <w:rPr>
          <w:rFonts w:ascii="仿宋_GB2312" w:eastAsia="仿宋_GB2312" w:cs="DengXian-Regular"/>
          <w:sz w:val="32"/>
          <w:szCs w:val="32"/>
        </w:rPr>
        <w:t xml:space="preserve">2019 </w:t>
      </w:r>
      <w:r>
        <w:rPr>
          <w:rFonts w:hint="eastAsia" w:ascii="仿宋_GB2312" w:eastAsia="仿宋_GB2312" w:cs="DengXian-Regular"/>
          <w:sz w:val="32"/>
          <w:szCs w:val="32"/>
        </w:rPr>
        <w:t>年度财政拨款支出</w:t>
      </w:r>
      <w:r>
        <w:rPr>
          <w:rFonts w:ascii="仿宋_GB2312" w:eastAsia="仿宋_GB2312" w:cs="DengXian-Regular"/>
          <w:sz w:val="32"/>
          <w:szCs w:val="32"/>
        </w:rPr>
        <w:t>689.68</w:t>
      </w:r>
      <w:r>
        <w:rPr>
          <w:rFonts w:hint="eastAsia" w:ascii="仿宋_GB2312" w:eastAsia="仿宋_GB2312" w:cs="DengXian-Regular"/>
          <w:sz w:val="32"/>
          <w:szCs w:val="32"/>
        </w:rPr>
        <w:t>万元，主要用于以下方面一般公共服务支出</w:t>
      </w:r>
      <w:r>
        <w:rPr>
          <w:rFonts w:ascii="仿宋_GB2312" w:eastAsia="仿宋_GB2312" w:cs="DengXian-Regular"/>
          <w:sz w:val="32"/>
          <w:szCs w:val="32"/>
        </w:rPr>
        <w:t>559.52</w:t>
      </w:r>
      <w:r>
        <w:rPr>
          <w:rFonts w:hint="eastAsia" w:ascii="仿宋_GB2312" w:eastAsia="仿宋_GB2312" w:cs="DengXian-Regular"/>
          <w:sz w:val="32"/>
          <w:szCs w:val="32"/>
        </w:rPr>
        <w:t>万元，占</w:t>
      </w:r>
      <w:r>
        <w:rPr>
          <w:rFonts w:ascii="仿宋_GB2312" w:eastAsia="仿宋_GB2312" w:cs="DengXian-Regular"/>
          <w:sz w:val="32"/>
          <w:szCs w:val="32"/>
        </w:rPr>
        <w:t>81.13%</w:t>
      </w:r>
      <w:r>
        <w:rPr>
          <w:rFonts w:hint="eastAsia" w:ascii="仿宋_GB2312" w:eastAsia="仿宋_GB2312" w:cs="DengXian-Regular"/>
          <w:sz w:val="32"/>
          <w:szCs w:val="32"/>
        </w:rPr>
        <w:t>；卫生健康支出</w:t>
      </w:r>
      <w:r>
        <w:rPr>
          <w:rFonts w:ascii="仿宋_GB2312" w:eastAsia="仿宋_GB2312" w:cs="DengXian-Regular"/>
          <w:sz w:val="32"/>
          <w:szCs w:val="32"/>
        </w:rPr>
        <w:t>38.11</w:t>
      </w:r>
      <w:r>
        <w:rPr>
          <w:rFonts w:hint="eastAsia" w:ascii="仿宋_GB2312" w:eastAsia="仿宋_GB2312" w:cs="DengXian-Regular"/>
          <w:sz w:val="32"/>
          <w:szCs w:val="32"/>
        </w:rPr>
        <w:t>万元，占</w:t>
      </w:r>
      <w:r>
        <w:rPr>
          <w:rFonts w:ascii="仿宋_GB2312" w:eastAsia="仿宋_GB2312" w:cs="DengXian-Regular"/>
          <w:sz w:val="32"/>
          <w:szCs w:val="32"/>
        </w:rPr>
        <w:t>5.52%</w:t>
      </w:r>
      <w:r>
        <w:rPr>
          <w:rFonts w:hint="eastAsia" w:ascii="仿宋_GB2312" w:eastAsia="仿宋_GB2312" w:cs="DengXian-Regular"/>
          <w:sz w:val="32"/>
          <w:szCs w:val="32"/>
        </w:rPr>
        <w:t>；城乡社区支出</w:t>
      </w:r>
      <w:r>
        <w:rPr>
          <w:rFonts w:ascii="仿宋_GB2312" w:eastAsia="仿宋_GB2312" w:cs="DengXian-Regular"/>
          <w:sz w:val="32"/>
          <w:szCs w:val="32"/>
        </w:rPr>
        <w:t>63.16</w:t>
      </w:r>
      <w:r>
        <w:rPr>
          <w:rFonts w:hint="eastAsia" w:ascii="仿宋_GB2312" w:eastAsia="仿宋_GB2312" w:cs="DengXian-Regular"/>
          <w:sz w:val="32"/>
          <w:szCs w:val="32"/>
        </w:rPr>
        <w:t>万元，占</w:t>
      </w:r>
      <w:r>
        <w:rPr>
          <w:rFonts w:ascii="仿宋_GB2312" w:eastAsia="仿宋_GB2312" w:cs="DengXian-Regular"/>
          <w:sz w:val="32"/>
          <w:szCs w:val="32"/>
        </w:rPr>
        <w:t>9.16%</w:t>
      </w:r>
      <w:r>
        <w:rPr>
          <w:rFonts w:hint="eastAsia" w:ascii="仿宋_GB2312" w:eastAsia="仿宋_GB2312" w:cs="DengXian-Regular"/>
          <w:sz w:val="32"/>
          <w:szCs w:val="32"/>
        </w:rPr>
        <w:t>；农林水支出</w:t>
      </w:r>
      <w:r>
        <w:rPr>
          <w:rFonts w:ascii="仿宋_GB2312" w:eastAsia="仿宋_GB2312" w:cs="DengXian-Regular"/>
          <w:sz w:val="32"/>
          <w:szCs w:val="32"/>
        </w:rPr>
        <w:t>28.89</w:t>
      </w:r>
      <w:r>
        <w:rPr>
          <w:rFonts w:hint="eastAsia" w:ascii="仿宋_GB2312" w:eastAsia="仿宋_GB2312" w:cs="DengXian-Regular"/>
          <w:sz w:val="32"/>
          <w:szCs w:val="32"/>
        </w:rPr>
        <w:t>万元，占</w:t>
      </w:r>
      <w:r>
        <w:rPr>
          <w:rFonts w:ascii="仿宋_GB2312" w:eastAsia="仿宋_GB2312" w:cs="DengXian-Regular"/>
          <w:sz w:val="32"/>
          <w:szCs w:val="32"/>
        </w:rPr>
        <w:t xml:space="preserve"> 4.19%</w:t>
      </w:r>
      <w:r>
        <w:rPr>
          <w:rFonts w:hint="eastAsia" w:ascii="仿宋_GB2312" w:hAnsi="Times New Roman" w:eastAsia="仿宋_GB2312" w:cs="DengXian-Regular"/>
          <w:sz w:val="32"/>
          <w:szCs w:val="32"/>
        </w:rPr>
        <w:t>。</w:t>
      </w:r>
    </w:p>
    <w:p>
      <w:pPr>
        <w:adjustRightInd w:val="0"/>
        <w:snapToGrid w:val="0"/>
        <w:spacing w:line="580" w:lineRule="exact"/>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（四）一般公共预算基本支出决算情况说明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ascii="仿宋_GB2312" w:hAnsi="Times New Roman" w:eastAsia="仿宋_GB2312" w:cs="DengXian-Regular"/>
          <w:sz w:val="32"/>
          <w:szCs w:val="32"/>
        </w:rPr>
        <w:t xml:space="preserve">2019 </w:t>
      </w:r>
      <w:r>
        <w:rPr>
          <w:rFonts w:hint="eastAsia" w:ascii="仿宋_GB2312" w:hAnsi="Times New Roman" w:eastAsia="仿宋_GB2312" w:cs="DengXian-Regular"/>
          <w:sz w:val="32"/>
          <w:szCs w:val="32"/>
        </w:rPr>
        <w:t>年度财政拨款基本支出</w:t>
      </w:r>
      <w:r>
        <w:rPr>
          <w:rFonts w:ascii="仿宋_GB2312" w:hAnsi="Times New Roman" w:eastAsia="仿宋_GB2312" w:cs="DengXian-Regular"/>
          <w:sz w:val="32"/>
          <w:szCs w:val="32"/>
        </w:rPr>
        <w:t>626.52</w:t>
      </w:r>
      <w:r>
        <w:rPr>
          <w:rFonts w:hint="eastAsia" w:ascii="仿宋_GB2312" w:hAnsi="Times New Roman" w:eastAsia="仿宋_GB2312" w:cs="DengXian-Regular"/>
          <w:sz w:val="32"/>
          <w:szCs w:val="32"/>
        </w:rPr>
        <w:t>万元，其中：人员经费</w:t>
      </w:r>
      <w:r>
        <w:rPr>
          <w:rFonts w:ascii="仿宋_GB2312" w:hAnsi="Times New Roman" w:eastAsia="仿宋_GB2312" w:cs="DengXian-Regular"/>
          <w:sz w:val="32"/>
          <w:szCs w:val="32"/>
        </w:rPr>
        <w:t>486.92</w:t>
      </w:r>
      <w:r>
        <w:rPr>
          <w:rFonts w:hint="eastAsia" w:ascii="仿宋_GB2312" w:hAnsi="Times New Roman" w:eastAsia="仿宋_GB2312" w:cs="DengXian-Regular"/>
          <w:sz w:val="32"/>
          <w:szCs w:val="32"/>
        </w:rPr>
        <w:t>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公用经费</w:t>
      </w:r>
      <w:r>
        <w:rPr>
          <w:rFonts w:ascii="仿宋_GB2312" w:hAnsi="Times New Roman" w:eastAsia="仿宋_GB2312" w:cs="DengXian-Regular"/>
          <w:sz w:val="32"/>
          <w:szCs w:val="32"/>
        </w:rPr>
        <w:t>139.6</w:t>
      </w:r>
      <w:r>
        <w:rPr>
          <w:rFonts w:hint="eastAsia" w:ascii="仿宋_GB2312" w:hAnsi="Times New Roman" w:eastAsia="仿宋_GB2312" w:cs="DengXian-Regular"/>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pPr>
        <w:keepNext/>
        <w:keepLines/>
        <w:snapToGrid w:val="0"/>
        <w:spacing w:line="580" w:lineRule="exact"/>
        <w:ind w:firstLine="640" w:firstLineChars="200"/>
        <w:outlineLvl w:val="1"/>
        <w:rPr>
          <w:rFonts w:ascii="黑体" w:hAnsi="Calibri" w:eastAsia="黑体"/>
          <w:sz w:val="32"/>
          <w:szCs w:val="32"/>
        </w:rPr>
      </w:pPr>
      <w:r>
        <w:rPr>
          <w:rFonts w:hint="eastAsia" w:ascii="黑体" w:hAnsi="Calibri" w:eastAsia="黑体"/>
          <w:sz w:val="32"/>
          <w:szCs w:val="32"/>
        </w:rPr>
        <w:t>五、一般公共预算“三公”经费支出决算情况说明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年度“三公”经费支出共计</w:t>
      </w:r>
      <w:r>
        <w:rPr>
          <w:rFonts w:ascii="仿宋_GB2312" w:hAnsi="Times New Roman" w:eastAsia="仿宋_GB2312" w:cs="DengXian-Regular"/>
          <w:sz w:val="32"/>
          <w:szCs w:val="32"/>
        </w:rPr>
        <w:t>4.21</w:t>
      </w:r>
      <w:r>
        <w:rPr>
          <w:rFonts w:hint="eastAsia" w:ascii="仿宋_GB2312" w:hAnsi="Times New Roman" w:eastAsia="仿宋_GB2312" w:cs="DengXian-Regular"/>
          <w:sz w:val="32"/>
          <w:szCs w:val="32"/>
        </w:rPr>
        <w:t>万元，完成预算的</w:t>
      </w:r>
      <w:r>
        <w:rPr>
          <w:rFonts w:ascii="仿宋_GB2312" w:hAnsi="Times New Roman" w:eastAsia="仿宋_GB2312" w:cs="DengXian-Regular"/>
          <w:sz w:val="32"/>
          <w:szCs w:val="32"/>
        </w:rPr>
        <w:t>32.64%,</w:t>
      </w:r>
      <w:r>
        <w:rPr>
          <w:rFonts w:hint="eastAsia" w:ascii="仿宋_GB2312" w:hAnsi="Times New Roman" w:eastAsia="仿宋_GB2312" w:cs="DengXian-Regular"/>
          <w:sz w:val="32"/>
          <w:szCs w:val="32"/>
        </w:rPr>
        <w:t>较预算减少</w:t>
      </w:r>
      <w:r>
        <w:rPr>
          <w:rFonts w:ascii="仿宋_GB2312" w:hAnsi="Times New Roman" w:eastAsia="仿宋_GB2312" w:cs="DengXian-Regular"/>
          <w:sz w:val="32"/>
          <w:szCs w:val="32"/>
        </w:rPr>
        <w:t>8.69</w:t>
      </w:r>
      <w:r>
        <w:rPr>
          <w:rFonts w:hint="eastAsia" w:ascii="仿宋_GB2312" w:hAnsi="Times New Roman" w:eastAsia="仿宋_GB2312" w:cs="DengXian-Regular"/>
          <w:sz w:val="32"/>
          <w:szCs w:val="32"/>
        </w:rPr>
        <w:t>万元，降低</w:t>
      </w:r>
      <w:r>
        <w:rPr>
          <w:rFonts w:ascii="仿宋_GB2312" w:hAnsi="Times New Roman" w:eastAsia="仿宋_GB2312" w:cs="DengXian-Regular"/>
          <w:sz w:val="32"/>
          <w:szCs w:val="32"/>
        </w:rPr>
        <w:t>67.36%</w:t>
      </w:r>
      <w:r>
        <w:rPr>
          <w:rFonts w:hint="eastAsia" w:ascii="仿宋_GB2312" w:hAnsi="Times New Roman" w:eastAsia="仿宋_GB2312" w:cs="DengXian-Regular"/>
          <w:sz w:val="32"/>
          <w:szCs w:val="32"/>
        </w:rPr>
        <w:t>，</w:t>
      </w:r>
      <w:r>
        <w:rPr>
          <w:rFonts w:hint="eastAsia" w:ascii="仿宋_GB2312" w:eastAsia="仿宋_GB2312" w:cs="DengXian-Regular"/>
          <w:sz w:val="32"/>
          <w:szCs w:val="32"/>
        </w:rPr>
        <w:t>主要是</w:t>
      </w:r>
      <w:r>
        <w:rPr>
          <w:rFonts w:hint="eastAsia" w:ascii="仿宋" w:hAnsi="仿宋" w:eastAsia="仿宋" w:cs="仿宋"/>
          <w:sz w:val="32"/>
          <w:szCs w:val="32"/>
        </w:rPr>
        <w:t>公车运行维护费严格按管理制度执行</w:t>
      </w:r>
      <w:r>
        <w:rPr>
          <w:rFonts w:ascii="仿宋" w:hAnsi="仿宋" w:eastAsia="仿宋" w:cs="仿宋"/>
          <w:sz w:val="32"/>
          <w:szCs w:val="32"/>
        </w:rPr>
        <w:t xml:space="preserve">, </w:t>
      </w:r>
      <w:r>
        <w:rPr>
          <w:rFonts w:hint="eastAsia" w:ascii="仿宋" w:hAnsi="仿宋" w:eastAsia="仿宋" w:cs="仿宋"/>
          <w:sz w:val="32"/>
          <w:szCs w:val="32"/>
        </w:rPr>
        <w:t>定点维修、定点加油、统一保险和统一保养，节假日严格执行公务车辆封存制度，降低了公车运行维护费</w:t>
      </w:r>
      <w:r>
        <w:rPr>
          <w:rFonts w:hint="eastAsia" w:ascii="仿宋_GB2312" w:hAnsi="Times New Roman" w:eastAsia="仿宋_GB2312" w:cs="DengXian-Regular"/>
          <w:sz w:val="32"/>
          <w:szCs w:val="32"/>
        </w:rPr>
        <w:t>；较</w:t>
      </w:r>
      <w:r>
        <w:rPr>
          <w:rFonts w:ascii="仿宋_GB2312" w:hAnsi="Times New Roman" w:eastAsia="仿宋_GB2312" w:cs="DengXian-Regular"/>
          <w:sz w:val="32"/>
          <w:szCs w:val="32"/>
        </w:rPr>
        <w:t>2018</w:t>
      </w:r>
      <w:r>
        <w:rPr>
          <w:rFonts w:hint="eastAsia" w:ascii="仿宋_GB2312" w:hAnsi="Times New Roman" w:eastAsia="仿宋_GB2312" w:cs="DengXian-Regular"/>
          <w:sz w:val="32"/>
          <w:szCs w:val="32"/>
        </w:rPr>
        <w:t>年度减少</w:t>
      </w:r>
      <w:r>
        <w:rPr>
          <w:rFonts w:ascii="仿宋_GB2312" w:hAnsi="Times New Roman" w:eastAsia="仿宋_GB2312" w:cs="DengXian-Regular"/>
          <w:sz w:val="32"/>
          <w:szCs w:val="32"/>
        </w:rPr>
        <w:t>3.49</w:t>
      </w:r>
      <w:r>
        <w:rPr>
          <w:rFonts w:hint="eastAsia" w:ascii="仿宋_GB2312" w:hAnsi="Times New Roman" w:eastAsia="仿宋_GB2312" w:cs="DengXian-Regular"/>
          <w:sz w:val="32"/>
          <w:szCs w:val="32"/>
        </w:rPr>
        <w:t>万元，降低</w:t>
      </w:r>
      <w:r>
        <w:rPr>
          <w:rFonts w:ascii="仿宋_GB2312" w:hAnsi="Times New Roman" w:eastAsia="仿宋_GB2312" w:cs="DengXian-Regular"/>
          <w:sz w:val="32"/>
          <w:szCs w:val="32"/>
        </w:rPr>
        <w:t>45.32%</w:t>
      </w:r>
      <w:r>
        <w:rPr>
          <w:rFonts w:hint="eastAsia" w:ascii="仿宋_GB2312" w:hAnsi="Times New Roman" w:eastAsia="仿宋_GB2312" w:cs="DengXian-Regular"/>
          <w:sz w:val="32"/>
          <w:szCs w:val="32"/>
        </w:rPr>
        <w:t>，</w:t>
      </w:r>
      <w:r>
        <w:rPr>
          <w:rFonts w:hint="eastAsia" w:ascii="仿宋_GB2312" w:eastAsia="仿宋_GB2312" w:cs="DengXian-Regular"/>
          <w:sz w:val="32"/>
          <w:szCs w:val="32"/>
        </w:rPr>
        <w:t>主要是</w:t>
      </w:r>
      <w:r>
        <w:rPr>
          <w:rFonts w:hint="eastAsia" w:ascii="仿宋" w:hAnsi="仿宋" w:eastAsia="仿宋" w:cs="仿宋"/>
          <w:sz w:val="32"/>
          <w:szCs w:val="32"/>
        </w:rPr>
        <w:t>公车运行维护费严格按管理制度执行</w:t>
      </w:r>
      <w:r>
        <w:rPr>
          <w:rFonts w:ascii="仿宋" w:hAnsi="仿宋" w:eastAsia="仿宋" w:cs="仿宋"/>
          <w:sz w:val="32"/>
          <w:szCs w:val="32"/>
        </w:rPr>
        <w:t xml:space="preserve">, </w:t>
      </w:r>
      <w:r>
        <w:rPr>
          <w:rFonts w:hint="eastAsia" w:ascii="仿宋" w:hAnsi="仿宋" w:eastAsia="仿宋" w:cs="仿宋"/>
          <w:sz w:val="32"/>
          <w:szCs w:val="32"/>
        </w:rPr>
        <w:t>定点维修、定点加油、统一保险和统一保养，节假日严格执行公务车辆封存制度，降低了公车运行维护费</w:t>
      </w:r>
      <w:r>
        <w:rPr>
          <w:rFonts w:hint="eastAsia" w:ascii="仿宋_GB2312" w:hAnsi="Times New Roman" w:eastAsia="仿宋_GB2312" w:cs="DengXian-Regular"/>
          <w:sz w:val="32"/>
          <w:szCs w:val="32"/>
        </w:rPr>
        <w:t>。具体情况如下：</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（一）因公出国（境）费支出</w:t>
      </w:r>
      <w:r>
        <w:rPr>
          <w:rFonts w:ascii="楷体_GB2312" w:hAnsi="Times New Roman" w:eastAsia="楷体_GB2312" w:cs="DengXian-Bold"/>
          <w:b/>
          <w:bCs/>
          <w:sz w:val="32"/>
          <w:szCs w:val="32"/>
        </w:rPr>
        <w:t>0</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2018</w:t>
      </w:r>
      <w:r>
        <w:rPr>
          <w:rFonts w:hint="eastAsia" w:ascii="仿宋_GB2312" w:hAnsi="Times New Roman" w:eastAsia="仿宋_GB2312" w:cs="DengXian-Regular"/>
          <w:sz w:val="32"/>
          <w:szCs w:val="32"/>
        </w:rPr>
        <w:t>年度参加其他单位组织的因公出国</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境</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团组</w:t>
      </w:r>
      <w:r>
        <w:rPr>
          <w:rFonts w:ascii="仿宋_GB2312" w:hAnsi="Times New Roman" w:eastAsia="仿宋_GB2312" w:cs="DengXian-Regular"/>
          <w:sz w:val="32"/>
          <w:szCs w:val="32"/>
        </w:rPr>
        <w:t>0</w:t>
      </w:r>
      <w:r>
        <w:rPr>
          <w:rFonts w:hint="eastAsia" w:ascii="仿宋_GB2312" w:hAnsi="Times New Roman" w:eastAsia="仿宋_GB2312" w:cs="DengXian-Regular"/>
          <w:sz w:val="32"/>
          <w:szCs w:val="32"/>
        </w:rPr>
        <w:t>个</w:t>
      </w:r>
      <w:r>
        <w:rPr>
          <w:rFonts w:hint="eastAsia" w:ascii="MS Mincho" w:hAnsi="MS Mincho" w:eastAsia="MS Mincho" w:cs="MS Mincho"/>
          <w:sz w:val="32"/>
          <w:szCs w:val="32"/>
        </w:rPr>
        <w:t>､</w:t>
      </w:r>
      <w:r>
        <w:rPr>
          <w:rFonts w:hint="eastAsia" w:ascii="仿宋" w:hAnsi="仿宋" w:eastAsia="仿宋" w:cs="仿宋"/>
          <w:sz w:val="32"/>
          <w:szCs w:val="32"/>
        </w:rPr>
        <w:t>共</w:t>
      </w:r>
      <w:r>
        <w:rPr>
          <w:rFonts w:ascii="仿宋_GB2312" w:hAnsi="Times New Roman" w:eastAsia="仿宋_GB2312" w:cs="DengXian-Regular"/>
          <w:sz w:val="32"/>
          <w:szCs w:val="32"/>
        </w:rPr>
        <w:t>0</w:t>
      </w:r>
      <w:r>
        <w:rPr>
          <w:rFonts w:hint="eastAsia" w:ascii="仿宋_GB2312" w:hAnsi="Times New Roman" w:eastAsia="仿宋_GB2312" w:cs="DengXian-Regular"/>
          <w:sz w:val="32"/>
          <w:szCs w:val="32"/>
        </w:rPr>
        <w:t>人，无本单位组织的出国</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境</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团组</w:t>
      </w:r>
      <w:r>
        <w:rPr>
          <w:rFonts w:hint="eastAsia" w:ascii="MS Mincho" w:hAnsi="MS Mincho" w:eastAsia="MS Mincho" w:cs="MS Mincho"/>
          <w:sz w:val="32"/>
          <w:szCs w:val="32"/>
        </w:rPr>
        <w:t>｡</w:t>
      </w:r>
      <w:r>
        <w:rPr>
          <w:rFonts w:hint="eastAsia" w:ascii="仿宋" w:hAnsi="仿宋" w:eastAsia="仿宋" w:cs="仿宋"/>
          <w:sz w:val="32"/>
          <w:szCs w:val="32"/>
        </w:rPr>
        <w:t>因公出国</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境</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费支出较年初预算无增减变化</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较上年无增减变化。主要是严格执行中央</w:t>
      </w:r>
      <w:bookmarkStart w:id="0" w:name="_GoBack"/>
      <w:bookmarkEnd w:id="0"/>
      <w:r>
        <w:rPr>
          <w:rFonts w:hint="eastAsia" w:ascii="仿宋_GB2312" w:hAnsi="Times New Roman" w:eastAsia="仿宋_GB2312" w:cs="DengXian-Regular"/>
          <w:sz w:val="32"/>
          <w:szCs w:val="32"/>
        </w:rPr>
        <w:t>八项规定，严格控制支出厉行节约原则的原因。</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（二）公务用车购置及运行维护费支出</w:t>
      </w:r>
      <w:r>
        <w:rPr>
          <w:rFonts w:ascii="楷体_GB2312" w:hAnsi="Times New Roman" w:eastAsia="楷体_GB2312" w:cs="DengXian-Bold"/>
          <w:b/>
          <w:bCs/>
          <w:sz w:val="32"/>
          <w:szCs w:val="32"/>
        </w:rPr>
        <w:t>4.15</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年度公务用车购置及运行维护费较预算减少</w:t>
      </w:r>
      <w:r>
        <w:rPr>
          <w:rFonts w:ascii="仿宋_GB2312" w:hAnsi="Times New Roman" w:eastAsia="仿宋_GB2312" w:cs="DengXian-Regular"/>
          <w:sz w:val="32"/>
          <w:szCs w:val="32"/>
        </w:rPr>
        <w:t>7.85</w:t>
      </w:r>
      <w:r>
        <w:rPr>
          <w:rFonts w:hint="eastAsia" w:ascii="仿宋_GB2312" w:hAnsi="Times New Roman" w:eastAsia="仿宋_GB2312" w:cs="DengXian-Regular"/>
          <w:sz w:val="32"/>
          <w:szCs w:val="32"/>
        </w:rPr>
        <w:t>万元，降低</w:t>
      </w:r>
      <w:r>
        <w:rPr>
          <w:rFonts w:ascii="仿宋_GB2312" w:hAnsi="Times New Roman" w:eastAsia="仿宋_GB2312" w:cs="DengXian-Regular"/>
          <w:sz w:val="32"/>
          <w:szCs w:val="32"/>
        </w:rPr>
        <w:t>65.42%,</w:t>
      </w:r>
      <w:r>
        <w:rPr>
          <w:rFonts w:hint="eastAsia" w:ascii="仿宋_GB2312" w:hAnsi="Times New Roman" w:eastAsia="仿宋_GB2312" w:cs="DengXian-Regular"/>
          <w:sz w:val="32"/>
          <w:szCs w:val="32"/>
        </w:rPr>
        <w:t>主要是</w:t>
      </w:r>
      <w:r>
        <w:rPr>
          <w:rFonts w:hint="eastAsia" w:ascii="仿宋" w:hAnsi="仿宋" w:eastAsia="仿宋" w:cs="仿宋"/>
          <w:sz w:val="32"/>
          <w:szCs w:val="32"/>
        </w:rPr>
        <w:t>公车运行维护费严格按管理制度执行的原因</w:t>
      </w:r>
      <w:r>
        <w:rPr>
          <w:rFonts w:ascii="仿宋" w:hAnsi="仿宋" w:eastAsia="仿宋" w:cs="仿宋"/>
          <w:sz w:val="32"/>
          <w:szCs w:val="32"/>
        </w:rPr>
        <w:t xml:space="preserve">, </w:t>
      </w:r>
      <w:r>
        <w:rPr>
          <w:rFonts w:hint="eastAsia" w:ascii="仿宋" w:hAnsi="仿宋" w:eastAsia="仿宋" w:cs="仿宋"/>
          <w:sz w:val="32"/>
          <w:szCs w:val="32"/>
        </w:rPr>
        <w:t>定点维修、定点加油、统一保险和统一保养，节假日严格执行公务车辆封存制度，降低了公车运行维护费</w:t>
      </w:r>
      <w:r>
        <w:rPr>
          <w:rFonts w:hint="eastAsia" w:ascii="仿宋_GB2312" w:hAnsi="Times New Roman" w:eastAsia="仿宋_GB2312" w:cs="DengXian-Regular"/>
          <w:sz w:val="32"/>
          <w:szCs w:val="32"/>
        </w:rPr>
        <w:t>；较上年减少</w:t>
      </w:r>
      <w:r>
        <w:rPr>
          <w:rFonts w:ascii="仿宋_GB2312" w:hAnsi="Times New Roman" w:eastAsia="仿宋_GB2312" w:cs="DengXian-Regular"/>
          <w:sz w:val="32"/>
          <w:szCs w:val="32"/>
        </w:rPr>
        <w:t>3.55</w:t>
      </w:r>
      <w:r>
        <w:rPr>
          <w:rFonts w:hint="eastAsia" w:ascii="仿宋_GB2312" w:hAnsi="Times New Roman" w:eastAsia="仿宋_GB2312" w:cs="DengXian-Regular"/>
          <w:sz w:val="32"/>
          <w:szCs w:val="32"/>
        </w:rPr>
        <w:t>万元，降低</w:t>
      </w:r>
      <w:r>
        <w:rPr>
          <w:rFonts w:ascii="仿宋_GB2312" w:hAnsi="Times New Roman" w:eastAsia="仿宋_GB2312" w:cs="DengXian-Regular"/>
          <w:sz w:val="32"/>
          <w:szCs w:val="32"/>
        </w:rPr>
        <w:t>46.10%,</w:t>
      </w:r>
      <w:r>
        <w:rPr>
          <w:rFonts w:hint="eastAsia" w:ascii="仿宋_GB2312" w:hAnsi="Times New Roman" w:eastAsia="仿宋_GB2312" w:cs="DengXian-Regular"/>
          <w:sz w:val="32"/>
          <w:szCs w:val="32"/>
        </w:rPr>
        <w:t>主要是</w:t>
      </w:r>
      <w:r>
        <w:rPr>
          <w:rFonts w:hint="eastAsia" w:ascii="仿宋" w:hAnsi="仿宋" w:eastAsia="仿宋" w:cs="仿宋"/>
          <w:sz w:val="32"/>
          <w:szCs w:val="32"/>
        </w:rPr>
        <w:t>公车运行维护费严格按管理制度执行</w:t>
      </w:r>
      <w:r>
        <w:rPr>
          <w:rFonts w:ascii="仿宋" w:hAnsi="仿宋" w:eastAsia="仿宋" w:cs="仿宋"/>
          <w:sz w:val="32"/>
          <w:szCs w:val="32"/>
        </w:rPr>
        <w:t xml:space="preserve">, </w:t>
      </w:r>
      <w:r>
        <w:rPr>
          <w:rFonts w:hint="eastAsia" w:ascii="仿宋" w:hAnsi="仿宋" w:eastAsia="仿宋" w:cs="仿宋"/>
          <w:sz w:val="32"/>
          <w:szCs w:val="32"/>
        </w:rPr>
        <w:t>定点维修、定点加油、统一保险和统一保养，节假日严格执行公务车辆封存制度，降低了公车运行维护费的原因</w:t>
      </w:r>
      <w:r>
        <w:rPr>
          <w:rFonts w:hint="eastAsia" w:ascii="仿宋_GB2312" w:hAnsi="Times New Roman" w:eastAsia="仿宋_GB2312" w:cs="DengXian-Regular"/>
          <w:sz w:val="32"/>
          <w:szCs w:val="32"/>
        </w:rPr>
        <w:t>。</w:t>
      </w:r>
    </w:p>
    <w:p>
      <w:pPr>
        <w:adjustRightInd w:val="0"/>
        <w:snapToGrid w:val="0"/>
        <w:spacing w:line="580" w:lineRule="exact"/>
        <w:ind w:firstLine="643" w:firstLineChars="200"/>
        <w:rPr>
          <w:rFonts w:ascii="仿宋_GB2312" w:hAnsi="Times New Roman" w:eastAsia="仿宋_GB2312" w:cs="DengXian-Bold"/>
          <w:b/>
          <w:bCs/>
          <w:sz w:val="32"/>
          <w:szCs w:val="32"/>
        </w:rPr>
      </w:pPr>
      <w:r>
        <w:rPr>
          <w:rFonts w:hint="eastAsia" w:ascii="仿宋_GB2312" w:hAnsi="Times New Roman" w:eastAsia="仿宋_GB2312" w:cs="DengXian-Bold"/>
          <w:b/>
          <w:bCs/>
          <w:sz w:val="32"/>
          <w:szCs w:val="32"/>
        </w:rPr>
        <w:t>其中：</w:t>
      </w:r>
    </w:p>
    <w:p>
      <w:pPr>
        <w:adjustRightInd w:val="0"/>
        <w:snapToGrid w:val="0"/>
        <w:spacing w:line="580" w:lineRule="exact"/>
        <w:ind w:firstLine="643" w:firstLineChars="200"/>
        <w:rPr>
          <w:rFonts w:ascii="仿宋" w:hAnsi="仿宋" w:eastAsia="仿宋" w:cs="DengXian-Regular"/>
          <w:sz w:val="32"/>
          <w:szCs w:val="32"/>
        </w:rPr>
      </w:pPr>
      <w:r>
        <w:rPr>
          <w:rFonts w:hint="eastAsia" w:ascii="仿宋_GB2312" w:hAnsi="Times New Roman" w:eastAsia="仿宋_GB2312" w:cs="DengXian-Regular"/>
          <w:b/>
          <w:sz w:val="32"/>
          <w:szCs w:val="32"/>
        </w:rPr>
        <w:t>公务用车购置费：</w:t>
      </w: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年度公务用车购置量</w:t>
      </w:r>
      <w:r>
        <w:rPr>
          <w:rFonts w:ascii="仿宋_GB2312" w:hAnsi="Times New Roman" w:eastAsia="仿宋_GB2312" w:cs="DengXian-Regular"/>
          <w:sz w:val="32"/>
          <w:szCs w:val="32"/>
        </w:rPr>
        <w:t>0</w:t>
      </w:r>
      <w:r>
        <w:rPr>
          <w:rFonts w:hint="eastAsia" w:ascii="仿宋_GB2312" w:hAnsi="Times New Roman" w:eastAsia="仿宋_GB2312" w:cs="DengXian-Regular"/>
          <w:sz w:val="32"/>
          <w:szCs w:val="32"/>
        </w:rPr>
        <w:t>辆，未发生“公务用车购置”经费支出，公务用车购置费支出较年初预算无增减变化，较</w:t>
      </w:r>
      <w:r>
        <w:rPr>
          <w:rFonts w:ascii="仿宋_GB2312" w:hAnsi="Times New Roman" w:eastAsia="仿宋_GB2312" w:cs="DengXian-Regular"/>
          <w:sz w:val="32"/>
          <w:szCs w:val="32"/>
        </w:rPr>
        <w:t>2018</w:t>
      </w:r>
      <w:r>
        <w:rPr>
          <w:rFonts w:hint="eastAsia" w:ascii="仿宋_GB2312" w:hAnsi="Times New Roman" w:eastAsia="仿宋_GB2312" w:cs="DengXian-Regular"/>
          <w:sz w:val="32"/>
          <w:szCs w:val="32"/>
        </w:rPr>
        <w:t>年度决算无增减变化</w:t>
      </w:r>
      <w:r>
        <w:rPr>
          <w:rFonts w:ascii="仿宋_GB2312" w:hAnsi="Times New Roman" w:eastAsia="仿宋_GB2312" w:cs="DengXian-Regular"/>
          <w:sz w:val="32"/>
          <w:szCs w:val="32"/>
        </w:rPr>
        <w:t>,</w:t>
      </w:r>
      <w:r>
        <w:rPr>
          <w:rFonts w:ascii="仿宋" w:hAnsi="仿宋" w:eastAsia="仿宋" w:cs="DengXian-Regular"/>
          <w:sz w:val="32"/>
          <w:szCs w:val="32"/>
        </w:rPr>
        <w:t xml:space="preserve"> </w:t>
      </w:r>
      <w:r>
        <w:rPr>
          <w:rFonts w:hint="eastAsia" w:ascii="仿宋" w:hAnsi="仿宋" w:eastAsia="仿宋" w:cs="DengXian-Regular"/>
          <w:sz w:val="32"/>
          <w:szCs w:val="32"/>
        </w:rPr>
        <w:t>主要是严格执行八项规定厉行节约的原因。</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公务用车运行维护费：</w:t>
      </w: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年度单位公务用车保有量</w:t>
      </w:r>
      <w:r>
        <w:rPr>
          <w:rFonts w:ascii="仿宋_GB2312" w:hAnsi="Times New Roman" w:eastAsia="仿宋_GB2312" w:cs="DengXian-Regular"/>
          <w:sz w:val="32"/>
          <w:szCs w:val="32"/>
        </w:rPr>
        <w:t>3</w:t>
      </w:r>
      <w:r>
        <w:rPr>
          <w:rFonts w:hint="eastAsia" w:ascii="仿宋_GB2312" w:hAnsi="Times New Roman" w:eastAsia="仿宋_GB2312" w:cs="DengXian-Regular"/>
          <w:sz w:val="32"/>
          <w:szCs w:val="32"/>
        </w:rPr>
        <w:t>辆。公车运行维护费支出较预算减少</w:t>
      </w:r>
      <w:r>
        <w:rPr>
          <w:rFonts w:ascii="仿宋_GB2312" w:hAnsi="Times New Roman" w:eastAsia="仿宋_GB2312" w:cs="DengXian-Regular"/>
          <w:sz w:val="32"/>
          <w:szCs w:val="32"/>
        </w:rPr>
        <w:t>7.85</w:t>
      </w:r>
      <w:r>
        <w:rPr>
          <w:rFonts w:hint="eastAsia" w:ascii="仿宋_GB2312" w:hAnsi="Times New Roman" w:eastAsia="仿宋_GB2312" w:cs="DengXian-Regular"/>
          <w:sz w:val="32"/>
          <w:szCs w:val="32"/>
        </w:rPr>
        <w:t>万元，降低</w:t>
      </w:r>
      <w:r>
        <w:rPr>
          <w:rFonts w:ascii="仿宋_GB2312" w:hAnsi="Times New Roman" w:eastAsia="仿宋_GB2312" w:cs="DengXian-Regular"/>
          <w:sz w:val="32"/>
          <w:szCs w:val="32"/>
        </w:rPr>
        <w:t>65.42%,</w:t>
      </w:r>
      <w:r>
        <w:rPr>
          <w:rFonts w:hint="eastAsia" w:ascii="仿宋_GB2312" w:hAnsi="Times New Roman" w:eastAsia="仿宋_GB2312" w:cs="DengXian-Regular"/>
          <w:sz w:val="32"/>
          <w:szCs w:val="32"/>
        </w:rPr>
        <w:t>主要是</w:t>
      </w:r>
      <w:r>
        <w:rPr>
          <w:rFonts w:hint="eastAsia" w:ascii="仿宋" w:hAnsi="仿宋" w:eastAsia="仿宋" w:cs="仿宋"/>
          <w:sz w:val="32"/>
          <w:szCs w:val="32"/>
        </w:rPr>
        <w:t>公车运行维护费严格按管理制度执行</w:t>
      </w:r>
      <w:r>
        <w:rPr>
          <w:rFonts w:ascii="仿宋" w:hAnsi="仿宋" w:eastAsia="仿宋" w:cs="仿宋"/>
          <w:sz w:val="32"/>
          <w:szCs w:val="32"/>
        </w:rPr>
        <w:t>,</w:t>
      </w:r>
      <w:r>
        <w:rPr>
          <w:rFonts w:hint="eastAsia" w:ascii="仿宋" w:hAnsi="仿宋" w:eastAsia="仿宋" w:cs="仿宋"/>
          <w:sz w:val="32"/>
          <w:szCs w:val="32"/>
        </w:rPr>
        <w:t>降低了公车运行维护费</w:t>
      </w:r>
      <w:r>
        <w:rPr>
          <w:rFonts w:ascii="仿宋" w:hAnsi="仿宋" w:eastAsia="仿宋" w:cs="仿宋"/>
          <w:sz w:val="32"/>
          <w:szCs w:val="32"/>
        </w:rPr>
        <w:t xml:space="preserve"> </w:t>
      </w:r>
      <w:r>
        <w:rPr>
          <w:rFonts w:hint="eastAsia" w:ascii="仿宋_GB2312" w:hAnsi="Times New Roman" w:eastAsia="仿宋_GB2312" w:cs="DengXian-Regular"/>
          <w:sz w:val="32"/>
          <w:szCs w:val="32"/>
        </w:rPr>
        <w:t>；较上年减少</w:t>
      </w:r>
      <w:r>
        <w:rPr>
          <w:rFonts w:ascii="仿宋_GB2312" w:hAnsi="Times New Roman" w:eastAsia="仿宋_GB2312" w:cs="DengXian-Regular"/>
          <w:sz w:val="32"/>
          <w:szCs w:val="32"/>
        </w:rPr>
        <w:t>3.55</w:t>
      </w:r>
      <w:r>
        <w:rPr>
          <w:rFonts w:hint="eastAsia" w:ascii="仿宋_GB2312" w:hAnsi="Times New Roman" w:eastAsia="仿宋_GB2312" w:cs="DengXian-Regular"/>
          <w:sz w:val="32"/>
          <w:szCs w:val="32"/>
        </w:rPr>
        <w:t>万元，降低</w:t>
      </w:r>
      <w:r>
        <w:rPr>
          <w:rFonts w:ascii="仿宋_GB2312" w:hAnsi="Times New Roman" w:eastAsia="仿宋_GB2312" w:cs="DengXian-Regular"/>
          <w:sz w:val="32"/>
          <w:szCs w:val="32"/>
        </w:rPr>
        <w:t>46.10%</w:t>
      </w:r>
      <w:r>
        <w:rPr>
          <w:rFonts w:hint="eastAsia" w:ascii="仿宋_GB2312" w:hAnsi="Times New Roman" w:eastAsia="仿宋_GB2312" w:cs="DengXian-Regular"/>
          <w:sz w:val="32"/>
          <w:szCs w:val="32"/>
        </w:rPr>
        <w:t>，主要是</w:t>
      </w:r>
      <w:r>
        <w:rPr>
          <w:rFonts w:hint="eastAsia" w:ascii="仿宋" w:hAnsi="仿宋" w:eastAsia="仿宋" w:cs="仿宋"/>
          <w:sz w:val="32"/>
          <w:szCs w:val="32"/>
        </w:rPr>
        <w:t>公车运行维护费严格按管理制度执行</w:t>
      </w:r>
      <w:r>
        <w:rPr>
          <w:rFonts w:ascii="仿宋" w:hAnsi="仿宋" w:eastAsia="仿宋" w:cs="仿宋"/>
          <w:sz w:val="32"/>
          <w:szCs w:val="32"/>
        </w:rPr>
        <w:t>,</w:t>
      </w:r>
      <w:r>
        <w:rPr>
          <w:rFonts w:hint="eastAsia" w:ascii="仿宋" w:hAnsi="仿宋" w:eastAsia="仿宋" w:cs="仿宋"/>
          <w:sz w:val="32"/>
          <w:szCs w:val="32"/>
        </w:rPr>
        <w:t>降低了公车运行维护费的原因</w:t>
      </w:r>
      <w:r>
        <w:rPr>
          <w:rFonts w:ascii="仿宋" w:hAnsi="仿宋" w:eastAsia="仿宋" w:cs="仿宋"/>
          <w:sz w:val="32"/>
          <w:szCs w:val="32"/>
        </w:rPr>
        <w:t xml:space="preserve"> </w:t>
      </w:r>
      <w:r>
        <w:rPr>
          <w:rFonts w:hint="eastAsia" w:ascii="仿宋_GB2312" w:hAnsi="Times New Roman" w:eastAsia="仿宋_GB2312" w:cs="DengXian-Regular"/>
          <w:sz w:val="32"/>
          <w:szCs w:val="32"/>
        </w:rPr>
        <w:t>。</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（三）公务接待费支出</w:t>
      </w:r>
      <w:r>
        <w:rPr>
          <w:rFonts w:ascii="楷体_GB2312" w:hAnsi="Times New Roman" w:eastAsia="楷体_GB2312" w:cs="DengXian-Bold"/>
          <w:b/>
          <w:bCs/>
          <w:sz w:val="32"/>
          <w:szCs w:val="32"/>
        </w:rPr>
        <w:t>0.06</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年度公务接待共</w:t>
      </w:r>
      <w:r>
        <w:rPr>
          <w:rFonts w:ascii="仿宋_GB2312" w:hAnsi="Times New Roman" w:eastAsia="仿宋_GB2312" w:cs="DengXian-Regular"/>
          <w:sz w:val="32"/>
          <w:szCs w:val="32"/>
        </w:rPr>
        <w:t>3</w:t>
      </w:r>
      <w:r>
        <w:rPr>
          <w:rFonts w:hint="eastAsia" w:ascii="仿宋_GB2312" w:hAnsi="Times New Roman" w:eastAsia="仿宋_GB2312" w:cs="DengXian-Regular"/>
          <w:sz w:val="32"/>
          <w:szCs w:val="32"/>
        </w:rPr>
        <w:t>批次、</w:t>
      </w:r>
      <w:r>
        <w:rPr>
          <w:rFonts w:ascii="仿宋_GB2312" w:hAnsi="Times New Roman" w:eastAsia="仿宋_GB2312" w:cs="DengXian-Regular"/>
          <w:sz w:val="32"/>
          <w:szCs w:val="32"/>
        </w:rPr>
        <w:t>21</w:t>
      </w:r>
      <w:r>
        <w:rPr>
          <w:rFonts w:hint="eastAsia" w:ascii="仿宋_GB2312" w:hAnsi="Times New Roman" w:eastAsia="仿宋_GB2312" w:cs="DengXian-Regular"/>
          <w:sz w:val="32"/>
          <w:szCs w:val="32"/>
        </w:rPr>
        <w:t>人次。公务接待费支出较预算减少</w:t>
      </w:r>
      <w:r>
        <w:rPr>
          <w:rFonts w:ascii="仿宋_GB2312" w:hAnsi="Times New Roman" w:eastAsia="仿宋_GB2312" w:cs="DengXian-Regular"/>
          <w:sz w:val="32"/>
          <w:szCs w:val="32"/>
        </w:rPr>
        <w:t>0.84</w:t>
      </w:r>
      <w:r>
        <w:rPr>
          <w:rFonts w:hint="eastAsia" w:ascii="仿宋_GB2312" w:hAnsi="Times New Roman" w:eastAsia="仿宋_GB2312" w:cs="DengXian-Regular"/>
          <w:sz w:val="32"/>
          <w:szCs w:val="32"/>
        </w:rPr>
        <w:t>万元，降低</w:t>
      </w:r>
      <w:r>
        <w:rPr>
          <w:rFonts w:ascii="仿宋_GB2312" w:hAnsi="Times New Roman" w:eastAsia="仿宋_GB2312" w:cs="DengXian-Regular"/>
          <w:sz w:val="32"/>
          <w:szCs w:val="32"/>
        </w:rPr>
        <w:t>93.33%,</w:t>
      </w:r>
      <w:r>
        <w:rPr>
          <w:rFonts w:hint="eastAsia" w:ascii="仿宋_GB2312" w:hAnsi="Times New Roman" w:eastAsia="仿宋_GB2312" w:cs="DengXian-Regular"/>
          <w:sz w:val="32"/>
          <w:szCs w:val="32"/>
        </w:rPr>
        <w:t>主要是</w:t>
      </w:r>
      <w:r>
        <w:rPr>
          <w:rFonts w:hint="eastAsia" w:ascii="仿宋_GB2312" w:eastAsia="仿宋_GB2312" w:cs="DengXian-Regular"/>
          <w:sz w:val="32"/>
          <w:szCs w:val="32"/>
        </w:rPr>
        <w:t>严格执行八项规定厉行节约的原因</w:t>
      </w:r>
      <w:r>
        <w:rPr>
          <w:rFonts w:hint="eastAsia" w:ascii="仿宋_GB2312" w:hAnsi="Times New Roman" w:eastAsia="仿宋_GB2312" w:cs="DengXian-Regular"/>
          <w:sz w:val="32"/>
          <w:szCs w:val="32"/>
        </w:rPr>
        <w:t>；较上年度减少</w:t>
      </w:r>
      <w:r>
        <w:rPr>
          <w:rFonts w:ascii="仿宋_GB2312" w:hAnsi="Times New Roman" w:eastAsia="仿宋_GB2312" w:cs="DengXian-Regular"/>
          <w:sz w:val="32"/>
          <w:szCs w:val="32"/>
        </w:rPr>
        <w:t>0.3</w:t>
      </w:r>
      <w:r>
        <w:rPr>
          <w:rFonts w:hint="eastAsia" w:ascii="仿宋_GB2312" w:hAnsi="Times New Roman" w:eastAsia="仿宋_GB2312" w:cs="DengXian-Regular"/>
          <w:sz w:val="32"/>
          <w:szCs w:val="32"/>
        </w:rPr>
        <w:t>万元，降低</w:t>
      </w:r>
      <w:r>
        <w:rPr>
          <w:rFonts w:ascii="仿宋_GB2312" w:hAnsi="Times New Roman" w:eastAsia="仿宋_GB2312" w:cs="DengXian-Regular"/>
          <w:sz w:val="32"/>
          <w:szCs w:val="32"/>
        </w:rPr>
        <w:t>83.33%,</w:t>
      </w:r>
      <w:r>
        <w:rPr>
          <w:rFonts w:hint="eastAsia" w:ascii="仿宋_GB2312" w:hAnsi="Times New Roman" w:eastAsia="仿宋_GB2312" w:cs="DengXian-Regular"/>
          <w:sz w:val="32"/>
          <w:szCs w:val="32"/>
        </w:rPr>
        <w:t>主要是</w:t>
      </w:r>
      <w:r>
        <w:rPr>
          <w:rFonts w:hint="eastAsia" w:ascii="仿宋_GB2312" w:eastAsia="仿宋_GB2312" w:cs="DengXian-Regular"/>
          <w:sz w:val="32"/>
          <w:szCs w:val="32"/>
        </w:rPr>
        <w:t>严格执行八项规定厉行节约的原因</w:t>
      </w:r>
      <w:r>
        <w:rPr>
          <w:rFonts w:hint="eastAsia" w:ascii="仿宋_GB2312" w:hAnsi="Times New Roman" w:eastAsia="仿宋_GB2312" w:cs="DengXian-Regular"/>
          <w:sz w:val="32"/>
          <w:szCs w:val="32"/>
        </w:rPr>
        <w:t>。</w:t>
      </w:r>
    </w:p>
    <w:p>
      <w:pPr>
        <w:adjustRightInd w:val="0"/>
        <w:snapToGrid w:val="0"/>
        <w:spacing w:line="580" w:lineRule="exact"/>
        <w:ind w:firstLine="640" w:firstLineChars="200"/>
        <w:rPr>
          <w:rFonts w:ascii="黑体" w:hAnsi="Times New Roman" w:eastAsia="黑体"/>
          <w:sz w:val="32"/>
          <w:szCs w:val="40"/>
        </w:rPr>
      </w:pPr>
      <w:r>
        <w:rPr>
          <w:rFonts w:hint="eastAsia" w:ascii="黑体" w:hAnsi="Times New Roman" w:eastAsia="黑体"/>
          <w:sz w:val="32"/>
          <w:szCs w:val="40"/>
        </w:rPr>
        <w:t>六、预算绩效情况说明</w:t>
      </w:r>
    </w:p>
    <w:p>
      <w:pPr>
        <w:adjustRightInd w:val="0"/>
        <w:snapToGrid w:val="0"/>
        <w:spacing w:line="580" w:lineRule="exact"/>
        <w:ind w:firstLine="643" w:firstLineChars="200"/>
        <w:rPr>
          <w:rFonts w:ascii="仿宋_GB2312" w:hAnsi="仿宋_GB2312" w:eastAsia="仿宋_GB2312" w:cs="仿宋_GB2312"/>
          <w:b/>
          <w:bCs/>
          <w:sz w:val="32"/>
          <w:szCs w:val="32"/>
        </w:rPr>
      </w:pPr>
      <w:r>
        <w:rPr>
          <w:rFonts w:ascii="仿宋_GB2312" w:hAnsi="仿宋_GB2312" w:eastAsia="仿宋_GB2312" w:cs="仿宋_GB2312"/>
          <w:b/>
          <w:bCs/>
          <w:sz w:val="32"/>
          <w:szCs w:val="32"/>
        </w:rPr>
        <w:t xml:space="preserve">1. </w:t>
      </w:r>
      <w:r>
        <w:rPr>
          <w:rFonts w:hint="eastAsia" w:ascii="仿宋_GB2312" w:hAnsi="仿宋_GB2312" w:eastAsia="仿宋_GB2312" w:cs="仿宋_GB2312"/>
          <w:b/>
          <w:bCs/>
          <w:sz w:val="32"/>
          <w:szCs w:val="32"/>
        </w:rPr>
        <w:t>预算绩效管理工作开展情况。</w:t>
      </w:r>
    </w:p>
    <w:p>
      <w:pPr>
        <w:adjustRightInd w:val="0"/>
        <w:snapToGrid w:val="0"/>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为确保绩效工作取得实效，我单位按照通知要求，根据预算绩效管理要求，认真梳理了</w:t>
      </w:r>
      <w:r>
        <w:rPr>
          <w:rFonts w:ascii="仿宋" w:hAnsi="仿宋" w:eastAsia="仿宋" w:cs="仿宋_GB2312"/>
          <w:sz w:val="32"/>
          <w:szCs w:val="32"/>
        </w:rPr>
        <w:t xml:space="preserve">2019 </w:t>
      </w:r>
      <w:r>
        <w:rPr>
          <w:rFonts w:hint="eastAsia" w:ascii="仿宋" w:hAnsi="仿宋" w:eastAsia="仿宋" w:cs="仿宋_GB2312"/>
          <w:sz w:val="32"/>
          <w:szCs w:val="32"/>
        </w:rPr>
        <w:t>年度项目预算安排、资金支出以及年初绩效目标和绩效指标的设定情况，成立了预算项目绩效自评工作小组，组织单位对</w:t>
      </w:r>
      <w:r>
        <w:rPr>
          <w:rFonts w:ascii="仿宋" w:hAnsi="仿宋" w:eastAsia="仿宋" w:cs="仿宋_GB2312"/>
          <w:sz w:val="32"/>
          <w:szCs w:val="32"/>
        </w:rPr>
        <w:t>1</w:t>
      </w:r>
      <w:r>
        <w:rPr>
          <w:rFonts w:hint="eastAsia" w:ascii="仿宋" w:hAnsi="仿宋" w:eastAsia="仿宋" w:cs="仿宋_GB2312"/>
          <w:sz w:val="32"/>
          <w:szCs w:val="32"/>
        </w:rPr>
        <w:t>个预算项目进行自评，共涉及预算资金</w:t>
      </w:r>
      <w:r>
        <w:rPr>
          <w:rFonts w:ascii="仿宋" w:hAnsi="仿宋" w:eastAsia="仿宋" w:cs="仿宋_GB2312"/>
          <w:sz w:val="32"/>
          <w:szCs w:val="32"/>
        </w:rPr>
        <w:t xml:space="preserve"> 63.16</w:t>
      </w:r>
      <w:r>
        <w:rPr>
          <w:rFonts w:hint="eastAsia" w:ascii="仿宋" w:hAnsi="仿宋" w:eastAsia="仿宋" w:cs="仿宋_GB2312"/>
          <w:sz w:val="32"/>
          <w:szCs w:val="32"/>
        </w:rPr>
        <w:t>万元。</w:t>
      </w:r>
    </w:p>
    <w:p>
      <w:pPr>
        <w:adjustRightInd w:val="0"/>
        <w:snapToGrid w:val="0"/>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本部门组织对</w:t>
      </w:r>
      <w:r>
        <w:rPr>
          <w:rFonts w:ascii="仿宋" w:hAnsi="仿宋" w:eastAsia="仿宋" w:cs="仿宋_GB2312"/>
          <w:sz w:val="32"/>
          <w:szCs w:val="32"/>
        </w:rPr>
        <w:t>2019</w:t>
      </w:r>
      <w:r>
        <w:rPr>
          <w:rFonts w:hint="eastAsia" w:ascii="仿宋" w:hAnsi="仿宋" w:eastAsia="仿宋" w:cs="仿宋_GB2312"/>
          <w:sz w:val="32"/>
          <w:szCs w:val="32"/>
        </w:rPr>
        <w:t>年度一般公共预算项目支出全面开展绩效自评，项目</w:t>
      </w:r>
      <w:r>
        <w:rPr>
          <w:rFonts w:ascii="仿宋" w:hAnsi="仿宋" w:eastAsia="仿宋" w:cs="仿宋_GB2312"/>
          <w:sz w:val="32"/>
          <w:szCs w:val="32"/>
        </w:rPr>
        <w:t>1</w:t>
      </w:r>
      <w:r>
        <w:rPr>
          <w:rFonts w:hint="eastAsia" w:ascii="仿宋" w:hAnsi="仿宋" w:eastAsia="仿宋" w:cs="仿宋_GB2312"/>
          <w:sz w:val="32"/>
          <w:szCs w:val="32"/>
        </w:rPr>
        <w:t>个，共涉及资金</w:t>
      </w:r>
      <w:r>
        <w:rPr>
          <w:rFonts w:ascii="仿宋" w:hAnsi="仿宋" w:eastAsia="仿宋" w:cs="仿宋_GB2312"/>
          <w:sz w:val="32"/>
          <w:szCs w:val="32"/>
        </w:rPr>
        <w:t>63.16</w:t>
      </w:r>
      <w:r>
        <w:rPr>
          <w:rFonts w:hint="eastAsia" w:ascii="仿宋" w:hAnsi="仿宋" w:eastAsia="仿宋" w:cs="仿宋_GB2312"/>
          <w:sz w:val="32"/>
          <w:szCs w:val="32"/>
        </w:rPr>
        <w:t>万元，占一般公共预算项目支出总额的</w:t>
      </w:r>
      <w:r>
        <w:rPr>
          <w:rFonts w:ascii="仿宋" w:hAnsi="仿宋" w:eastAsia="仿宋" w:cs="仿宋_GB2312"/>
          <w:sz w:val="32"/>
          <w:szCs w:val="32"/>
        </w:rPr>
        <w:t>100%</w:t>
      </w:r>
      <w:r>
        <w:rPr>
          <w:rFonts w:hint="eastAsia" w:ascii="仿宋" w:hAnsi="仿宋" w:eastAsia="仿宋" w:cs="仿宋_GB2312"/>
          <w:sz w:val="32"/>
          <w:szCs w:val="32"/>
        </w:rPr>
        <w:t>。通过绩效管理大大提高了财政资金使用效益，推动了我乡经济和社会各项事业持续健康发展。力促我乡村容村貌大幅改观，使人民生活质量、幸福指数得以明显提高。</w:t>
      </w:r>
    </w:p>
    <w:p>
      <w:pPr>
        <w:adjustRightInd w:val="0"/>
        <w:snapToGrid w:val="0"/>
        <w:spacing w:line="580" w:lineRule="exact"/>
        <w:ind w:left="420" w:leftChars="200" w:firstLine="321" w:firstLineChars="100"/>
        <w:rPr>
          <w:rFonts w:ascii="仿宋_GB2312" w:hAnsi="仿宋_GB2312" w:eastAsia="仿宋_GB2312" w:cs="仿宋_GB2312"/>
          <w:b/>
          <w:bCs/>
          <w:sz w:val="32"/>
          <w:szCs w:val="32"/>
        </w:rPr>
      </w:pPr>
      <w:r>
        <w:rPr>
          <w:rFonts w:ascii="仿宋_GB2312" w:hAnsi="仿宋_GB2312" w:eastAsia="仿宋_GB2312" w:cs="仿宋_GB2312"/>
          <w:b/>
          <w:bCs/>
          <w:sz w:val="32"/>
          <w:szCs w:val="32"/>
        </w:rPr>
        <w:t>2.</w:t>
      </w:r>
      <w:r>
        <w:rPr>
          <w:rFonts w:hint="eastAsia" w:ascii="仿宋_GB2312" w:hAnsi="仿宋_GB2312" w:eastAsia="仿宋_GB2312" w:cs="仿宋_GB2312"/>
          <w:b/>
          <w:bCs/>
          <w:sz w:val="32"/>
          <w:szCs w:val="32"/>
        </w:rPr>
        <w:t>项目绩效自评结果。</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本部门在今年部门决算公开中反映城乡社区环境卫生等项目绩效自评结果。</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城乡社区环境卫生项目自评综述：该项目投资</w:t>
      </w:r>
      <w:r>
        <w:rPr>
          <w:rFonts w:ascii="仿宋_GB2312" w:hAnsi="仿宋_GB2312" w:eastAsia="仿宋_GB2312" w:cs="仿宋_GB2312"/>
          <w:sz w:val="32"/>
          <w:szCs w:val="32"/>
        </w:rPr>
        <w:t>63.16</w:t>
      </w:r>
      <w:r>
        <w:rPr>
          <w:rFonts w:hint="eastAsia" w:ascii="仿宋_GB2312" w:hAnsi="仿宋_GB2312" w:eastAsia="仿宋_GB2312" w:cs="仿宋_GB2312"/>
          <w:sz w:val="32"/>
          <w:szCs w:val="32"/>
        </w:rPr>
        <w:t>万元，用于治理我乡街道、河道、公路周边、公共厕所等卫生死角，对村委会集中安置点，主干道等区域配齐环卫设施，推进户分类、组收集、村运转、乡处理模式，足额落实环保经费，运用激励手段开展卫生检查评比等，力促村容村貌大幅改观。</w:t>
      </w:r>
    </w:p>
    <w:p>
      <w:pPr>
        <w:adjustRightInd w:val="0"/>
        <w:snapToGrid w:val="0"/>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本部门在今年部门决算公开中反映城乡社区环境卫生</w:t>
      </w:r>
      <w:r>
        <w:rPr>
          <w:rFonts w:ascii="仿宋" w:hAnsi="仿宋" w:eastAsia="仿宋" w:cs="仿宋_GB2312"/>
          <w:sz w:val="32"/>
          <w:szCs w:val="32"/>
        </w:rPr>
        <w:t>1</w:t>
      </w:r>
      <w:r>
        <w:rPr>
          <w:rFonts w:hint="eastAsia" w:ascii="仿宋" w:hAnsi="仿宋" w:eastAsia="仿宋" w:cs="仿宋_GB2312"/>
          <w:sz w:val="32"/>
          <w:szCs w:val="32"/>
        </w:rPr>
        <w:t>个项目绩效自评结果。</w:t>
      </w:r>
    </w:p>
    <w:p>
      <w:pPr>
        <w:adjustRightInd w:val="0"/>
        <w:snapToGrid w:val="0"/>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城乡社区环境卫生项目自评综述：全年预算数</w:t>
      </w:r>
      <w:r>
        <w:rPr>
          <w:rFonts w:ascii="仿宋" w:hAnsi="仿宋" w:eastAsia="仿宋" w:cs="仿宋_GB2312"/>
          <w:sz w:val="32"/>
          <w:szCs w:val="32"/>
        </w:rPr>
        <w:t>63.16</w:t>
      </w:r>
      <w:r>
        <w:rPr>
          <w:rFonts w:hint="eastAsia" w:ascii="仿宋" w:hAnsi="仿宋" w:eastAsia="仿宋" w:cs="仿宋_GB2312"/>
          <w:sz w:val="32"/>
          <w:szCs w:val="32"/>
        </w:rPr>
        <w:t>万元，实际执行</w:t>
      </w:r>
      <w:r>
        <w:rPr>
          <w:rFonts w:ascii="仿宋" w:hAnsi="仿宋" w:eastAsia="仿宋" w:cs="仿宋_GB2312"/>
          <w:sz w:val="32"/>
          <w:szCs w:val="32"/>
        </w:rPr>
        <w:t>63.16</w:t>
      </w:r>
      <w:r>
        <w:rPr>
          <w:rFonts w:hint="eastAsia" w:ascii="仿宋" w:hAnsi="仿宋" w:eastAsia="仿宋" w:cs="仿宋_GB2312"/>
          <w:sz w:val="32"/>
          <w:szCs w:val="32"/>
        </w:rPr>
        <w:t>万元，完成</w:t>
      </w:r>
      <w:r>
        <w:rPr>
          <w:rFonts w:ascii="仿宋" w:hAnsi="仿宋" w:eastAsia="仿宋" w:cs="仿宋_GB2312"/>
          <w:sz w:val="32"/>
          <w:szCs w:val="32"/>
        </w:rPr>
        <w:t>100%</w:t>
      </w:r>
      <w:r>
        <w:rPr>
          <w:rFonts w:hint="eastAsia" w:ascii="仿宋" w:hAnsi="仿宋" w:eastAsia="仿宋" w:cs="仿宋_GB2312"/>
          <w:sz w:val="32"/>
          <w:szCs w:val="32"/>
        </w:rPr>
        <w:t>。通过环境治理，较好地改善了百姓的生活环境，提高了百姓的幸福指数。群众满意度大于</w:t>
      </w:r>
      <w:r>
        <w:rPr>
          <w:rFonts w:ascii="仿宋" w:hAnsi="仿宋" w:eastAsia="仿宋" w:cs="仿宋_GB2312"/>
          <w:sz w:val="32"/>
          <w:szCs w:val="32"/>
        </w:rPr>
        <w:t>90%</w:t>
      </w:r>
      <w:r>
        <w:rPr>
          <w:rFonts w:hint="eastAsia" w:ascii="仿宋" w:hAnsi="仿宋" w:eastAsia="仿宋" w:cs="仿宋_GB2312"/>
          <w:sz w:val="32"/>
          <w:szCs w:val="32"/>
        </w:rPr>
        <w:t>，公众满意度大于</w:t>
      </w:r>
      <w:r>
        <w:rPr>
          <w:rFonts w:ascii="仿宋" w:hAnsi="仿宋" w:eastAsia="仿宋" w:cs="仿宋_GB2312"/>
          <w:sz w:val="32"/>
          <w:szCs w:val="32"/>
        </w:rPr>
        <w:t>90%</w:t>
      </w:r>
      <w:r>
        <w:rPr>
          <w:rFonts w:hint="eastAsia" w:ascii="仿宋" w:hAnsi="仿宋" w:eastAsia="仿宋" w:cs="仿宋_GB2312"/>
          <w:sz w:val="32"/>
          <w:szCs w:val="32"/>
        </w:rPr>
        <w:t>，验收通过率大于</w:t>
      </w:r>
      <w:r>
        <w:rPr>
          <w:rFonts w:ascii="仿宋" w:hAnsi="仿宋" w:eastAsia="仿宋" w:cs="仿宋_GB2312"/>
          <w:sz w:val="32"/>
          <w:szCs w:val="32"/>
        </w:rPr>
        <w:t>90%</w:t>
      </w:r>
      <w:r>
        <w:rPr>
          <w:rFonts w:hint="eastAsia" w:ascii="仿宋" w:hAnsi="仿宋" w:eastAsia="仿宋" w:cs="仿宋_GB2312"/>
          <w:sz w:val="32"/>
          <w:szCs w:val="32"/>
        </w:rPr>
        <w:t>，绩效评价为优。发现的主要问题及原因</w:t>
      </w:r>
      <w:r>
        <w:rPr>
          <w:rFonts w:ascii="仿宋" w:hAnsi="仿宋" w:eastAsia="仿宋" w:cs="仿宋_GB2312"/>
          <w:sz w:val="32"/>
          <w:szCs w:val="32"/>
        </w:rPr>
        <w:t>:</w:t>
      </w:r>
      <w:r>
        <w:rPr>
          <w:rFonts w:hint="eastAsia" w:ascii="仿宋" w:hAnsi="仿宋" w:eastAsia="仿宋" w:cs="仿宋_GB2312"/>
          <w:sz w:val="32"/>
          <w:szCs w:val="32"/>
        </w:rPr>
        <w:t>缺乏体现项目实施长期效益的指标。下一步改进措施</w:t>
      </w:r>
      <w:r>
        <w:rPr>
          <w:rFonts w:ascii="仿宋" w:hAnsi="仿宋" w:eastAsia="仿宋" w:cs="仿宋_GB2312"/>
          <w:sz w:val="32"/>
          <w:szCs w:val="32"/>
        </w:rPr>
        <w:t>:</w:t>
      </w:r>
      <w:r>
        <w:rPr>
          <w:rFonts w:hint="eastAsia" w:ascii="仿宋" w:hAnsi="仿宋" w:eastAsia="仿宋" w:cs="仿宋_GB2312"/>
          <w:sz w:val="32"/>
          <w:szCs w:val="32"/>
        </w:rPr>
        <w:t>进一步推进项目绩效评价指标体系的建设，提高项目绩效指标评价准确性，持续加强对项目实施后的长期跟踪评价。</w:t>
      </w:r>
    </w:p>
    <w:p>
      <w:pPr>
        <w:keepNext/>
        <w:keepLines/>
        <w:snapToGrid w:val="0"/>
        <w:spacing w:line="580" w:lineRule="exact"/>
        <w:ind w:firstLine="640" w:firstLineChars="200"/>
        <w:outlineLvl w:val="1"/>
        <w:rPr>
          <w:rFonts w:ascii="黑体" w:hAnsi="Calibri" w:eastAsia="黑体"/>
          <w:sz w:val="32"/>
          <w:szCs w:val="32"/>
        </w:rPr>
      </w:pPr>
      <w:r>
        <w:rPr>
          <w:rFonts w:hint="eastAsia" w:ascii="黑体" w:hAnsi="Calibri" w:eastAsia="黑体"/>
          <w:sz w:val="32"/>
          <w:szCs w:val="32"/>
        </w:rPr>
        <w:t>七、其他重要事项的说明</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（一）机关运行经费情况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我单位为其他单位，无机关运行经费支出，与预算数一致，与上年度持平。</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（二）政府采购情况</w:t>
      </w:r>
    </w:p>
    <w:p>
      <w:pPr>
        <w:snapToGrid w:val="0"/>
        <w:spacing w:line="580" w:lineRule="exact"/>
        <w:ind w:firstLine="640" w:firstLineChars="200"/>
        <w:jc w:val="left"/>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年度政府采购支出总额</w:t>
      </w:r>
      <w:r>
        <w:rPr>
          <w:rFonts w:ascii="仿宋_GB2312" w:hAnsi="Times New Roman" w:eastAsia="仿宋_GB2312" w:cs="DengXian-Regular"/>
          <w:sz w:val="32"/>
          <w:szCs w:val="32"/>
        </w:rPr>
        <w:t>0</w:t>
      </w:r>
      <w:r>
        <w:rPr>
          <w:rFonts w:hint="eastAsia" w:ascii="仿宋_GB2312" w:hAnsi="Times New Roman" w:eastAsia="仿宋_GB2312" w:cs="DengXian-Regular"/>
          <w:sz w:val="32"/>
          <w:szCs w:val="32"/>
        </w:rPr>
        <w:t>万元，从采购类型来看，</w:t>
      </w:r>
      <w:r>
        <w:rPr>
          <w:rFonts w:hint="eastAsia" w:ascii="仿宋_GB2312" w:hAnsi="仿宋_GB2312" w:eastAsia="仿宋_GB2312" w:cs="仿宋_GB2312"/>
          <w:color w:val="000000"/>
          <w:kern w:val="0"/>
          <w:sz w:val="32"/>
          <w:szCs w:val="32"/>
        </w:rPr>
        <w:t>政府采购货物支出</w:t>
      </w:r>
      <w:r>
        <w:rPr>
          <w:rFonts w:ascii="仿宋_GB2312" w:hAnsi="仿宋_GB2312" w:eastAsia="仿宋_GB2312" w:cs="仿宋_GB2312"/>
          <w:color w:val="000000"/>
          <w:kern w:val="0"/>
          <w:sz w:val="32"/>
          <w:szCs w:val="32"/>
        </w:rPr>
        <w:t>0</w:t>
      </w:r>
      <w:r>
        <w:rPr>
          <w:rFonts w:hint="eastAsia" w:ascii="仿宋_GB2312" w:hAnsi="仿宋_GB2312" w:eastAsia="仿宋_GB2312" w:cs="仿宋_GB2312"/>
          <w:color w:val="000000"/>
          <w:kern w:val="0"/>
          <w:sz w:val="32"/>
          <w:szCs w:val="32"/>
        </w:rPr>
        <w:t>万元、政府采购工程支出</w:t>
      </w:r>
      <w:r>
        <w:rPr>
          <w:rFonts w:ascii="仿宋_GB2312" w:hAnsi="仿宋_GB2312" w:eastAsia="仿宋_GB2312" w:cs="仿宋_GB2312"/>
          <w:color w:val="000000"/>
          <w:kern w:val="0"/>
          <w:sz w:val="32"/>
          <w:szCs w:val="32"/>
        </w:rPr>
        <w:t>0</w:t>
      </w:r>
      <w:r>
        <w:rPr>
          <w:rFonts w:hint="eastAsia" w:ascii="仿宋_GB2312" w:hAnsi="仿宋_GB2312" w:eastAsia="仿宋_GB2312" w:cs="仿宋_GB2312"/>
          <w:color w:val="000000"/>
          <w:kern w:val="0"/>
          <w:sz w:val="32"/>
          <w:szCs w:val="32"/>
        </w:rPr>
        <w:t>万元、政府采购服务支出</w:t>
      </w:r>
      <w:r>
        <w:rPr>
          <w:rFonts w:ascii="仿宋_GB2312" w:hAnsi="仿宋_GB2312" w:eastAsia="仿宋_GB2312" w:cs="仿宋_GB2312"/>
          <w:color w:val="000000"/>
          <w:kern w:val="0"/>
          <w:sz w:val="32"/>
          <w:szCs w:val="32"/>
        </w:rPr>
        <w:t>0</w:t>
      </w:r>
      <w:r>
        <w:rPr>
          <w:rFonts w:hint="eastAsia" w:ascii="仿宋_GB2312" w:hAnsi="仿宋_GB2312" w:eastAsia="仿宋_GB2312" w:cs="仿宋_GB2312"/>
          <w:color w:val="000000"/>
          <w:kern w:val="0"/>
          <w:sz w:val="32"/>
          <w:szCs w:val="32"/>
        </w:rPr>
        <w:t>万元。授予中小企业合同金</w:t>
      </w:r>
      <w:r>
        <w:rPr>
          <w:rFonts w:ascii="仿宋_GB2312" w:hAnsi="仿宋_GB2312" w:eastAsia="仿宋_GB2312" w:cs="仿宋_GB2312"/>
          <w:color w:val="000000"/>
          <w:kern w:val="0"/>
          <w:sz w:val="32"/>
          <w:szCs w:val="32"/>
        </w:rPr>
        <w:t>0</w:t>
      </w:r>
      <w:r>
        <w:rPr>
          <w:rFonts w:hint="eastAsia" w:ascii="仿宋_GB2312" w:hAnsi="仿宋_GB2312" w:eastAsia="仿宋_GB2312" w:cs="仿宋_GB2312"/>
          <w:color w:val="000000"/>
          <w:kern w:val="0"/>
          <w:sz w:val="32"/>
          <w:szCs w:val="32"/>
        </w:rPr>
        <w:t>万元，占政府采购支出总额的</w:t>
      </w:r>
      <w:r>
        <w:rPr>
          <w:rFonts w:ascii="仿宋_GB2312" w:hAnsi="仿宋_GB2312" w:eastAsia="仿宋_GB2312" w:cs="仿宋_GB2312"/>
          <w:color w:val="000000"/>
          <w:kern w:val="0"/>
          <w:sz w:val="32"/>
          <w:szCs w:val="32"/>
        </w:rPr>
        <w:t>0%</w:t>
      </w:r>
      <w:r>
        <w:rPr>
          <w:rFonts w:hint="eastAsia" w:ascii="仿宋_GB2312" w:hAnsi="仿宋_GB2312" w:eastAsia="仿宋_GB2312" w:cs="仿宋_GB2312"/>
          <w:color w:val="000000"/>
          <w:kern w:val="0"/>
          <w:sz w:val="32"/>
          <w:szCs w:val="32"/>
        </w:rPr>
        <w:t>，其中授予小微企业合同金额</w:t>
      </w:r>
      <w:r>
        <w:rPr>
          <w:rFonts w:ascii="仿宋_GB2312" w:hAnsi="仿宋_GB2312" w:eastAsia="仿宋_GB2312" w:cs="仿宋_GB2312"/>
          <w:color w:val="000000"/>
          <w:kern w:val="0"/>
          <w:sz w:val="32"/>
          <w:szCs w:val="32"/>
        </w:rPr>
        <w:t>0</w:t>
      </w:r>
      <w:r>
        <w:rPr>
          <w:rFonts w:hint="eastAsia" w:ascii="仿宋_GB2312" w:hAnsi="仿宋_GB2312" w:eastAsia="仿宋_GB2312" w:cs="仿宋_GB2312"/>
          <w:color w:val="000000"/>
          <w:kern w:val="0"/>
          <w:sz w:val="32"/>
          <w:szCs w:val="32"/>
        </w:rPr>
        <w:t>万元，占政府采购支出总额的</w:t>
      </w:r>
      <w:r>
        <w:rPr>
          <w:rFonts w:ascii="仿宋_GB2312" w:hAnsi="仿宋_GB2312" w:eastAsia="仿宋_GB2312" w:cs="仿宋_GB2312"/>
          <w:color w:val="000000"/>
          <w:kern w:val="0"/>
          <w:sz w:val="32"/>
          <w:szCs w:val="32"/>
        </w:rPr>
        <w:t>0%</w:t>
      </w:r>
      <w:r>
        <w:rPr>
          <w:rFonts w:hint="eastAsia" w:ascii="仿宋_GB2312" w:hAnsi="仿宋_GB2312" w:eastAsia="仿宋_GB2312" w:cs="仿宋_GB2312"/>
          <w:color w:val="000000"/>
          <w:kern w:val="0"/>
          <w:sz w:val="32"/>
          <w:szCs w:val="32"/>
        </w:rPr>
        <w:t>。</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（三）国有资产占用情况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截至</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w:t>
      </w:r>
      <w:r>
        <w:rPr>
          <w:rFonts w:ascii="仿宋_GB2312" w:hAnsi="Times New Roman" w:eastAsia="仿宋_GB2312" w:cs="DengXian-Regular"/>
          <w:sz w:val="32"/>
          <w:szCs w:val="32"/>
        </w:rPr>
        <w:t>12</w:t>
      </w:r>
      <w:r>
        <w:rPr>
          <w:rFonts w:hint="eastAsia" w:ascii="仿宋_GB2312" w:hAnsi="Times New Roman" w:eastAsia="仿宋_GB2312" w:cs="DengXian-Regular"/>
          <w:sz w:val="32"/>
          <w:szCs w:val="32"/>
        </w:rPr>
        <w:t>月</w:t>
      </w:r>
      <w:r>
        <w:rPr>
          <w:rFonts w:ascii="仿宋_GB2312" w:hAnsi="Times New Roman" w:eastAsia="仿宋_GB2312" w:cs="DengXian-Regular"/>
          <w:sz w:val="32"/>
          <w:szCs w:val="32"/>
        </w:rPr>
        <w:t>31</w:t>
      </w:r>
      <w:r>
        <w:rPr>
          <w:rFonts w:hint="eastAsia" w:ascii="仿宋_GB2312" w:hAnsi="Times New Roman" w:eastAsia="仿宋_GB2312" w:cs="DengXian-Regular"/>
          <w:sz w:val="32"/>
          <w:szCs w:val="32"/>
        </w:rPr>
        <w:t>日，本部门共有车辆</w:t>
      </w:r>
      <w:r>
        <w:rPr>
          <w:rFonts w:ascii="仿宋_GB2312" w:hAnsi="Times New Roman" w:eastAsia="仿宋_GB2312" w:cs="DengXian-Regular"/>
          <w:sz w:val="32"/>
          <w:szCs w:val="32"/>
        </w:rPr>
        <w:t>3</w:t>
      </w:r>
      <w:r>
        <w:rPr>
          <w:rFonts w:hint="eastAsia" w:ascii="仿宋_GB2312" w:hAnsi="Times New Roman" w:eastAsia="仿宋_GB2312" w:cs="DengXian-Regular"/>
          <w:sz w:val="32"/>
          <w:szCs w:val="32"/>
        </w:rPr>
        <w:t>辆，比上年无增减，主要是</w:t>
      </w:r>
      <w:r>
        <w:rPr>
          <w:rFonts w:hint="eastAsia" w:ascii="仿宋_GB2312" w:eastAsia="仿宋_GB2312" w:cs="DengXian-Regular"/>
          <w:sz w:val="32"/>
          <w:szCs w:val="32"/>
        </w:rPr>
        <w:t>一般公务用车</w:t>
      </w:r>
      <w:r>
        <w:rPr>
          <w:rFonts w:hint="eastAsia" w:ascii="仿宋_GB2312" w:hAnsi="Times New Roman" w:eastAsia="仿宋_GB2312" w:cs="DengXian-Regular"/>
          <w:sz w:val="32"/>
          <w:szCs w:val="32"/>
        </w:rPr>
        <w:t>。其中，副部（省）级及以上领导用车</w:t>
      </w:r>
      <w:r>
        <w:rPr>
          <w:rFonts w:ascii="仿宋_GB2312" w:hAnsi="Times New Roman" w:eastAsia="仿宋_GB2312" w:cs="DengXian-Regular"/>
          <w:sz w:val="32"/>
          <w:szCs w:val="32"/>
        </w:rPr>
        <w:t>0</w:t>
      </w:r>
      <w:r>
        <w:rPr>
          <w:rFonts w:hint="eastAsia" w:ascii="仿宋_GB2312" w:hAnsi="Times New Roman" w:eastAsia="仿宋_GB2312" w:cs="DengXian-Regular"/>
          <w:sz w:val="32"/>
          <w:szCs w:val="32"/>
        </w:rPr>
        <w:t>辆，主要领导干部用车</w:t>
      </w:r>
      <w:r>
        <w:rPr>
          <w:rFonts w:ascii="仿宋_GB2312" w:hAnsi="Times New Roman" w:eastAsia="仿宋_GB2312" w:cs="DengXian-Regular"/>
          <w:sz w:val="32"/>
          <w:szCs w:val="32"/>
        </w:rPr>
        <w:t>2</w:t>
      </w:r>
      <w:r>
        <w:rPr>
          <w:rFonts w:hint="eastAsia" w:ascii="仿宋_GB2312" w:hAnsi="Times New Roman" w:eastAsia="仿宋_GB2312" w:cs="DengXian-Regular"/>
          <w:sz w:val="32"/>
          <w:szCs w:val="32"/>
        </w:rPr>
        <w:t>辆，机要通信用车</w:t>
      </w:r>
      <w:r>
        <w:rPr>
          <w:rFonts w:ascii="仿宋_GB2312" w:hAnsi="Times New Roman" w:eastAsia="仿宋_GB2312" w:cs="DengXian-Regular"/>
          <w:sz w:val="32"/>
          <w:szCs w:val="32"/>
        </w:rPr>
        <w:t>0</w:t>
      </w:r>
      <w:r>
        <w:rPr>
          <w:rFonts w:hint="eastAsia" w:ascii="仿宋_GB2312" w:hAnsi="Times New Roman" w:eastAsia="仿宋_GB2312" w:cs="DengXian-Regular"/>
          <w:sz w:val="32"/>
          <w:szCs w:val="32"/>
        </w:rPr>
        <w:t>辆，应急保障用车</w:t>
      </w:r>
      <w:r>
        <w:rPr>
          <w:rFonts w:ascii="仿宋_GB2312" w:hAnsi="Times New Roman" w:eastAsia="仿宋_GB2312" w:cs="DengXian-Regular"/>
          <w:sz w:val="32"/>
          <w:szCs w:val="32"/>
        </w:rPr>
        <w:t>0</w:t>
      </w:r>
      <w:r>
        <w:rPr>
          <w:rFonts w:hint="eastAsia" w:ascii="仿宋_GB2312" w:hAnsi="Times New Roman" w:eastAsia="仿宋_GB2312" w:cs="DengXian-Regular"/>
          <w:sz w:val="32"/>
          <w:szCs w:val="32"/>
        </w:rPr>
        <w:t>辆，执法执勤用车</w:t>
      </w:r>
      <w:r>
        <w:rPr>
          <w:rFonts w:ascii="仿宋_GB2312" w:hAnsi="Times New Roman" w:eastAsia="仿宋_GB2312" w:cs="DengXian-Regular"/>
          <w:sz w:val="32"/>
          <w:szCs w:val="32"/>
        </w:rPr>
        <w:t>0</w:t>
      </w:r>
      <w:r>
        <w:rPr>
          <w:rFonts w:hint="eastAsia" w:ascii="仿宋_GB2312" w:hAnsi="Times New Roman" w:eastAsia="仿宋_GB2312" w:cs="DengXian-Regular"/>
          <w:sz w:val="32"/>
          <w:szCs w:val="32"/>
        </w:rPr>
        <w:t>辆，特种专业技术用车</w:t>
      </w:r>
      <w:r>
        <w:rPr>
          <w:rFonts w:ascii="仿宋_GB2312" w:hAnsi="Times New Roman" w:eastAsia="仿宋_GB2312" w:cs="DengXian-Regular"/>
          <w:sz w:val="32"/>
          <w:szCs w:val="32"/>
        </w:rPr>
        <w:t>0</w:t>
      </w:r>
      <w:r>
        <w:rPr>
          <w:rFonts w:hint="eastAsia" w:ascii="仿宋_GB2312" w:hAnsi="Times New Roman" w:eastAsia="仿宋_GB2312" w:cs="DengXian-Regular"/>
          <w:sz w:val="32"/>
          <w:szCs w:val="32"/>
        </w:rPr>
        <w:t>辆，离退休干部用车</w:t>
      </w:r>
      <w:r>
        <w:rPr>
          <w:rFonts w:ascii="仿宋_GB2312" w:hAnsi="Times New Roman" w:eastAsia="仿宋_GB2312" w:cs="DengXian-Regular"/>
          <w:sz w:val="32"/>
          <w:szCs w:val="32"/>
        </w:rPr>
        <w:t>0</w:t>
      </w:r>
      <w:r>
        <w:rPr>
          <w:rFonts w:hint="eastAsia" w:ascii="仿宋_GB2312" w:hAnsi="Times New Roman" w:eastAsia="仿宋_GB2312" w:cs="DengXian-Regular"/>
          <w:sz w:val="32"/>
          <w:szCs w:val="32"/>
        </w:rPr>
        <w:t>辆，其他用车</w:t>
      </w:r>
      <w:r>
        <w:rPr>
          <w:rFonts w:ascii="仿宋_GB2312" w:hAnsi="Times New Roman" w:eastAsia="仿宋_GB2312" w:cs="DengXian-Regular"/>
          <w:sz w:val="32"/>
          <w:szCs w:val="32"/>
        </w:rPr>
        <w:t>1</w:t>
      </w:r>
      <w:r>
        <w:rPr>
          <w:rFonts w:hint="eastAsia" w:ascii="仿宋_GB2312" w:hAnsi="Times New Roman" w:eastAsia="仿宋_GB2312" w:cs="DengXian-Regular"/>
          <w:sz w:val="32"/>
          <w:szCs w:val="32"/>
        </w:rPr>
        <w:t>辆，其他用车主要是</w:t>
      </w:r>
      <w:r>
        <w:rPr>
          <w:rFonts w:hint="eastAsia" w:ascii="仿宋_GB2312" w:eastAsia="仿宋_GB2312" w:cs="DengXian-Regular"/>
          <w:sz w:val="32"/>
          <w:szCs w:val="32"/>
        </w:rPr>
        <w:t>用于防火防汛公务用车</w:t>
      </w:r>
      <w:r>
        <w:rPr>
          <w:rFonts w:hint="eastAsia" w:ascii="仿宋_GB2312" w:hAnsi="Times New Roman" w:eastAsia="仿宋_GB2312" w:cs="DengXian-Regular"/>
          <w:sz w:val="32"/>
          <w:szCs w:val="32"/>
        </w:rPr>
        <w:t>；</w:t>
      </w:r>
    </w:p>
    <w:p>
      <w:pPr>
        <w:adjustRightInd w:val="0"/>
        <w:snapToGrid w:val="0"/>
        <w:spacing w:line="580" w:lineRule="exact"/>
        <w:ind w:firstLine="640" w:firstLineChars="200"/>
        <w:rPr>
          <w:rFonts w:ascii="楷体_GB2312" w:hAnsi="Times New Roman" w:eastAsia="楷体_GB2312" w:cs="DengXian-Bold"/>
          <w:b/>
          <w:bCs/>
          <w:sz w:val="32"/>
          <w:szCs w:val="32"/>
        </w:rPr>
      </w:pPr>
      <w:r>
        <w:rPr>
          <w:rFonts w:hint="eastAsia" w:ascii="仿宋_GB2312" w:hAnsi="Times New Roman" w:eastAsia="仿宋_GB2312" w:cs="DengXian-Regular"/>
          <w:sz w:val="32"/>
          <w:szCs w:val="32"/>
        </w:rPr>
        <w:t>单位价值</w:t>
      </w:r>
      <w:r>
        <w:rPr>
          <w:rFonts w:ascii="仿宋_GB2312" w:hAnsi="TimesNewRomanPSMT" w:eastAsia="仿宋_GB2312" w:cs="TimesNewRomanPSMT"/>
          <w:sz w:val="32"/>
          <w:szCs w:val="32"/>
        </w:rPr>
        <w:t>50</w:t>
      </w:r>
      <w:r>
        <w:rPr>
          <w:rFonts w:hint="eastAsia" w:ascii="仿宋_GB2312" w:hAnsi="Times New Roman" w:eastAsia="仿宋_GB2312" w:cs="DengXian-Regular"/>
          <w:sz w:val="32"/>
          <w:szCs w:val="32"/>
        </w:rPr>
        <w:t>万元以上通用设备</w:t>
      </w:r>
      <w:r>
        <w:rPr>
          <w:rFonts w:ascii="仿宋_GB2312" w:hAnsi="Times New Roman" w:eastAsia="仿宋_GB2312" w:cs="DengXian-Regular"/>
          <w:sz w:val="32"/>
          <w:szCs w:val="32"/>
        </w:rPr>
        <w:t>0</w:t>
      </w:r>
      <w:r>
        <w:rPr>
          <w:rFonts w:hint="eastAsia" w:ascii="仿宋_GB2312" w:hAnsi="Times New Roman" w:eastAsia="仿宋_GB2312" w:cs="DengXian-Regular"/>
          <w:sz w:val="32"/>
          <w:szCs w:val="32"/>
        </w:rPr>
        <w:t>台，比上年无增减变化，单位价值</w:t>
      </w:r>
      <w:r>
        <w:rPr>
          <w:rFonts w:ascii="仿宋_GB2312" w:hAnsi="TimesNewRomanPSMT" w:eastAsia="仿宋_GB2312" w:cs="TimesNewRomanPSMT"/>
          <w:sz w:val="32"/>
          <w:szCs w:val="32"/>
        </w:rPr>
        <w:t>100</w:t>
      </w:r>
      <w:r>
        <w:rPr>
          <w:rFonts w:hint="eastAsia" w:ascii="仿宋_GB2312" w:hAnsi="Times New Roman" w:eastAsia="仿宋_GB2312" w:cs="DengXian-Regular"/>
          <w:sz w:val="32"/>
          <w:szCs w:val="32"/>
        </w:rPr>
        <w:t>万元以上专用设备</w:t>
      </w:r>
      <w:r>
        <w:rPr>
          <w:rFonts w:ascii="仿宋_GB2312" w:hAnsi="Times New Roman" w:eastAsia="仿宋_GB2312" w:cs="DengXian-Regular"/>
          <w:sz w:val="32"/>
          <w:szCs w:val="32"/>
        </w:rPr>
        <w:t>0</w:t>
      </w:r>
      <w:r>
        <w:rPr>
          <w:rFonts w:hint="eastAsia" w:ascii="仿宋_GB2312" w:hAnsi="Times New Roman" w:eastAsia="仿宋_GB2312" w:cs="DengXian-Regular"/>
          <w:sz w:val="32"/>
          <w:szCs w:val="32"/>
        </w:rPr>
        <w:t>台，比上年无增减变化。</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（四）其他需要说明的情况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ascii="仿宋_GB2312" w:hAnsi="Times New Roman" w:eastAsia="仿宋_GB2312" w:cs="DengXian-Regular"/>
          <w:sz w:val="32"/>
          <w:szCs w:val="32"/>
        </w:rPr>
        <w:t xml:space="preserve">1. </w:t>
      </w: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年度“政府性基金预算财政拨款收入支出决算表”（公开</w:t>
      </w:r>
      <w:r>
        <w:rPr>
          <w:rFonts w:ascii="仿宋_GB2312" w:hAnsi="Times New Roman" w:eastAsia="仿宋_GB2312" w:cs="DengXian-Regular"/>
          <w:sz w:val="32"/>
          <w:szCs w:val="32"/>
        </w:rPr>
        <w:t>08</w:t>
      </w:r>
      <w:r>
        <w:rPr>
          <w:rFonts w:hint="eastAsia" w:ascii="仿宋_GB2312" w:hAnsi="Times New Roman" w:eastAsia="仿宋_GB2312" w:cs="DengXian-Regular"/>
          <w:sz w:val="32"/>
          <w:szCs w:val="32"/>
        </w:rPr>
        <w:t>表），无收支及结转结余情况，故“政府性基金预算财政拨款收入支出决算表”以空表列示。本部门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年度“国有资本经营预算财政拨款支出决算表”（公开</w:t>
      </w:r>
      <w:r>
        <w:rPr>
          <w:rFonts w:ascii="仿宋_GB2312" w:hAnsi="Times New Roman" w:eastAsia="仿宋_GB2312" w:cs="DengXian-Regular"/>
          <w:sz w:val="32"/>
          <w:szCs w:val="32"/>
        </w:rPr>
        <w:t>09</w:t>
      </w:r>
      <w:r>
        <w:rPr>
          <w:rFonts w:hint="eastAsia" w:ascii="仿宋_GB2312" w:hAnsi="Times New Roman" w:eastAsia="仿宋_GB2312" w:cs="DengXian-Regular"/>
          <w:sz w:val="32"/>
          <w:szCs w:val="32"/>
        </w:rPr>
        <w:t>表），无相关支出情况，故以空表列示。</w:t>
      </w:r>
    </w:p>
    <w:p>
      <w:pPr>
        <w:adjustRightInd w:val="0"/>
        <w:snapToGrid w:val="0"/>
        <w:spacing w:line="580" w:lineRule="exact"/>
        <w:ind w:firstLine="640" w:firstLineChars="200"/>
        <w:rPr>
          <w:rFonts w:ascii="仿宋_GB2312" w:hAnsi="Times New Roman" w:eastAsia="仿宋_GB2312" w:cs="DengXian-Regular"/>
          <w:sz w:val="32"/>
          <w:szCs w:val="32"/>
        </w:rPr>
      </w:pPr>
      <w:r>
        <w:rPr>
          <w:rFonts w:ascii="仿宋_GB2312" w:hAnsi="Times New Roman" w:eastAsia="仿宋_GB2312" w:cs="DengXian-Regular"/>
          <w:sz w:val="32"/>
          <w:szCs w:val="32"/>
        </w:rPr>
        <w:t xml:space="preserve">2. </w:t>
      </w:r>
      <w:r>
        <w:rPr>
          <w:rFonts w:hint="eastAsia" w:ascii="仿宋_GB2312" w:hAnsi="Times New Roman" w:eastAsia="仿宋_GB2312" w:cs="DengXian-Regular"/>
          <w:sz w:val="32"/>
          <w:szCs w:val="32"/>
        </w:rPr>
        <w:t>由于决算公开表格中金额数值应当保留两位小数，公开数据为四舍五入计算结果，个别数据合计项与分项之和存在小数点后差额，特此说明。</w:t>
      </w:r>
    </w:p>
    <w:p>
      <w:pPr>
        <w:widowControl/>
        <w:spacing w:line="580" w:lineRule="exact"/>
        <w:ind w:firstLine="883" w:firstLineChars="200"/>
        <w:jc w:val="left"/>
        <w:rPr>
          <w:rFonts w:ascii="宋体" w:hAnsi="宋体" w:eastAsia="宋体" w:cs="MS-UIGothic,Bold"/>
          <w:b/>
          <w:bCs/>
          <w:kern w:val="0"/>
          <w:sz w:val="44"/>
          <w:szCs w:val="44"/>
        </w:rPr>
        <w:sectPr>
          <w:type w:val="continuous"/>
          <w:pgSz w:w="11906" w:h="16838"/>
          <w:pgMar w:top="2098" w:right="1474" w:bottom="1984" w:left="1588" w:header="851" w:footer="992" w:gutter="0"/>
          <w:pgNumType w:fmt="numberInDash"/>
          <w:cols w:space="0" w:num="1"/>
          <w:docGrid w:type="lines" w:linePitch="312" w:charSpace="0"/>
        </w:sectPr>
      </w:pPr>
    </w:p>
    <w:p>
      <w:pPr>
        <w:jc w:val="center"/>
        <w:rPr>
          <w:rFonts w:ascii="黑体" w:hAnsi="黑体" w:eastAsia="黑体" w:cs="黑体"/>
          <w:sz w:val="56"/>
          <w:szCs w:val="72"/>
        </w:rPr>
      </w:pPr>
    </w:p>
    <w:p>
      <w:pPr>
        <w:jc w:val="center"/>
        <w:rPr>
          <w:rFonts w:ascii="黑体" w:hAnsi="黑体" w:eastAsia="黑体" w:cs="黑体"/>
          <w:sz w:val="56"/>
          <w:szCs w:val="72"/>
        </w:rPr>
        <w:sectPr>
          <w:type w:val="continuous"/>
          <w:pgSz w:w="11906" w:h="16838"/>
          <w:pgMar w:top="2041" w:right="1531" w:bottom="2041" w:left="1531" w:header="851" w:footer="992" w:gutter="0"/>
          <w:pgNumType w:fmt="numberInDash"/>
          <w:cols w:space="0" w:num="1"/>
          <w:titlePg/>
          <w:docGrid w:type="lines" w:linePitch="312" w:charSpace="0"/>
        </w:sectPr>
      </w:pPr>
    </w:p>
    <w:p>
      <w:pPr>
        <w:rPr>
          <w:rFonts w:ascii="黑体" w:hAnsi="黑体" w:eastAsia="黑体" w:cs="黑体"/>
          <w:sz w:val="56"/>
          <w:szCs w:val="72"/>
        </w:rPr>
        <w:sectPr>
          <w:type w:val="continuous"/>
          <w:pgSz w:w="11906" w:h="16838"/>
          <w:pgMar w:top="2041" w:right="1531" w:bottom="2041" w:left="1531" w:header="851" w:footer="992" w:gutter="0"/>
          <w:pgNumType w:fmt="numberInDash"/>
          <w:cols w:space="0" w:num="1"/>
          <w:titlePg/>
          <w:docGrid w:type="lines" w:linePitch="312" w:charSpace="0"/>
        </w:sectPr>
      </w:pPr>
    </w:p>
    <w:p>
      <w:pP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widowControl/>
        <w:jc w:val="center"/>
        <w:rPr>
          <w:sz w:val="88"/>
          <w:szCs w:val="88"/>
        </w:rPr>
      </w:pPr>
      <w:r>
        <w:rPr>
          <w:rFonts w:hint="eastAsia" w:ascii="黑体" w:hAnsi="黑体" w:eastAsia="黑体" w:cs="黑体"/>
          <w:color w:val="000000"/>
          <w:sz w:val="88"/>
          <w:szCs w:val="88"/>
        </w:rPr>
        <w:t>第三部分相关名词解释</w:t>
      </w:r>
    </w:p>
    <w:p>
      <w:pPr>
        <w:jc w:val="center"/>
        <w:rPr>
          <w:sz w:val="72"/>
        </w:rPr>
      </w:pPr>
    </w:p>
    <w:p/>
    <w:p/>
    <w:p/>
    <w:p/>
    <w:p/>
    <w:p/>
    <w:p/>
    <w:p/>
    <w:p/>
    <w:p/>
    <w:p/>
    <w:p/>
    <w:p/>
    <w:p>
      <w:pPr>
        <w:tabs>
          <w:tab w:val="left" w:pos="886"/>
        </w:tabs>
        <w:jc w:val="left"/>
        <w:sectPr>
          <w:headerReference r:id="rId13" w:type="first"/>
          <w:pgSz w:w="11906" w:h="16838"/>
          <w:pgMar w:top="2041" w:right="1531" w:bottom="2041" w:left="1531" w:header="851" w:footer="992" w:gutter="0"/>
          <w:pgNumType w:fmt="numberInDash"/>
          <w:cols w:space="0" w:num="1"/>
          <w:titlePg/>
          <w:docGrid w:type="lines" w:linePitch="312" w:charSpace="0"/>
        </w:sectPr>
      </w:pPr>
    </w:p>
    <w:p>
      <w:pPr>
        <w:rPr>
          <w:rFonts w:ascii="仿宋_GB2312" w:hAnsi="宋体" w:eastAsia="仿宋_GB2312" w:cs="ArialUnicodeMS"/>
          <w:sz w:val="32"/>
          <w:szCs w:val="32"/>
          <w:highlight w:val="yellow"/>
        </w:rPr>
      </w:pPr>
      <w:r>
        <w:rPr>
          <w:rFonts w:ascii="仿宋_GB2312" w:hAnsi="宋体" w:eastAsia="仿宋_GB2312" w:cs="ArialUnicodeMS"/>
          <w:sz w:val="32"/>
          <w:szCs w:val="32"/>
          <w:highlight w:val="yellow"/>
        </w:rPr>
        <w:br w:type="page"/>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（一）财政拨款收入：</w:t>
      </w:r>
      <w:r>
        <w:rPr>
          <w:rFonts w:hint="eastAsia" w:ascii="仿宋_GB2312" w:hAnsi="宋体" w:eastAsia="仿宋_GB2312"/>
          <w:color w:val="000000"/>
          <w:kern w:val="0"/>
          <w:sz w:val="32"/>
          <w:szCs w:val="32"/>
        </w:rPr>
        <w:t>本年度从本级财政部门取得的财政拨款，包括一般公共预算财政拨款和政府性基金预算财政拨款。</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（二）事业收入：</w:t>
      </w:r>
      <w:r>
        <w:rPr>
          <w:rFonts w:hint="eastAsia" w:ascii="仿宋_GB2312" w:hAnsi="宋体" w:eastAsia="仿宋_GB2312"/>
          <w:color w:val="000000"/>
          <w:kern w:val="0"/>
          <w:sz w:val="32"/>
          <w:szCs w:val="32"/>
        </w:rPr>
        <w:t>指事业单位开展专业业务活动及辅助活动所取得的收入。</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（三）其他收入：</w:t>
      </w:r>
      <w:r>
        <w:rPr>
          <w:rFonts w:hint="eastAsia" w:ascii="仿宋_GB2312" w:hAnsi="宋体" w:eastAsia="仿宋_GB2312"/>
          <w:color w:val="000000"/>
          <w:kern w:val="0"/>
          <w:sz w:val="32"/>
          <w:szCs w:val="32"/>
        </w:rPr>
        <w:t>指除上述“财政拨款收入”“事业收入”“经营收入”等以外的收入。</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（四）用事业基金弥补收支差额：</w:t>
      </w:r>
      <w:r>
        <w:rPr>
          <w:rFonts w:hint="eastAsia" w:ascii="仿宋_GB2312" w:hAnsi="宋体" w:eastAsia="仿宋_GB2312"/>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（五）年初结转和结余：</w:t>
      </w:r>
      <w:r>
        <w:rPr>
          <w:rFonts w:hint="eastAsia" w:ascii="仿宋_GB2312" w:hAnsi="宋体" w:eastAsia="仿宋_GB2312"/>
          <w:color w:val="000000"/>
          <w:kern w:val="0"/>
          <w:sz w:val="32"/>
          <w:szCs w:val="32"/>
        </w:rPr>
        <w:t>指以前年度尚未完成、结转到本年仍按原规定用途继续使用的资金，或项目已完成等产生的结余资金。</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（六）结余分配：</w:t>
      </w:r>
      <w:r>
        <w:rPr>
          <w:rFonts w:hint="eastAsia" w:ascii="仿宋_GB2312" w:hAnsi="宋体" w:eastAsia="仿宋_GB2312"/>
          <w:color w:val="000000"/>
          <w:kern w:val="0"/>
          <w:sz w:val="32"/>
          <w:szCs w:val="32"/>
        </w:rPr>
        <w:t>指事业单位按照事业单位会计制度的规定从非财政补助结余中分配的事业基金和职工福利基金等。</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（七）年末结转和结余：</w:t>
      </w:r>
      <w:r>
        <w:rPr>
          <w:rFonts w:hint="eastAsia" w:ascii="仿宋_GB2312" w:hAnsi="宋体" w:eastAsia="仿宋_GB2312"/>
          <w:color w:val="000000"/>
          <w:kern w:val="0"/>
          <w:sz w:val="32"/>
          <w:szCs w:val="32"/>
        </w:rPr>
        <w:t>指单位按有关规定结转到下年或以后年度继续使用的资金，或项目已完成等产生的结余资金。</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（八）基本支出：</w:t>
      </w:r>
      <w:r>
        <w:rPr>
          <w:rFonts w:hint="eastAsia" w:ascii="仿宋_GB2312" w:hAnsi="宋体" w:eastAsia="仿宋_GB2312"/>
          <w:color w:val="000000"/>
          <w:kern w:val="0"/>
          <w:sz w:val="32"/>
          <w:szCs w:val="32"/>
        </w:rPr>
        <w:t>填列单位为保障机构正常运转、完成日常工作任务而发生的各项支出。</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（九）项目支出：</w:t>
      </w:r>
      <w:r>
        <w:rPr>
          <w:rFonts w:hint="eastAsia" w:ascii="仿宋_GB2312" w:hAnsi="宋体" w:eastAsia="仿宋_GB2312"/>
          <w:color w:val="000000"/>
          <w:kern w:val="0"/>
          <w:sz w:val="32"/>
          <w:szCs w:val="32"/>
        </w:rPr>
        <w:t>填列单位为完成特定的行政工作任务或事业发展目标，在基本支出之外发生的各项支出</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（十）基本建设支出：</w:t>
      </w:r>
      <w:r>
        <w:rPr>
          <w:rFonts w:hint="eastAsia" w:ascii="仿宋_GB2312" w:hAnsi="宋体" w:eastAsia="仿宋_GB2312"/>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（十一）其他资本性支出：</w:t>
      </w:r>
      <w:r>
        <w:rPr>
          <w:rFonts w:hint="eastAsia" w:ascii="仿宋_GB2312" w:hAnsi="宋体" w:eastAsia="仿宋_GB2312"/>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（十二）“三公”经费：</w:t>
      </w:r>
      <w:r>
        <w:rPr>
          <w:rFonts w:hint="eastAsia" w:ascii="仿宋_GB2312" w:hAnsi="宋体" w:eastAsia="仿宋_GB2312"/>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（十三）其他交通费用：</w:t>
      </w:r>
      <w:r>
        <w:rPr>
          <w:rFonts w:hint="eastAsia" w:ascii="仿宋_GB2312" w:hAnsi="宋体" w:eastAsia="仿宋_GB2312"/>
          <w:color w:val="000000"/>
          <w:kern w:val="0"/>
          <w:sz w:val="32"/>
          <w:szCs w:val="32"/>
        </w:rPr>
        <w:t>填列单位除公务用车运行维护费以外的其他交通费用。如公务交通补贴、租车费用、出租车费用，飞机、船舶等燃料费、维修费、保险费等。</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（十四）公务用车购置：</w:t>
      </w:r>
      <w:r>
        <w:rPr>
          <w:rFonts w:hint="eastAsia" w:ascii="仿宋_GB2312" w:hAnsi="宋体" w:eastAsia="仿宋_GB2312"/>
          <w:color w:val="000000"/>
          <w:kern w:val="0"/>
          <w:sz w:val="32"/>
          <w:szCs w:val="32"/>
        </w:rPr>
        <w:t>填列单位公务用车车辆购置支出（含车辆购置税、牌照费）。</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（十五）其他交通工具购置：</w:t>
      </w:r>
      <w:r>
        <w:rPr>
          <w:rFonts w:hint="eastAsia" w:ascii="仿宋_GB2312" w:hAnsi="宋体" w:eastAsia="仿宋_GB2312"/>
          <w:color w:val="000000"/>
          <w:kern w:val="0"/>
          <w:sz w:val="32"/>
          <w:szCs w:val="32"/>
        </w:rPr>
        <w:t>填列单位除公务用车外的其他各类交通工具（如船舶、飞机等）购置支出（含车辆购置税、牌照费）。</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（十六）机关运行经费：</w:t>
      </w:r>
      <w:r>
        <w:rPr>
          <w:rFonts w:hint="eastAsia" w:ascii="仿宋_GB2312" w:hAnsi="宋体" w:eastAsia="仿宋_GB2312"/>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jc w:val="left"/>
        <w:rPr>
          <w:rFonts w:ascii="仿宋_GB2312" w:hAnsi="Cambria" w:eastAsia="仿宋_GB2312" w:cs="ArialUnicodeMS"/>
          <w:kern w:val="0"/>
          <w:sz w:val="32"/>
          <w:szCs w:val="32"/>
        </w:rPr>
      </w:pPr>
      <w:r>
        <w:rPr>
          <w:rFonts w:hint="eastAsia" w:ascii="仿宋_GB2312" w:hAnsi="宋体" w:eastAsia="仿宋_GB2312"/>
          <w:b/>
          <w:bCs/>
          <w:color w:val="000000"/>
          <w:kern w:val="0"/>
          <w:sz w:val="32"/>
          <w:szCs w:val="32"/>
        </w:rPr>
        <w:t>（十七）经费形式</w:t>
      </w:r>
      <w:r>
        <w:rPr>
          <w:rFonts w:ascii="仿宋_GB2312" w:hAnsi="宋体" w:eastAsia="仿宋_GB2312"/>
          <w:b/>
          <w:bCs/>
          <w:color w:val="000000"/>
          <w:kern w:val="0"/>
          <w:sz w:val="32"/>
          <w:szCs w:val="32"/>
        </w:rPr>
        <w:t>:</w:t>
      </w:r>
      <w:r>
        <w:rPr>
          <w:rFonts w:hint="eastAsia" w:ascii="仿宋_GB2312" w:hAnsi="宋体" w:eastAsia="仿宋_GB2312"/>
          <w:color w:val="000000"/>
          <w:kern w:val="0"/>
          <w:sz w:val="32"/>
          <w:szCs w:val="32"/>
        </w:rPr>
        <w:t>按照经费来源，</w:t>
      </w:r>
      <w:r>
        <w:rPr>
          <w:rFonts w:hint="eastAsia" w:ascii="仿宋_GB2312" w:hAnsi="Cambria" w:eastAsia="仿宋_GB2312" w:cs="ArialUnicodeMS"/>
          <w:kern w:val="0"/>
          <w:sz w:val="32"/>
          <w:szCs w:val="32"/>
        </w:rPr>
        <w:t>可分为财政拨款、财政性资金基本保证、财政性资金定额或定项补助、财政性资金零补助四类。</w:t>
      </w:r>
    </w:p>
    <w:p/>
    <w:p/>
    <w:p/>
    <w:p/>
    <w:p/>
    <w:p/>
    <w:p/>
    <w:p/>
    <w:p>
      <w:pPr>
        <w:jc w:val="left"/>
        <w:sectPr>
          <w:headerReference r:id="rId14" w:type="default"/>
          <w:type w:val="continuous"/>
          <w:pgSz w:w="11906" w:h="16838"/>
          <w:pgMar w:top="2098" w:right="1474" w:bottom="1985" w:left="1588" w:header="851" w:footer="992" w:gutter="0"/>
          <w:pgNumType w:fmt="numberInDash"/>
          <w:cols w:space="425" w:num="1"/>
          <w:docGrid w:type="lines" w:linePitch="312" w:charSpace="0"/>
        </w:sectPr>
      </w:pPr>
    </w:p>
    <w:p>
      <w:pPr>
        <w:widowControl/>
        <w:jc w:val="center"/>
        <w:rPr>
          <w:rFonts w:ascii="黑体" w:hAnsi="黑体" w:eastAsia="黑体" w:cs="黑体"/>
          <w:color w:val="000000"/>
          <w:sz w:val="86"/>
          <w:szCs w:val="86"/>
        </w:rPr>
      </w:pPr>
    </w:p>
    <w:p>
      <w:pPr>
        <w:widowControl/>
        <w:jc w:val="center"/>
        <w:rPr>
          <w:rFonts w:ascii="黑体" w:hAnsi="黑体" w:eastAsia="黑体" w:cs="黑体"/>
          <w:color w:val="000000"/>
          <w:sz w:val="86"/>
          <w:szCs w:val="86"/>
        </w:rPr>
      </w:pPr>
      <w:r>
        <w:rPr>
          <w:rFonts w:hint="eastAsia" w:ascii="黑体" w:hAnsi="黑体" w:eastAsia="黑体" w:cs="黑体"/>
          <w:color w:val="000000"/>
          <w:sz w:val="86"/>
          <w:szCs w:val="86"/>
        </w:rPr>
        <w:t>第四部分</w:t>
      </w:r>
    </w:p>
    <w:p>
      <w:pPr>
        <w:widowControl/>
        <w:jc w:val="center"/>
        <w:rPr>
          <w:sz w:val="86"/>
          <w:szCs w:val="86"/>
        </w:rPr>
      </w:pPr>
      <w:r>
        <w:rPr>
          <w:rFonts w:ascii="黑体" w:hAnsi="黑体" w:eastAsia="黑体" w:cs="黑体"/>
          <w:color w:val="000000"/>
          <w:sz w:val="86"/>
          <w:szCs w:val="86"/>
        </w:rPr>
        <w:t>2019</w:t>
      </w:r>
      <w:r>
        <w:rPr>
          <w:rFonts w:hint="eastAsia" w:ascii="黑体" w:hAnsi="黑体" w:eastAsia="黑体" w:cs="黑体"/>
          <w:color w:val="000000"/>
          <w:sz w:val="86"/>
          <w:szCs w:val="86"/>
        </w:rPr>
        <w:t>年度部门决算报表</w:t>
      </w:r>
    </w:p>
    <w:p>
      <w:pPr>
        <w:tabs>
          <w:tab w:val="left" w:pos="235"/>
        </w:tabs>
        <w:jc w:val="left"/>
        <w:sectPr>
          <w:pgSz w:w="11906" w:h="16838"/>
          <w:pgMar w:top="2098" w:right="1474" w:bottom="1985" w:left="1588" w:header="851" w:footer="992" w:gutter="0"/>
          <w:pgNumType w:fmt="numberInDash"/>
          <w:cols w:space="425" w:num="1"/>
          <w:docGrid w:type="lines" w:linePitch="312" w:charSpace="0"/>
        </w:sectPr>
      </w:pPr>
    </w:p>
    <w:p>
      <w:pPr>
        <w:tabs>
          <w:tab w:val="left" w:pos="886"/>
        </w:tabs>
        <w:jc w:val="left"/>
      </w:pPr>
    </w:p>
    <w:p>
      <w:pPr>
        <w:jc w:val="left"/>
      </w:pPr>
    </w:p>
    <w:tbl>
      <w:tblPr>
        <w:tblStyle w:val="7"/>
        <w:tblpPr w:leftFromText="180" w:rightFromText="180" w:vertAnchor="text" w:horzAnchor="page" w:tblpXSpec="center" w:tblpY="31"/>
        <w:tblOverlap w:val="never"/>
        <w:tblW w:w="9517" w:type="dxa"/>
        <w:jc w:val="center"/>
        <w:tblLayout w:type="fixed"/>
        <w:tblCellMar>
          <w:top w:w="0" w:type="dxa"/>
          <w:left w:w="0" w:type="dxa"/>
          <w:bottom w:w="0" w:type="dxa"/>
          <w:right w:w="0" w:type="dxa"/>
        </w:tblCellMar>
      </w:tblPr>
      <w:tblGrid>
        <w:gridCol w:w="3236"/>
        <w:gridCol w:w="731"/>
        <w:gridCol w:w="691"/>
        <w:gridCol w:w="3474"/>
        <w:gridCol w:w="541"/>
        <w:gridCol w:w="844"/>
      </w:tblGrid>
      <w:tr>
        <w:tblPrEx>
          <w:tblCellMar>
            <w:top w:w="0" w:type="dxa"/>
            <w:left w:w="0" w:type="dxa"/>
            <w:bottom w:w="0" w:type="dxa"/>
            <w:right w:w="0" w:type="dxa"/>
          </w:tblCellMar>
        </w:tblPrEx>
        <w:trPr>
          <w:trHeight w:val="489" w:hRule="atLeast"/>
          <w:jc w:val="center"/>
        </w:trPr>
        <w:tc>
          <w:tcPr>
            <w:tcW w:w="9517" w:type="dxa"/>
            <w:gridSpan w:val="6"/>
            <w:tcBorders>
              <w:top w:val="nil"/>
              <w:left w:val="nil"/>
              <w:bottom w:val="nil"/>
              <w:right w:val="nil"/>
            </w:tcBorders>
            <w:noWrap/>
            <w:tcMar>
              <w:top w:w="15" w:type="dxa"/>
              <w:left w:w="15" w:type="dxa"/>
              <w:right w:w="15" w:type="dxa"/>
            </w:tcMar>
            <w:vAlign w:val="bottom"/>
          </w:tcPr>
          <w:p>
            <w:pPr>
              <w:spacing w:line="400" w:lineRule="exact"/>
              <w:jc w:val="center"/>
              <w:rPr>
                <w:rFonts w:ascii="黑体" w:hAnsi="宋体" w:eastAsia="黑体" w:cs="黑体"/>
                <w:color w:val="000000"/>
                <w:sz w:val="32"/>
                <w:szCs w:val="32"/>
              </w:rPr>
            </w:pPr>
            <w:r>
              <w:rPr>
                <w:rFonts w:hint="eastAsia" w:ascii="黑体" w:hAnsi="宋体" w:eastAsia="黑体" w:cs="黑体"/>
                <w:color w:val="000000"/>
                <w:kern w:val="0"/>
                <w:sz w:val="32"/>
                <w:szCs w:val="32"/>
              </w:rPr>
              <w:t>收入支出决算总表</w:t>
            </w:r>
          </w:p>
        </w:tc>
      </w:tr>
      <w:tr>
        <w:tblPrEx>
          <w:tblCellMar>
            <w:top w:w="0" w:type="dxa"/>
            <w:left w:w="0" w:type="dxa"/>
            <w:bottom w:w="0" w:type="dxa"/>
            <w:right w:w="0" w:type="dxa"/>
          </w:tblCellMar>
        </w:tblPrEx>
        <w:trPr>
          <w:trHeight w:val="205" w:hRule="atLeast"/>
          <w:jc w:val="center"/>
        </w:trPr>
        <w:tc>
          <w:tcPr>
            <w:tcW w:w="3236"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731"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691"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4859" w:type="dxa"/>
            <w:gridSpan w:val="3"/>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w:t>
            </w:r>
            <w:r>
              <w:rPr>
                <w:rFonts w:ascii="宋体" w:hAnsi="宋体" w:eastAsia="宋体" w:cs="宋体"/>
                <w:color w:val="000000"/>
                <w:kern w:val="0"/>
                <w:sz w:val="20"/>
                <w:szCs w:val="20"/>
              </w:rPr>
              <w:t>01</w:t>
            </w:r>
            <w:r>
              <w:rPr>
                <w:rFonts w:hint="eastAsia" w:ascii="宋体" w:hAnsi="宋体" w:eastAsia="宋体" w:cs="宋体"/>
                <w:color w:val="000000"/>
                <w:kern w:val="0"/>
                <w:sz w:val="20"/>
                <w:szCs w:val="20"/>
              </w:rPr>
              <w:t>表</w:t>
            </w:r>
          </w:p>
        </w:tc>
      </w:tr>
      <w:tr>
        <w:tblPrEx>
          <w:tblCellMar>
            <w:top w:w="0" w:type="dxa"/>
            <w:left w:w="0" w:type="dxa"/>
            <w:bottom w:w="0" w:type="dxa"/>
            <w:right w:w="0" w:type="dxa"/>
          </w:tblCellMar>
        </w:tblPrEx>
        <w:trPr>
          <w:trHeight w:val="421" w:hRule="atLeast"/>
          <w:jc w:val="center"/>
        </w:trPr>
        <w:tc>
          <w:tcPr>
            <w:tcW w:w="3236" w:type="dxa"/>
            <w:tcBorders>
              <w:top w:val="nil"/>
              <w:left w:val="nil"/>
              <w:bottom w:val="nil"/>
              <w:right w:val="nil"/>
            </w:tcBorders>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r>
              <w:rPr>
                <w:rFonts w:hint="eastAsia" w:ascii="宋体" w:hAnsi="宋体" w:cs="宋体"/>
                <w:kern w:val="0"/>
                <w:sz w:val="20"/>
                <w:szCs w:val="20"/>
              </w:rPr>
              <w:t>遵化市崔家庄乡人民政府</w:t>
            </w:r>
          </w:p>
        </w:tc>
        <w:tc>
          <w:tcPr>
            <w:tcW w:w="731"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691"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4859" w:type="dxa"/>
            <w:gridSpan w:val="3"/>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284" w:hRule="atLeast"/>
          <w:jc w:val="center"/>
        </w:trPr>
        <w:tc>
          <w:tcPr>
            <w:tcW w:w="465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收入</w:t>
            </w:r>
          </w:p>
        </w:tc>
        <w:tc>
          <w:tcPr>
            <w:tcW w:w="4859" w:type="dxa"/>
            <w:gridSpan w:val="3"/>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支出</w:t>
            </w:r>
          </w:p>
        </w:tc>
      </w:tr>
      <w:tr>
        <w:tblPrEx>
          <w:tblCellMar>
            <w:top w:w="0" w:type="dxa"/>
            <w:left w:w="0" w:type="dxa"/>
            <w:bottom w:w="0" w:type="dxa"/>
            <w:right w:w="0" w:type="dxa"/>
          </w:tblCellMar>
        </w:tblPrEx>
        <w:trPr>
          <w:trHeight w:val="770"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一、一般公共预算财政拨款收入</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rPr>
              <w:t>689.68</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一、一般公共服务支出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29</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rPr>
              <w:t>559.52</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二、政府性基金预算财政拨款收入</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二、外交支出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30</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182"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三、上级补助收入</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三、国防支出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31</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四、事业收入</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四、公共安全支出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32</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五、经营收入</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五、教育支出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33</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六、附属单位上缴收入</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6</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六、科学技术支出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34</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七、其他收入</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7</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七、文化旅游体育与传媒支出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35</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8</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八、社会保障和就业支出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36</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9</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九、卫生健康支出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37</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rPr>
              <w:t>38.11</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10</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十、节能环保支出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38</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11</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十一、城乡社区支出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39</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rPr>
              <w:t>63.16</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12</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十二、农林水支出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40</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rPr>
              <w:t>28.89</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13</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十三、交通运输支出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41</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14</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十四、资源勘探信息等支出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42</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15</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十五、商业服务业等支出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43</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16</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十六、金融支出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44</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17</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十七、援助其他地区支出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45</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18</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十八、自然资源海洋气象等支出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46</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19</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十九、住房保障支出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47</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20</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二十、粮油物资储备支出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48</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21</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二十一、灾害防治及应急管理支出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49</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22</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二十二、其他支出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50</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23</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二十四、债务付息支出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51</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本年收入合计</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24</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rPr>
              <w:t>689.68</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本年支出合计</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52</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rPr>
              <w:t>689.68</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用事业基金弥补收支差额</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25</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结余分配</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53</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年初结转和结余</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26</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年末结转和结余</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54</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27</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55</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28</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rPr>
              <w:t>689.68</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56</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rPr>
              <w:t>689.68</w:t>
            </w:r>
          </w:p>
        </w:tc>
      </w:tr>
      <w:tr>
        <w:tblPrEx>
          <w:tblCellMar>
            <w:top w:w="0" w:type="dxa"/>
            <w:left w:w="0" w:type="dxa"/>
            <w:bottom w:w="0" w:type="dxa"/>
            <w:right w:w="0" w:type="dxa"/>
          </w:tblCellMar>
        </w:tblPrEx>
        <w:trPr>
          <w:trHeight w:val="213" w:hRule="atLeast"/>
          <w:jc w:val="center"/>
        </w:trPr>
        <w:tc>
          <w:tcPr>
            <w:tcW w:w="9517" w:type="dxa"/>
            <w:gridSpan w:val="6"/>
            <w:tcBorders>
              <w:top w:val="nil"/>
              <w:left w:val="nil"/>
              <w:bottom w:val="nil"/>
              <w:right w:val="nil"/>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注：本表反映部门本年度的总收支和年末结转结余情况。</w:t>
            </w:r>
          </w:p>
          <w:p>
            <w:pPr>
              <w:widowControl/>
              <w:jc w:val="left"/>
              <w:textAlignment w:val="center"/>
              <w:rPr>
                <w:rFonts w:ascii="宋体" w:hAnsi="宋体" w:eastAsia="宋体" w:cs="宋体"/>
                <w:color w:val="000000"/>
                <w:kern w:val="0"/>
                <w:sz w:val="22"/>
              </w:rPr>
            </w:pPr>
          </w:p>
          <w:p>
            <w:pPr>
              <w:widowControl/>
              <w:jc w:val="left"/>
              <w:textAlignment w:val="center"/>
              <w:rPr>
                <w:rFonts w:ascii="宋体" w:hAnsi="宋体" w:eastAsia="宋体" w:cs="宋体"/>
                <w:color w:val="000000"/>
                <w:kern w:val="0"/>
                <w:sz w:val="22"/>
              </w:rPr>
            </w:pPr>
          </w:p>
        </w:tc>
      </w:tr>
    </w:tbl>
    <w:tbl>
      <w:tblPr>
        <w:tblStyle w:val="7"/>
        <w:tblW w:w="9610" w:type="dxa"/>
        <w:jc w:val="center"/>
        <w:tblLayout w:type="autofit"/>
        <w:tblCellMar>
          <w:top w:w="0" w:type="dxa"/>
          <w:left w:w="0" w:type="dxa"/>
          <w:bottom w:w="0" w:type="dxa"/>
          <w:right w:w="0" w:type="dxa"/>
        </w:tblCellMar>
      </w:tblPr>
      <w:tblGrid>
        <w:gridCol w:w="765"/>
        <w:gridCol w:w="44"/>
        <w:gridCol w:w="44"/>
        <w:gridCol w:w="3678"/>
        <w:gridCol w:w="992"/>
        <w:gridCol w:w="992"/>
        <w:gridCol w:w="619"/>
        <w:gridCol w:w="619"/>
        <w:gridCol w:w="619"/>
        <w:gridCol w:w="619"/>
        <w:gridCol w:w="619"/>
      </w:tblGrid>
      <w:tr>
        <w:tblPrEx>
          <w:tblCellMar>
            <w:top w:w="0" w:type="dxa"/>
            <w:left w:w="0" w:type="dxa"/>
            <w:bottom w:w="0" w:type="dxa"/>
            <w:right w:w="0" w:type="dxa"/>
          </w:tblCellMar>
        </w:tblPrEx>
        <w:trPr>
          <w:trHeight w:val="670" w:hRule="atLeast"/>
          <w:jc w:val="center"/>
        </w:trPr>
        <w:tc>
          <w:tcPr>
            <w:tcW w:w="9610" w:type="dxa"/>
            <w:gridSpan w:val="11"/>
            <w:tcBorders>
              <w:top w:val="nil"/>
              <w:left w:val="nil"/>
              <w:bottom w:val="nil"/>
              <w:right w:val="nil"/>
            </w:tcBorders>
            <w:noWrap/>
            <w:tcMar>
              <w:top w:w="15" w:type="dxa"/>
              <w:left w:w="15" w:type="dxa"/>
              <w:right w:w="15" w:type="dxa"/>
            </w:tcMar>
            <w:vAlign w:val="bottom"/>
          </w:tcPr>
          <w:p>
            <w:pPr>
              <w:widowControl/>
              <w:jc w:val="center"/>
              <w:textAlignment w:val="bottom"/>
              <w:rPr>
                <w:rFonts w:ascii="黑体" w:hAnsi="宋体" w:eastAsia="黑体" w:cs="黑体"/>
                <w:color w:val="000000"/>
                <w:kern w:val="0"/>
                <w:sz w:val="32"/>
                <w:szCs w:val="32"/>
              </w:rPr>
            </w:pPr>
          </w:p>
          <w:p>
            <w:pPr>
              <w:widowControl/>
              <w:jc w:val="center"/>
              <w:textAlignment w:val="bottom"/>
              <w:rPr>
                <w:rFonts w:ascii="黑体" w:hAnsi="宋体" w:eastAsia="黑体" w:cs="黑体"/>
                <w:color w:val="000000"/>
                <w:sz w:val="32"/>
                <w:szCs w:val="32"/>
              </w:rPr>
            </w:pPr>
            <w:r>
              <w:rPr>
                <w:rFonts w:hint="eastAsia" w:ascii="黑体" w:hAnsi="宋体" w:eastAsia="黑体" w:cs="黑体"/>
                <w:color w:val="000000"/>
                <w:kern w:val="0"/>
                <w:sz w:val="32"/>
                <w:szCs w:val="32"/>
              </w:rPr>
              <w:t>收入决算表</w:t>
            </w:r>
          </w:p>
        </w:tc>
      </w:tr>
      <w:tr>
        <w:tblPrEx>
          <w:tblCellMar>
            <w:top w:w="0" w:type="dxa"/>
            <w:left w:w="0" w:type="dxa"/>
            <w:bottom w:w="0" w:type="dxa"/>
            <w:right w:w="0" w:type="dxa"/>
          </w:tblCellMar>
        </w:tblPrEx>
        <w:trPr>
          <w:trHeight w:val="357" w:hRule="atLeast"/>
          <w:jc w:val="center"/>
        </w:trPr>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w:t>
            </w:r>
            <w:r>
              <w:rPr>
                <w:rFonts w:ascii="宋体" w:hAnsi="宋体" w:eastAsia="宋体" w:cs="宋体"/>
                <w:color w:val="000000"/>
                <w:kern w:val="0"/>
                <w:sz w:val="20"/>
                <w:szCs w:val="20"/>
              </w:rPr>
              <w:t>02</w:t>
            </w:r>
            <w:r>
              <w:rPr>
                <w:rFonts w:hint="eastAsia" w:ascii="宋体" w:hAnsi="宋体" w:eastAsia="宋体" w:cs="宋体"/>
                <w:color w:val="000000"/>
                <w:kern w:val="0"/>
                <w:sz w:val="20"/>
                <w:szCs w:val="20"/>
              </w:rPr>
              <w:t>表</w:t>
            </w:r>
          </w:p>
        </w:tc>
      </w:tr>
      <w:tr>
        <w:tblPrEx>
          <w:tblCellMar>
            <w:top w:w="0" w:type="dxa"/>
            <w:left w:w="0" w:type="dxa"/>
            <w:bottom w:w="0" w:type="dxa"/>
            <w:right w:w="0" w:type="dxa"/>
          </w:tblCellMar>
        </w:tblPrEx>
        <w:trPr>
          <w:trHeight w:val="357" w:hRule="atLeast"/>
          <w:jc w:val="center"/>
        </w:trPr>
        <w:tc>
          <w:tcPr>
            <w:tcW w:w="0" w:type="auto"/>
            <w:tcBorders>
              <w:top w:val="nil"/>
              <w:left w:val="nil"/>
              <w:bottom w:val="nil"/>
              <w:right w:val="nil"/>
            </w:tcBorders>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3104" w:type="dxa"/>
            <w:gridSpan w:val="3"/>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r>
              <w:rPr>
                <w:rFonts w:hint="eastAsia" w:ascii="宋体" w:hAnsi="宋体" w:cs="宋体"/>
                <w:kern w:val="0"/>
                <w:sz w:val="20"/>
                <w:szCs w:val="20"/>
              </w:rPr>
              <w:t>遵化市崔家庄乡人民政府</w:t>
            </w: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gridSpan w:val="3"/>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85" w:hRule="atLeast"/>
          <w:jc w:val="center"/>
        </w:trPr>
        <w:tc>
          <w:tcPr>
            <w:tcW w:w="0" w:type="auto"/>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999"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本年收入合计</w:t>
            </w:r>
          </w:p>
        </w:tc>
        <w:tc>
          <w:tcPr>
            <w:tcW w:w="999"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财政拨款收入</w:t>
            </w:r>
          </w:p>
        </w:tc>
        <w:tc>
          <w:tcPr>
            <w:tcW w:w="770"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上级补助收入</w:t>
            </w:r>
          </w:p>
        </w:tc>
        <w:tc>
          <w:tcPr>
            <w:tcW w:w="770"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事业收入</w:t>
            </w:r>
          </w:p>
        </w:tc>
        <w:tc>
          <w:tcPr>
            <w:tcW w:w="770"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经营收入</w:t>
            </w:r>
          </w:p>
        </w:tc>
        <w:tc>
          <w:tcPr>
            <w:tcW w:w="770"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附属单位上缴收入</w:t>
            </w:r>
          </w:p>
        </w:tc>
        <w:tc>
          <w:tcPr>
            <w:tcW w:w="772"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其他收入</w:t>
            </w:r>
          </w:p>
        </w:tc>
      </w:tr>
      <w:tr>
        <w:tblPrEx>
          <w:tblCellMar>
            <w:top w:w="0" w:type="dxa"/>
            <w:left w:w="0" w:type="dxa"/>
            <w:bottom w:w="0" w:type="dxa"/>
            <w:right w:w="0" w:type="dxa"/>
          </w:tblCellMar>
        </w:tblPrEx>
        <w:trPr>
          <w:trHeight w:val="380" w:hRule="atLeast"/>
          <w:jc w:val="center"/>
        </w:trPr>
        <w:tc>
          <w:tcPr>
            <w:tcW w:w="730" w:type="dxa"/>
            <w:gridSpan w:val="3"/>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0" w:type="auto"/>
            <w:vMerge w:val="restart"/>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999"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77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77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77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77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772"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0" w:hRule="atLeast"/>
          <w:jc w:val="center"/>
        </w:trPr>
        <w:tc>
          <w:tcPr>
            <w:tcW w:w="730"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77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77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77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77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772"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0" w:hRule="atLeast"/>
          <w:jc w:val="center"/>
        </w:trPr>
        <w:tc>
          <w:tcPr>
            <w:tcW w:w="730"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77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77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77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77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772"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0" w:type="auto"/>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999"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w:t>
            </w:r>
          </w:p>
        </w:tc>
        <w:tc>
          <w:tcPr>
            <w:tcW w:w="999"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w:t>
            </w:r>
          </w:p>
        </w:tc>
        <w:tc>
          <w:tcPr>
            <w:tcW w:w="77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w:t>
            </w:r>
          </w:p>
        </w:tc>
        <w:tc>
          <w:tcPr>
            <w:tcW w:w="77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w:t>
            </w:r>
          </w:p>
        </w:tc>
        <w:tc>
          <w:tcPr>
            <w:tcW w:w="77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w:t>
            </w:r>
          </w:p>
        </w:tc>
        <w:tc>
          <w:tcPr>
            <w:tcW w:w="77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6</w:t>
            </w:r>
          </w:p>
        </w:tc>
        <w:tc>
          <w:tcPr>
            <w:tcW w:w="772"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7</w:t>
            </w:r>
          </w:p>
        </w:tc>
      </w:tr>
      <w:tr>
        <w:tblPrEx>
          <w:tblCellMar>
            <w:top w:w="0" w:type="dxa"/>
            <w:left w:w="0" w:type="dxa"/>
            <w:bottom w:w="0" w:type="dxa"/>
            <w:right w:w="0" w:type="dxa"/>
          </w:tblCellMar>
        </w:tblPrEx>
        <w:trPr>
          <w:trHeight w:val="385" w:hRule="atLeast"/>
          <w:jc w:val="center"/>
        </w:trPr>
        <w:tc>
          <w:tcPr>
            <w:tcW w:w="0" w:type="auto"/>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b/>
                <w:color w:val="000000"/>
                <w:sz w:val="20"/>
                <w:szCs w:val="20"/>
              </w:rPr>
            </w:pPr>
            <w:r>
              <w:rPr>
                <w:rFonts w:ascii="宋体" w:hAnsi="宋体" w:eastAsia="宋体" w:cs="宋体"/>
                <w:b/>
                <w:color w:val="000000"/>
                <w:sz w:val="20"/>
                <w:szCs w:val="20"/>
              </w:rPr>
              <w:t>689.68</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b/>
                <w:color w:val="000000"/>
                <w:sz w:val="20"/>
                <w:szCs w:val="20"/>
              </w:rPr>
            </w:pPr>
            <w:r>
              <w:rPr>
                <w:rFonts w:ascii="宋体" w:hAnsi="宋体" w:eastAsia="宋体" w:cs="宋体"/>
                <w:b/>
                <w:color w:val="000000"/>
                <w:sz w:val="20"/>
                <w:szCs w:val="20"/>
              </w:rPr>
              <w:t>689.68</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b/>
                <w:color w:val="000000"/>
                <w:sz w:val="22"/>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ascii="宋体" w:hAnsi="宋体" w:eastAsia="宋体" w:cs="宋体"/>
                <w:color w:val="000000"/>
                <w:sz w:val="20"/>
                <w:szCs w:val="20"/>
              </w:rPr>
              <w:t>201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一般公共服务支出</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r>
              <w:rPr>
                <w:rFonts w:ascii="宋体" w:hAnsi="宋体" w:eastAsia="宋体" w:cs="宋体"/>
                <w:color w:val="000000"/>
                <w:sz w:val="20"/>
                <w:szCs w:val="20"/>
              </w:rPr>
              <w:t>559.52</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r>
              <w:rPr>
                <w:rFonts w:ascii="宋体" w:hAnsi="宋体" w:eastAsia="宋体" w:cs="宋体"/>
                <w:color w:val="000000"/>
                <w:sz w:val="20"/>
                <w:szCs w:val="20"/>
              </w:rPr>
              <w:t>559.52</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ascii="宋体" w:hAnsi="宋体" w:eastAsia="宋体" w:cs="宋体"/>
                <w:color w:val="000000"/>
                <w:sz w:val="20"/>
                <w:szCs w:val="20"/>
              </w:rPr>
              <w:t>20103</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tabs>
                <w:tab w:val="left" w:pos="461"/>
              </w:tabs>
              <w:rPr>
                <w:rFonts w:ascii="宋体" w:hAnsi="宋体" w:eastAsia="宋体" w:cs="宋体"/>
                <w:color w:val="000000"/>
                <w:sz w:val="20"/>
                <w:szCs w:val="20"/>
              </w:rPr>
            </w:pPr>
            <w:r>
              <w:rPr>
                <w:rFonts w:hint="eastAsia" w:ascii="宋体" w:hAnsi="宋体" w:eastAsia="宋体" w:cs="宋体"/>
                <w:color w:val="000000"/>
                <w:sz w:val="20"/>
                <w:szCs w:val="20"/>
              </w:rPr>
              <w:t>政府办公厅（室）及相关机构事务</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r>
              <w:rPr>
                <w:rFonts w:ascii="宋体" w:hAnsi="宋体" w:eastAsia="宋体" w:cs="宋体"/>
                <w:color w:val="000000"/>
                <w:sz w:val="20"/>
                <w:szCs w:val="20"/>
              </w:rPr>
              <w:t>457.14</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r>
              <w:rPr>
                <w:rFonts w:ascii="宋体" w:hAnsi="宋体" w:eastAsia="宋体" w:cs="宋体"/>
                <w:color w:val="000000"/>
                <w:sz w:val="20"/>
                <w:szCs w:val="20"/>
              </w:rPr>
              <w:t>457.14</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ascii="宋体" w:hAnsi="宋体" w:eastAsia="宋体" w:cs="宋体"/>
                <w:color w:val="000000"/>
                <w:sz w:val="20"/>
                <w:szCs w:val="20"/>
              </w:rPr>
              <w:t>2010301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ind w:firstLine="200" w:firstLineChars="100"/>
              <w:rPr>
                <w:rFonts w:ascii="宋体" w:hAnsi="宋体" w:eastAsia="宋体" w:cs="宋体"/>
                <w:color w:val="000000"/>
                <w:sz w:val="20"/>
                <w:szCs w:val="20"/>
              </w:rPr>
            </w:pPr>
            <w:r>
              <w:rPr>
                <w:rFonts w:hint="eastAsia" w:ascii="宋体" w:hAnsi="宋体" w:eastAsia="宋体" w:cs="宋体"/>
                <w:color w:val="000000"/>
                <w:sz w:val="20"/>
                <w:szCs w:val="20"/>
              </w:rPr>
              <w:t>行政运行</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r>
              <w:rPr>
                <w:rFonts w:ascii="宋体" w:hAnsi="宋体" w:eastAsia="宋体" w:cs="宋体"/>
                <w:color w:val="000000"/>
                <w:sz w:val="20"/>
                <w:szCs w:val="20"/>
              </w:rPr>
              <w:t>317.54</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r>
              <w:rPr>
                <w:rFonts w:ascii="宋体" w:hAnsi="宋体" w:eastAsia="宋体" w:cs="宋体"/>
                <w:color w:val="000000"/>
                <w:sz w:val="20"/>
                <w:szCs w:val="20"/>
              </w:rPr>
              <w:t>317.54</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ascii="宋体" w:hAnsi="宋体" w:eastAsia="宋体" w:cs="宋体"/>
                <w:color w:val="000000"/>
                <w:sz w:val="20"/>
                <w:szCs w:val="20"/>
              </w:rPr>
              <w:t>2010302</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ind w:firstLine="200" w:firstLineChars="100"/>
              <w:rPr>
                <w:rFonts w:ascii="宋体" w:hAnsi="宋体" w:eastAsia="宋体" w:cs="宋体"/>
                <w:color w:val="000000"/>
                <w:sz w:val="20"/>
                <w:szCs w:val="20"/>
              </w:rPr>
            </w:pPr>
            <w:r>
              <w:rPr>
                <w:rFonts w:hint="eastAsia" w:ascii="宋体" w:hAnsi="宋体" w:eastAsia="宋体" w:cs="宋体"/>
                <w:color w:val="000000"/>
                <w:sz w:val="20"/>
                <w:szCs w:val="20"/>
              </w:rPr>
              <w:t>一般行政管理事务</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r>
              <w:rPr>
                <w:rFonts w:ascii="宋体" w:hAnsi="宋体" w:eastAsia="宋体" w:cs="宋体"/>
                <w:color w:val="000000"/>
                <w:sz w:val="20"/>
                <w:szCs w:val="20"/>
              </w:rPr>
              <w:t>139.60</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r>
              <w:rPr>
                <w:rFonts w:ascii="宋体" w:hAnsi="宋体" w:eastAsia="宋体" w:cs="宋体"/>
                <w:color w:val="000000"/>
                <w:sz w:val="20"/>
                <w:szCs w:val="20"/>
              </w:rPr>
              <w:t>139.60</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ascii="宋体" w:hAnsi="宋体" w:eastAsia="宋体" w:cs="宋体"/>
                <w:color w:val="000000"/>
                <w:sz w:val="20"/>
                <w:szCs w:val="20"/>
              </w:rPr>
              <w:t>20106</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财政事务</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r>
              <w:rPr>
                <w:rFonts w:ascii="宋体" w:hAnsi="宋体" w:eastAsia="宋体" w:cs="宋体"/>
                <w:color w:val="000000"/>
                <w:sz w:val="20"/>
                <w:szCs w:val="20"/>
              </w:rPr>
              <w:t>37.37</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r>
              <w:rPr>
                <w:rFonts w:ascii="宋体" w:hAnsi="宋体" w:eastAsia="宋体" w:cs="宋体"/>
                <w:color w:val="000000"/>
                <w:sz w:val="20"/>
                <w:szCs w:val="20"/>
              </w:rPr>
              <w:t>37.37</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ascii="宋体" w:hAnsi="宋体" w:eastAsia="宋体" w:cs="宋体"/>
                <w:color w:val="000000"/>
                <w:sz w:val="20"/>
                <w:szCs w:val="20"/>
              </w:rPr>
              <w:t>2010601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ind w:firstLine="200" w:firstLineChars="100"/>
              <w:rPr>
                <w:rFonts w:ascii="宋体" w:hAnsi="宋体" w:eastAsia="宋体" w:cs="宋体"/>
                <w:color w:val="000000"/>
                <w:sz w:val="20"/>
                <w:szCs w:val="20"/>
              </w:rPr>
            </w:pPr>
            <w:r>
              <w:rPr>
                <w:rFonts w:hint="eastAsia" w:ascii="宋体" w:hAnsi="宋体" w:eastAsia="宋体" w:cs="宋体"/>
                <w:color w:val="000000"/>
                <w:sz w:val="20"/>
                <w:szCs w:val="20"/>
              </w:rPr>
              <w:t>行政运行</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r>
              <w:rPr>
                <w:rFonts w:ascii="宋体" w:hAnsi="宋体" w:eastAsia="宋体" w:cs="宋体"/>
                <w:color w:val="000000"/>
                <w:sz w:val="20"/>
                <w:szCs w:val="20"/>
              </w:rPr>
              <w:t>37.37</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r>
              <w:rPr>
                <w:rFonts w:ascii="宋体" w:hAnsi="宋体" w:eastAsia="宋体" w:cs="宋体"/>
                <w:color w:val="000000"/>
                <w:sz w:val="20"/>
                <w:szCs w:val="20"/>
              </w:rPr>
              <w:t>37.37</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ascii="宋体" w:hAnsi="宋体" w:eastAsia="宋体" w:cs="宋体"/>
                <w:color w:val="000000"/>
                <w:sz w:val="20"/>
                <w:szCs w:val="20"/>
              </w:rPr>
              <w:t>20129</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群众团体事务</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r>
              <w:rPr>
                <w:rFonts w:ascii="宋体" w:hAnsi="宋体" w:eastAsia="宋体" w:cs="宋体"/>
                <w:color w:val="000000"/>
                <w:sz w:val="20"/>
                <w:szCs w:val="20"/>
              </w:rPr>
              <w:t>14.45</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r>
              <w:rPr>
                <w:rFonts w:ascii="宋体" w:hAnsi="宋体" w:eastAsia="宋体" w:cs="宋体"/>
                <w:color w:val="000000"/>
                <w:sz w:val="20"/>
                <w:szCs w:val="20"/>
              </w:rPr>
              <w:t>14.45</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ascii="宋体" w:hAnsi="宋体" w:eastAsia="宋体" w:cs="宋体"/>
                <w:color w:val="000000"/>
                <w:sz w:val="20"/>
                <w:szCs w:val="20"/>
              </w:rPr>
              <w:t>2012901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ind w:firstLine="200" w:firstLineChars="100"/>
              <w:rPr>
                <w:rFonts w:ascii="宋体" w:hAnsi="宋体" w:eastAsia="宋体" w:cs="宋体"/>
                <w:color w:val="000000"/>
                <w:sz w:val="20"/>
                <w:szCs w:val="20"/>
              </w:rPr>
            </w:pPr>
            <w:r>
              <w:rPr>
                <w:rFonts w:hint="eastAsia" w:ascii="宋体" w:hAnsi="宋体" w:eastAsia="宋体" w:cs="宋体"/>
                <w:color w:val="000000"/>
                <w:sz w:val="20"/>
                <w:szCs w:val="20"/>
              </w:rPr>
              <w:t>行政运行</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r>
              <w:rPr>
                <w:rFonts w:ascii="宋体" w:hAnsi="宋体" w:eastAsia="宋体" w:cs="宋体"/>
                <w:color w:val="000000"/>
                <w:sz w:val="20"/>
                <w:szCs w:val="20"/>
              </w:rPr>
              <w:t>14.45</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r>
              <w:rPr>
                <w:rFonts w:ascii="宋体" w:hAnsi="宋体" w:eastAsia="宋体" w:cs="宋体"/>
                <w:color w:val="000000"/>
                <w:sz w:val="20"/>
                <w:szCs w:val="20"/>
              </w:rPr>
              <w:t>14.45</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ascii="宋体" w:hAnsi="宋体" w:eastAsia="宋体" w:cs="宋体"/>
                <w:color w:val="000000"/>
                <w:sz w:val="20"/>
                <w:szCs w:val="20"/>
              </w:rPr>
              <w:t>20131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党委办公厅（室）及相关机构事务</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r>
              <w:rPr>
                <w:rFonts w:ascii="宋体" w:hAnsi="宋体" w:eastAsia="宋体" w:cs="宋体"/>
                <w:color w:val="000000"/>
                <w:sz w:val="20"/>
                <w:szCs w:val="20"/>
              </w:rPr>
              <w:t>50.56</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r>
              <w:rPr>
                <w:rFonts w:ascii="宋体" w:hAnsi="宋体" w:eastAsia="宋体" w:cs="宋体"/>
                <w:color w:val="000000"/>
                <w:sz w:val="20"/>
                <w:szCs w:val="20"/>
              </w:rPr>
              <w:t>50.56</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ascii="宋体" w:hAnsi="宋体" w:eastAsia="宋体" w:cs="宋体"/>
                <w:color w:val="000000"/>
                <w:sz w:val="20"/>
                <w:szCs w:val="20"/>
              </w:rPr>
              <w:t>2013101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ind w:firstLine="200" w:firstLineChars="100"/>
              <w:rPr>
                <w:rFonts w:ascii="宋体" w:hAnsi="宋体" w:eastAsia="宋体" w:cs="宋体"/>
                <w:color w:val="000000"/>
                <w:sz w:val="20"/>
                <w:szCs w:val="20"/>
              </w:rPr>
            </w:pPr>
            <w:r>
              <w:rPr>
                <w:rFonts w:hint="eastAsia" w:ascii="宋体" w:hAnsi="宋体" w:eastAsia="宋体" w:cs="宋体"/>
                <w:color w:val="000000"/>
                <w:sz w:val="20"/>
                <w:szCs w:val="20"/>
              </w:rPr>
              <w:t>行政运行</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r>
              <w:rPr>
                <w:rFonts w:ascii="宋体" w:hAnsi="宋体" w:eastAsia="宋体" w:cs="宋体"/>
                <w:color w:val="000000"/>
                <w:sz w:val="20"/>
                <w:szCs w:val="20"/>
              </w:rPr>
              <w:t>50.56</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r>
              <w:rPr>
                <w:rFonts w:ascii="宋体" w:hAnsi="宋体" w:eastAsia="宋体" w:cs="宋体"/>
                <w:color w:val="000000"/>
                <w:sz w:val="20"/>
                <w:szCs w:val="20"/>
              </w:rPr>
              <w:t>50.56</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ascii="宋体" w:hAnsi="宋体" w:eastAsia="宋体" w:cs="宋体"/>
                <w:color w:val="000000"/>
                <w:sz w:val="20"/>
                <w:szCs w:val="20"/>
              </w:rPr>
              <w:t>210</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卫生健康支出</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r>
              <w:rPr>
                <w:rFonts w:ascii="宋体" w:hAnsi="宋体" w:eastAsia="宋体" w:cs="宋体"/>
                <w:color w:val="000000"/>
                <w:sz w:val="20"/>
                <w:szCs w:val="20"/>
              </w:rPr>
              <w:t>38.11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r>
              <w:rPr>
                <w:rFonts w:ascii="宋体" w:hAnsi="宋体" w:eastAsia="宋体" w:cs="宋体"/>
                <w:color w:val="000000"/>
                <w:sz w:val="20"/>
                <w:szCs w:val="20"/>
              </w:rPr>
              <w:t>38.11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ascii="宋体" w:hAnsi="宋体" w:eastAsia="宋体" w:cs="宋体"/>
                <w:color w:val="000000"/>
                <w:sz w:val="20"/>
                <w:szCs w:val="20"/>
              </w:rPr>
              <w:t>21001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卫生健康管理事务</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r>
              <w:rPr>
                <w:rFonts w:ascii="宋体" w:hAnsi="宋体" w:eastAsia="宋体" w:cs="宋体"/>
                <w:color w:val="000000"/>
                <w:sz w:val="20"/>
                <w:szCs w:val="20"/>
              </w:rPr>
              <w:t>38.11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r>
              <w:rPr>
                <w:rFonts w:ascii="宋体" w:hAnsi="宋体" w:eastAsia="宋体" w:cs="宋体"/>
                <w:color w:val="000000"/>
                <w:sz w:val="20"/>
                <w:szCs w:val="20"/>
              </w:rPr>
              <w:t>38.11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ascii="宋体" w:hAnsi="宋体" w:eastAsia="宋体" w:cs="宋体"/>
                <w:color w:val="000000"/>
                <w:sz w:val="20"/>
                <w:szCs w:val="20"/>
              </w:rPr>
              <w:t>2100101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ind w:firstLine="200" w:firstLineChars="100"/>
              <w:rPr>
                <w:rFonts w:ascii="宋体" w:hAnsi="宋体" w:eastAsia="宋体" w:cs="宋体"/>
                <w:color w:val="000000"/>
                <w:sz w:val="20"/>
                <w:szCs w:val="20"/>
              </w:rPr>
            </w:pPr>
            <w:r>
              <w:rPr>
                <w:rFonts w:hint="eastAsia" w:ascii="宋体" w:hAnsi="宋体" w:eastAsia="宋体" w:cs="宋体"/>
                <w:color w:val="000000"/>
                <w:sz w:val="20"/>
                <w:szCs w:val="20"/>
              </w:rPr>
              <w:t>行政运行</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r>
              <w:rPr>
                <w:rFonts w:ascii="宋体" w:hAnsi="宋体" w:eastAsia="宋体" w:cs="宋体"/>
                <w:color w:val="000000"/>
                <w:sz w:val="20"/>
                <w:szCs w:val="20"/>
              </w:rPr>
              <w:t>38.11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r>
              <w:rPr>
                <w:rFonts w:ascii="宋体" w:hAnsi="宋体" w:eastAsia="宋体" w:cs="宋体"/>
                <w:color w:val="000000"/>
                <w:sz w:val="20"/>
                <w:szCs w:val="20"/>
              </w:rPr>
              <w:t>38.11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ascii="宋体" w:hAnsi="宋体" w:eastAsia="宋体" w:cs="宋体"/>
                <w:color w:val="000000"/>
                <w:sz w:val="20"/>
                <w:szCs w:val="20"/>
              </w:rPr>
              <w:t>212</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城乡社区支出</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r>
              <w:rPr>
                <w:rFonts w:ascii="宋体" w:hAnsi="宋体" w:eastAsia="宋体" w:cs="宋体"/>
                <w:color w:val="000000"/>
                <w:sz w:val="20"/>
                <w:szCs w:val="20"/>
              </w:rPr>
              <w:t>63.16</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r>
              <w:rPr>
                <w:rFonts w:ascii="宋体" w:hAnsi="宋体" w:eastAsia="宋体" w:cs="宋体"/>
                <w:color w:val="000000"/>
                <w:sz w:val="20"/>
                <w:szCs w:val="20"/>
              </w:rPr>
              <w:t>63.16</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ascii="宋体" w:hAnsi="宋体" w:eastAsia="宋体" w:cs="宋体"/>
                <w:color w:val="000000"/>
                <w:sz w:val="20"/>
                <w:szCs w:val="20"/>
              </w:rPr>
              <w:t>21205</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城乡社区环境卫生</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r>
              <w:rPr>
                <w:rFonts w:ascii="宋体" w:hAnsi="宋体" w:eastAsia="宋体" w:cs="宋体"/>
                <w:color w:val="000000"/>
                <w:sz w:val="20"/>
                <w:szCs w:val="20"/>
              </w:rPr>
              <w:t>63.16</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r>
              <w:rPr>
                <w:rFonts w:ascii="宋体" w:hAnsi="宋体" w:eastAsia="宋体" w:cs="宋体"/>
                <w:color w:val="000000"/>
                <w:sz w:val="20"/>
                <w:szCs w:val="20"/>
              </w:rPr>
              <w:t>63.16</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ascii="宋体" w:hAnsi="宋体" w:eastAsia="宋体" w:cs="宋体"/>
                <w:color w:val="000000"/>
                <w:sz w:val="20"/>
                <w:szCs w:val="20"/>
              </w:rPr>
              <w:t>2120501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ind w:firstLine="200" w:firstLineChars="100"/>
              <w:rPr>
                <w:rFonts w:ascii="宋体" w:hAnsi="宋体" w:eastAsia="宋体" w:cs="宋体"/>
                <w:color w:val="000000"/>
                <w:sz w:val="20"/>
                <w:szCs w:val="20"/>
              </w:rPr>
            </w:pPr>
            <w:r>
              <w:rPr>
                <w:rFonts w:hint="eastAsia" w:ascii="宋体" w:hAnsi="宋体" w:eastAsia="宋体" w:cs="宋体"/>
                <w:color w:val="000000"/>
                <w:sz w:val="20"/>
                <w:szCs w:val="20"/>
              </w:rPr>
              <w:t>城乡社区环境卫生</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r>
              <w:rPr>
                <w:rFonts w:ascii="宋体" w:hAnsi="宋体" w:eastAsia="宋体" w:cs="宋体"/>
                <w:color w:val="000000"/>
                <w:sz w:val="20"/>
                <w:szCs w:val="20"/>
              </w:rPr>
              <w:t>63.16</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r>
              <w:rPr>
                <w:rFonts w:ascii="宋体" w:hAnsi="宋体" w:eastAsia="宋体" w:cs="宋体"/>
                <w:color w:val="000000"/>
                <w:sz w:val="20"/>
                <w:szCs w:val="20"/>
              </w:rPr>
              <w:t>63.16</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ascii="宋体" w:hAnsi="宋体" w:eastAsia="宋体" w:cs="宋体"/>
                <w:color w:val="000000"/>
                <w:sz w:val="20"/>
                <w:szCs w:val="20"/>
              </w:rPr>
              <w:t>213</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农林水支出</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r>
              <w:rPr>
                <w:rFonts w:ascii="宋体" w:hAnsi="宋体" w:eastAsia="宋体" w:cs="宋体"/>
                <w:color w:val="000000"/>
                <w:sz w:val="20"/>
                <w:szCs w:val="20"/>
              </w:rPr>
              <w:t>28.89</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r>
              <w:rPr>
                <w:rFonts w:ascii="宋体" w:hAnsi="宋体" w:eastAsia="宋体" w:cs="宋体"/>
                <w:color w:val="000000"/>
                <w:sz w:val="20"/>
                <w:szCs w:val="20"/>
              </w:rPr>
              <w:t>28.89</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ascii="宋体" w:hAnsi="宋体" w:eastAsia="宋体" w:cs="宋体"/>
                <w:color w:val="000000"/>
                <w:sz w:val="20"/>
                <w:szCs w:val="20"/>
              </w:rPr>
              <w:t>21301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农业</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r>
              <w:rPr>
                <w:rFonts w:ascii="宋体" w:hAnsi="宋体" w:eastAsia="宋体" w:cs="宋体"/>
                <w:color w:val="000000"/>
                <w:sz w:val="20"/>
                <w:szCs w:val="20"/>
              </w:rPr>
              <w:t>28.89</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r>
              <w:rPr>
                <w:rFonts w:ascii="宋体" w:hAnsi="宋体" w:eastAsia="宋体" w:cs="宋体"/>
                <w:color w:val="000000"/>
                <w:sz w:val="20"/>
                <w:szCs w:val="20"/>
              </w:rPr>
              <w:t>28.89</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ascii="宋体" w:hAnsi="宋体" w:eastAsia="宋体" w:cs="宋体"/>
                <w:color w:val="000000"/>
                <w:sz w:val="20"/>
                <w:szCs w:val="20"/>
              </w:rPr>
              <w:t>2130101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ind w:firstLine="200" w:firstLineChars="100"/>
              <w:rPr>
                <w:rFonts w:ascii="宋体" w:hAnsi="宋体" w:eastAsia="宋体" w:cs="宋体"/>
                <w:color w:val="000000"/>
                <w:sz w:val="20"/>
                <w:szCs w:val="20"/>
              </w:rPr>
            </w:pPr>
            <w:r>
              <w:rPr>
                <w:rFonts w:hint="eastAsia" w:ascii="宋体" w:hAnsi="宋体" w:eastAsia="宋体" w:cs="宋体"/>
                <w:color w:val="000000"/>
                <w:sz w:val="20"/>
                <w:szCs w:val="20"/>
              </w:rPr>
              <w:t>行政运行</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r>
              <w:rPr>
                <w:rFonts w:ascii="宋体" w:hAnsi="宋体" w:eastAsia="宋体" w:cs="宋体"/>
                <w:color w:val="000000"/>
                <w:sz w:val="20"/>
                <w:szCs w:val="20"/>
              </w:rPr>
              <w:t>28.89</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r>
              <w:rPr>
                <w:rFonts w:ascii="宋体" w:hAnsi="宋体" w:eastAsia="宋体" w:cs="宋体"/>
                <w:color w:val="000000"/>
                <w:sz w:val="20"/>
                <w:szCs w:val="20"/>
              </w:rPr>
              <w:t>28.89</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0" w:type="auto"/>
            <w:gridSpan w:val="11"/>
            <w:tcBorders>
              <w:top w:val="nil"/>
              <w:left w:val="nil"/>
              <w:bottom w:val="nil"/>
              <w:right w:val="nil"/>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注：本表反映部门本年度取得的各项收入情况。</w:t>
            </w:r>
          </w:p>
        </w:tc>
      </w:tr>
    </w:tbl>
    <w:p>
      <w:pPr>
        <w:jc w:val="left"/>
      </w:pPr>
    </w:p>
    <w:p>
      <w:r>
        <w:br w:type="page"/>
      </w:r>
    </w:p>
    <w:tbl>
      <w:tblPr>
        <w:tblStyle w:val="7"/>
        <w:tblW w:w="9680" w:type="dxa"/>
        <w:jc w:val="center"/>
        <w:tblLayout w:type="fixed"/>
        <w:tblCellMar>
          <w:top w:w="0" w:type="dxa"/>
          <w:left w:w="0" w:type="dxa"/>
          <w:bottom w:w="0" w:type="dxa"/>
          <w:right w:w="0" w:type="dxa"/>
        </w:tblCellMar>
      </w:tblPr>
      <w:tblGrid>
        <w:gridCol w:w="941"/>
        <w:gridCol w:w="53"/>
        <w:gridCol w:w="111"/>
        <w:gridCol w:w="3105"/>
        <w:gridCol w:w="1155"/>
        <w:gridCol w:w="1065"/>
        <w:gridCol w:w="930"/>
        <w:gridCol w:w="900"/>
        <w:gridCol w:w="525"/>
        <w:gridCol w:w="895"/>
      </w:tblGrid>
      <w:tr>
        <w:tblPrEx>
          <w:tblCellMar>
            <w:top w:w="0" w:type="dxa"/>
            <w:left w:w="0" w:type="dxa"/>
            <w:bottom w:w="0" w:type="dxa"/>
            <w:right w:w="0" w:type="dxa"/>
          </w:tblCellMar>
        </w:tblPrEx>
        <w:trPr>
          <w:trHeight w:val="612" w:hRule="atLeast"/>
          <w:jc w:val="center"/>
        </w:trPr>
        <w:tc>
          <w:tcPr>
            <w:tcW w:w="9680" w:type="dxa"/>
            <w:gridSpan w:val="10"/>
            <w:tcBorders>
              <w:top w:val="nil"/>
              <w:left w:val="nil"/>
              <w:bottom w:val="nil"/>
              <w:right w:val="nil"/>
            </w:tcBorders>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支出决算表</w:t>
            </w:r>
          </w:p>
        </w:tc>
      </w:tr>
      <w:tr>
        <w:tblPrEx>
          <w:tblCellMar>
            <w:top w:w="0" w:type="dxa"/>
            <w:left w:w="0" w:type="dxa"/>
            <w:bottom w:w="0" w:type="dxa"/>
            <w:right w:w="0" w:type="dxa"/>
          </w:tblCellMar>
        </w:tblPrEx>
        <w:trPr>
          <w:trHeight w:val="313" w:hRule="atLeast"/>
          <w:jc w:val="center"/>
        </w:trPr>
        <w:tc>
          <w:tcPr>
            <w:tcW w:w="941"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53"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11"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3105"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155"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065"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930"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900"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525"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895" w:type="dxa"/>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w:t>
            </w:r>
            <w:r>
              <w:rPr>
                <w:rFonts w:ascii="宋体" w:hAnsi="宋体" w:eastAsia="宋体" w:cs="宋体"/>
                <w:color w:val="000000"/>
                <w:kern w:val="0"/>
                <w:sz w:val="20"/>
                <w:szCs w:val="20"/>
              </w:rPr>
              <w:t>03</w:t>
            </w:r>
            <w:r>
              <w:rPr>
                <w:rFonts w:hint="eastAsia" w:ascii="宋体" w:hAnsi="宋体" w:eastAsia="宋体" w:cs="宋体"/>
                <w:color w:val="000000"/>
                <w:kern w:val="0"/>
                <w:sz w:val="20"/>
                <w:szCs w:val="20"/>
              </w:rPr>
              <w:t>表</w:t>
            </w:r>
          </w:p>
        </w:tc>
      </w:tr>
      <w:tr>
        <w:tblPrEx>
          <w:tblCellMar>
            <w:top w:w="0" w:type="dxa"/>
            <w:left w:w="0" w:type="dxa"/>
            <w:bottom w:w="0" w:type="dxa"/>
            <w:right w:w="0" w:type="dxa"/>
          </w:tblCellMar>
        </w:tblPrEx>
        <w:trPr>
          <w:trHeight w:val="313" w:hRule="atLeast"/>
          <w:jc w:val="center"/>
        </w:trPr>
        <w:tc>
          <w:tcPr>
            <w:tcW w:w="941" w:type="dxa"/>
            <w:tcBorders>
              <w:top w:val="nil"/>
              <w:left w:val="nil"/>
              <w:bottom w:val="nil"/>
              <w:right w:val="nil"/>
            </w:tcBorders>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3269" w:type="dxa"/>
            <w:gridSpan w:val="3"/>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r>
              <w:rPr>
                <w:rFonts w:hint="eastAsia" w:ascii="宋体" w:hAnsi="宋体" w:cs="宋体"/>
                <w:kern w:val="0"/>
                <w:sz w:val="20"/>
                <w:szCs w:val="20"/>
              </w:rPr>
              <w:t>遵化市崔家庄乡人民政府</w:t>
            </w:r>
          </w:p>
        </w:tc>
        <w:tc>
          <w:tcPr>
            <w:tcW w:w="1155"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065"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930"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900"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420" w:type="dxa"/>
            <w:gridSpan w:val="2"/>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23" w:hRule="atLeast"/>
          <w:jc w:val="center"/>
        </w:trPr>
        <w:tc>
          <w:tcPr>
            <w:tcW w:w="4210"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155"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本年支出</w:t>
            </w:r>
          </w:p>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065"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930"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c>
          <w:tcPr>
            <w:tcW w:w="900"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上缴上级支出</w:t>
            </w:r>
          </w:p>
        </w:tc>
        <w:tc>
          <w:tcPr>
            <w:tcW w:w="525"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经营支出</w:t>
            </w:r>
          </w:p>
        </w:tc>
        <w:tc>
          <w:tcPr>
            <w:tcW w:w="895"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对附属单位补助支出</w:t>
            </w:r>
          </w:p>
        </w:tc>
      </w:tr>
      <w:tr>
        <w:tblPrEx>
          <w:tblCellMar>
            <w:top w:w="0" w:type="dxa"/>
            <w:left w:w="0" w:type="dxa"/>
            <w:bottom w:w="0" w:type="dxa"/>
            <w:right w:w="0" w:type="dxa"/>
          </w:tblCellMar>
        </w:tblPrEx>
        <w:trPr>
          <w:trHeight w:val="319" w:hRule="atLeast"/>
          <w:jc w:val="center"/>
        </w:trPr>
        <w:tc>
          <w:tcPr>
            <w:tcW w:w="1105" w:type="dxa"/>
            <w:gridSpan w:val="3"/>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3105" w:type="dxa"/>
            <w:vMerge w:val="restart"/>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155"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065"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93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90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525"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895"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9" w:hRule="atLeast"/>
          <w:jc w:val="center"/>
        </w:trPr>
        <w:tc>
          <w:tcPr>
            <w:tcW w:w="1105"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3105" w:type="dxa"/>
            <w:vMerge w:val="continue"/>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1155"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065"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93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90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525"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895"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9" w:hRule="atLeast"/>
          <w:jc w:val="center"/>
        </w:trPr>
        <w:tc>
          <w:tcPr>
            <w:tcW w:w="1105"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3105" w:type="dxa"/>
            <w:vMerge w:val="continue"/>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1155"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065"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93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90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525"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895"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4210"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115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w:t>
            </w:r>
          </w:p>
        </w:tc>
        <w:tc>
          <w:tcPr>
            <w:tcW w:w="10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w:t>
            </w:r>
          </w:p>
        </w:tc>
        <w:tc>
          <w:tcPr>
            <w:tcW w:w="93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w:t>
            </w:r>
          </w:p>
        </w:tc>
        <w:tc>
          <w:tcPr>
            <w:tcW w:w="90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w:t>
            </w:r>
          </w:p>
        </w:tc>
        <w:tc>
          <w:tcPr>
            <w:tcW w:w="52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w:t>
            </w:r>
          </w:p>
        </w:tc>
        <w:tc>
          <w:tcPr>
            <w:tcW w:w="89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6</w:t>
            </w:r>
          </w:p>
        </w:tc>
      </w:tr>
      <w:tr>
        <w:tblPrEx>
          <w:tblCellMar>
            <w:top w:w="0" w:type="dxa"/>
            <w:left w:w="0" w:type="dxa"/>
            <w:bottom w:w="0" w:type="dxa"/>
            <w:right w:w="0" w:type="dxa"/>
          </w:tblCellMar>
        </w:tblPrEx>
        <w:trPr>
          <w:trHeight w:val="323" w:hRule="atLeast"/>
          <w:jc w:val="center"/>
        </w:trPr>
        <w:tc>
          <w:tcPr>
            <w:tcW w:w="4210"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155"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b/>
                <w:color w:val="000000"/>
                <w:sz w:val="20"/>
                <w:szCs w:val="20"/>
              </w:rPr>
            </w:pPr>
            <w:r>
              <w:rPr>
                <w:rFonts w:ascii="宋体" w:hAnsi="宋体" w:eastAsia="宋体" w:cs="宋体"/>
                <w:b/>
                <w:color w:val="000000"/>
                <w:sz w:val="20"/>
                <w:szCs w:val="20"/>
              </w:rPr>
              <w:t>689.68</w:t>
            </w:r>
          </w:p>
        </w:tc>
        <w:tc>
          <w:tcPr>
            <w:tcW w:w="1065"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b/>
                <w:color w:val="000000"/>
                <w:sz w:val="20"/>
                <w:szCs w:val="20"/>
              </w:rPr>
            </w:pPr>
            <w:r>
              <w:rPr>
                <w:rFonts w:ascii="宋体" w:hAnsi="宋体" w:eastAsia="宋体" w:cs="宋体"/>
                <w:b/>
                <w:color w:val="000000"/>
                <w:sz w:val="20"/>
                <w:szCs w:val="20"/>
              </w:rPr>
              <w:t>626.52</w:t>
            </w:r>
          </w:p>
        </w:tc>
        <w:tc>
          <w:tcPr>
            <w:tcW w:w="930"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b/>
                <w:color w:val="000000"/>
                <w:sz w:val="20"/>
                <w:szCs w:val="20"/>
              </w:rPr>
            </w:pPr>
            <w:r>
              <w:rPr>
                <w:rFonts w:ascii="宋体" w:hAnsi="宋体" w:eastAsia="宋体" w:cs="宋体"/>
                <w:b/>
                <w:color w:val="000000"/>
                <w:sz w:val="20"/>
                <w:szCs w:val="20"/>
              </w:rPr>
              <w:t>63.16</w:t>
            </w:r>
          </w:p>
        </w:tc>
        <w:tc>
          <w:tcPr>
            <w:tcW w:w="900"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b/>
                <w:color w:val="000000"/>
                <w:sz w:val="20"/>
                <w:szCs w:val="20"/>
              </w:rPr>
            </w:pPr>
          </w:p>
        </w:tc>
        <w:tc>
          <w:tcPr>
            <w:tcW w:w="525"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b/>
                <w:color w:val="000000"/>
                <w:sz w:val="22"/>
              </w:rPr>
            </w:pPr>
          </w:p>
        </w:tc>
        <w:tc>
          <w:tcPr>
            <w:tcW w:w="895"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b/>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ascii="宋体" w:hAnsi="宋体" w:eastAsia="宋体" w:cs="宋体"/>
                <w:color w:val="000000"/>
                <w:sz w:val="20"/>
                <w:szCs w:val="20"/>
              </w:rPr>
              <w:t>201</w:t>
            </w:r>
          </w:p>
        </w:tc>
        <w:tc>
          <w:tcPr>
            <w:tcW w:w="3105" w:type="dxa"/>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一般公共服务支出</w:t>
            </w:r>
          </w:p>
        </w:tc>
        <w:tc>
          <w:tcPr>
            <w:tcW w:w="1155"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r>
              <w:rPr>
                <w:rFonts w:ascii="宋体" w:hAnsi="宋体" w:eastAsia="宋体" w:cs="宋体"/>
                <w:color w:val="000000"/>
                <w:sz w:val="20"/>
                <w:szCs w:val="20"/>
              </w:rPr>
              <w:t>559.52</w:t>
            </w:r>
          </w:p>
        </w:tc>
        <w:tc>
          <w:tcPr>
            <w:tcW w:w="1065"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r>
              <w:rPr>
                <w:rFonts w:ascii="宋体" w:hAnsi="宋体" w:eastAsia="宋体" w:cs="宋体"/>
                <w:color w:val="000000"/>
                <w:sz w:val="20"/>
                <w:szCs w:val="20"/>
              </w:rPr>
              <w:t>559.52</w:t>
            </w:r>
          </w:p>
        </w:tc>
        <w:tc>
          <w:tcPr>
            <w:tcW w:w="930"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p>
        </w:tc>
        <w:tc>
          <w:tcPr>
            <w:tcW w:w="900"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p>
        </w:tc>
        <w:tc>
          <w:tcPr>
            <w:tcW w:w="525"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895"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ascii="宋体" w:hAnsi="宋体" w:eastAsia="宋体" w:cs="宋体"/>
                <w:color w:val="000000"/>
                <w:sz w:val="20"/>
                <w:szCs w:val="20"/>
              </w:rPr>
              <w:t>20103</w:t>
            </w:r>
          </w:p>
        </w:tc>
        <w:tc>
          <w:tcPr>
            <w:tcW w:w="3105" w:type="dxa"/>
            <w:tcBorders>
              <w:top w:val="nil"/>
              <w:left w:val="nil"/>
              <w:bottom w:val="single" w:color="000000" w:sz="4" w:space="0"/>
              <w:right w:val="single" w:color="000000" w:sz="4" w:space="0"/>
            </w:tcBorders>
            <w:noWrap/>
            <w:tcMar>
              <w:top w:w="15" w:type="dxa"/>
              <w:left w:w="15" w:type="dxa"/>
              <w:right w:w="15" w:type="dxa"/>
            </w:tcMar>
            <w:vAlign w:val="center"/>
          </w:tcPr>
          <w:p>
            <w:pPr>
              <w:tabs>
                <w:tab w:val="left" w:pos="461"/>
              </w:tabs>
              <w:rPr>
                <w:rFonts w:ascii="宋体" w:hAnsi="宋体" w:eastAsia="宋体" w:cs="宋体"/>
                <w:color w:val="000000"/>
                <w:sz w:val="20"/>
                <w:szCs w:val="20"/>
              </w:rPr>
            </w:pPr>
            <w:r>
              <w:rPr>
                <w:rFonts w:hint="eastAsia" w:ascii="宋体" w:hAnsi="宋体" w:eastAsia="宋体" w:cs="宋体"/>
                <w:color w:val="000000"/>
                <w:sz w:val="20"/>
                <w:szCs w:val="20"/>
              </w:rPr>
              <w:t>政府办公厅（室）及相关机构事务</w:t>
            </w:r>
          </w:p>
        </w:tc>
        <w:tc>
          <w:tcPr>
            <w:tcW w:w="1155"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r>
              <w:rPr>
                <w:rFonts w:ascii="宋体" w:hAnsi="宋体" w:eastAsia="宋体" w:cs="宋体"/>
                <w:color w:val="000000"/>
                <w:sz w:val="20"/>
                <w:szCs w:val="20"/>
              </w:rPr>
              <w:t>457.14</w:t>
            </w:r>
          </w:p>
        </w:tc>
        <w:tc>
          <w:tcPr>
            <w:tcW w:w="1065"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r>
              <w:rPr>
                <w:rFonts w:ascii="宋体" w:hAnsi="宋体" w:eastAsia="宋体" w:cs="宋体"/>
                <w:color w:val="000000"/>
                <w:sz w:val="20"/>
                <w:szCs w:val="20"/>
              </w:rPr>
              <w:t>457.14</w:t>
            </w:r>
          </w:p>
        </w:tc>
        <w:tc>
          <w:tcPr>
            <w:tcW w:w="930"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p>
        </w:tc>
        <w:tc>
          <w:tcPr>
            <w:tcW w:w="900"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p>
        </w:tc>
        <w:tc>
          <w:tcPr>
            <w:tcW w:w="525"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895"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ascii="宋体" w:hAnsi="宋体" w:eastAsia="宋体" w:cs="宋体"/>
                <w:color w:val="000000"/>
                <w:sz w:val="20"/>
                <w:szCs w:val="20"/>
              </w:rPr>
              <w:t>2010301</w:t>
            </w:r>
          </w:p>
        </w:tc>
        <w:tc>
          <w:tcPr>
            <w:tcW w:w="3105" w:type="dxa"/>
            <w:tcBorders>
              <w:top w:val="nil"/>
              <w:left w:val="nil"/>
              <w:bottom w:val="single" w:color="000000" w:sz="4" w:space="0"/>
              <w:right w:val="single" w:color="000000" w:sz="4" w:space="0"/>
            </w:tcBorders>
            <w:noWrap/>
            <w:tcMar>
              <w:top w:w="15" w:type="dxa"/>
              <w:left w:w="15" w:type="dxa"/>
              <w:right w:w="15" w:type="dxa"/>
            </w:tcMar>
            <w:vAlign w:val="center"/>
          </w:tcPr>
          <w:p>
            <w:pPr>
              <w:ind w:firstLine="200" w:firstLineChars="100"/>
              <w:rPr>
                <w:rFonts w:ascii="宋体" w:hAnsi="宋体" w:eastAsia="宋体" w:cs="宋体"/>
                <w:color w:val="000000"/>
                <w:sz w:val="20"/>
                <w:szCs w:val="20"/>
              </w:rPr>
            </w:pPr>
            <w:r>
              <w:rPr>
                <w:rFonts w:hint="eastAsia" w:ascii="宋体" w:hAnsi="宋体" w:eastAsia="宋体" w:cs="宋体"/>
                <w:color w:val="000000"/>
                <w:sz w:val="20"/>
                <w:szCs w:val="20"/>
              </w:rPr>
              <w:t>行政运行</w:t>
            </w:r>
          </w:p>
        </w:tc>
        <w:tc>
          <w:tcPr>
            <w:tcW w:w="1155"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r>
              <w:rPr>
                <w:rFonts w:ascii="宋体" w:hAnsi="宋体" w:eastAsia="宋体" w:cs="宋体"/>
                <w:color w:val="000000"/>
                <w:sz w:val="20"/>
                <w:szCs w:val="20"/>
              </w:rPr>
              <w:t>317.54</w:t>
            </w:r>
          </w:p>
        </w:tc>
        <w:tc>
          <w:tcPr>
            <w:tcW w:w="1065"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r>
              <w:rPr>
                <w:rFonts w:ascii="宋体" w:hAnsi="宋体" w:eastAsia="宋体" w:cs="宋体"/>
                <w:color w:val="000000"/>
                <w:sz w:val="20"/>
                <w:szCs w:val="20"/>
              </w:rPr>
              <w:t>317.54</w:t>
            </w:r>
          </w:p>
        </w:tc>
        <w:tc>
          <w:tcPr>
            <w:tcW w:w="930"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p>
        </w:tc>
        <w:tc>
          <w:tcPr>
            <w:tcW w:w="900"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p>
        </w:tc>
        <w:tc>
          <w:tcPr>
            <w:tcW w:w="525"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895"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ascii="宋体" w:hAnsi="宋体" w:eastAsia="宋体" w:cs="宋体"/>
                <w:color w:val="000000"/>
                <w:sz w:val="20"/>
                <w:szCs w:val="20"/>
              </w:rPr>
              <w:t>2010302</w:t>
            </w:r>
          </w:p>
        </w:tc>
        <w:tc>
          <w:tcPr>
            <w:tcW w:w="3105" w:type="dxa"/>
            <w:tcBorders>
              <w:top w:val="nil"/>
              <w:left w:val="nil"/>
              <w:bottom w:val="single" w:color="000000" w:sz="4" w:space="0"/>
              <w:right w:val="single" w:color="000000" w:sz="4" w:space="0"/>
            </w:tcBorders>
            <w:noWrap/>
            <w:tcMar>
              <w:top w:w="15" w:type="dxa"/>
              <w:left w:w="15" w:type="dxa"/>
              <w:right w:w="15" w:type="dxa"/>
            </w:tcMar>
            <w:vAlign w:val="center"/>
          </w:tcPr>
          <w:p>
            <w:pPr>
              <w:ind w:firstLine="200" w:firstLineChars="100"/>
              <w:rPr>
                <w:rFonts w:ascii="宋体" w:hAnsi="宋体" w:eastAsia="宋体" w:cs="宋体"/>
                <w:color w:val="000000"/>
                <w:sz w:val="20"/>
                <w:szCs w:val="20"/>
              </w:rPr>
            </w:pPr>
            <w:r>
              <w:rPr>
                <w:rFonts w:hint="eastAsia" w:ascii="宋体" w:hAnsi="宋体" w:eastAsia="宋体" w:cs="宋体"/>
                <w:color w:val="000000"/>
                <w:sz w:val="20"/>
                <w:szCs w:val="20"/>
              </w:rPr>
              <w:t>一般行政管理事务</w:t>
            </w:r>
          </w:p>
        </w:tc>
        <w:tc>
          <w:tcPr>
            <w:tcW w:w="1155"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r>
              <w:rPr>
                <w:rFonts w:ascii="宋体" w:hAnsi="宋体" w:eastAsia="宋体" w:cs="宋体"/>
                <w:color w:val="000000"/>
                <w:sz w:val="20"/>
                <w:szCs w:val="20"/>
              </w:rPr>
              <w:t>139.60</w:t>
            </w:r>
          </w:p>
        </w:tc>
        <w:tc>
          <w:tcPr>
            <w:tcW w:w="1065"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r>
              <w:rPr>
                <w:rFonts w:ascii="宋体" w:hAnsi="宋体" w:eastAsia="宋体" w:cs="宋体"/>
                <w:color w:val="000000"/>
                <w:sz w:val="20"/>
                <w:szCs w:val="20"/>
              </w:rPr>
              <w:t>139.60</w:t>
            </w:r>
          </w:p>
        </w:tc>
        <w:tc>
          <w:tcPr>
            <w:tcW w:w="930"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p>
        </w:tc>
        <w:tc>
          <w:tcPr>
            <w:tcW w:w="900"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p>
        </w:tc>
        <w:tc>
          <w:tcPr>
            <w:tcW w:w="525"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895"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ascii="宋体" w:hAnsi="宋体" w:eastAsia="宋体" w:cs="宋体"/>
                <w:color w:val="000000"/>
                <w:sz w:val="20"/>
                <w:szCs w:val="20"/>
              </w:rPr>
              <w:t>20106</w:t>
            </w:r>
          </w:p>
        </w:tc>
        <w:tc>
          <w:tcPr>
            <w:tcW w:w="3105" w:type="dxa"/>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财政事务</w:t>
            </w:r>
          </w:p>
        </w:tc>
        <w:tc>
          <w:tcPr>
            <w:tcW w:w="1155"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r>
              <w:rPr>
                <w:rFonts w:ascii="宋体" w:hAnsi="宋体" w:eastAsia="宋体" w:cs="宋体"/>
                <w:color w:val="000000"/>
                <w:sz w:val="20"/>
                <w:szCs w:val="20"/>
              </w:rPr>
              <w:t>37.37</w:t>
            </w:r>
          </w:p>
        </w:tc>
        <w:tc>
          <w:tcPr>
            <w:tcW w:w="1065"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r>
              <w:rPr>
                <w:rFonts w:ascii="宋体" w:hAnsi="宋体" w:eastAsia="宋体" w:cs="宋体"/>
                <w:color w:val="000000"/>
                <w:sz w:val="20"/>
                <w:szCs w:val="20"/>
              </w:rPr>
              <w:t>37.37</w:t>
            </w:r>
          </w:p>
        </w:tc>
        <w:tc>
          <w:tcPr>
            <w:tcW w:w="930"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p>
        </w:tc>
        <w:tc>
          <w:tcPr>
            <w:tcW w:w="900"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p>
        </w:tc>
        <w:tc>
          <w:tcPr>
            <w:tcW w:w="525"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895"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ascii="宋体" w:hAnsi="宋体" w:eastAsia="宋体" w:cs="宋体"/>
                <w:color w:val="000000"/>
                <w:sz w:val="20"/>
                <w:szCs w:val="20"/>
              </w:rPr>
              <w:t>2010601</w:t>
            </w:r>
          </w:p>
        </w:tc>
        <w:tc>
          <w:tcPr>
            <w:tcW w:w="3105" w:type="dxa"/>
            <w:tcBorders>
              <w:top w:val="nil"/>
              <w:left w:val="nil"/>
              <w:bottom w:val="single" w:color="000000" w:sz="4" w:space="0"/>
              <w:right w:val="single" w:color="000000" w:sz="4" w:space="0"/>
            </w:tcBorders>
            <w:noWrap/>
            <w:tcMar>
              <w:top w:w="15" w:type="dxa"/>
              <w:left w:w="15" w:type="dxa"/>
              <w:right w:w="15" w:type="dxa"/>
            </w:tcMar>
            <w:vAlign w:val="center"/>
          </w:tcPr>
          <w:p>
            <w:pPr>
              <w:ind w:firstLine="200" w:firstLineChars="100"/>
              <w:rPr>
                <w:rFonts w:ascii="宋体" w:hAnsi="宋体" w:eastAsia="宋体" w:cs="宋体"/>
                <w:color w:val="000000"/>
                <w:sz w:val="20"/>
                <w:szCs w:val="20"/>
              </w:rPr>
            </w:pPr>
            <w:r>
              <w:rPr>
                <w:rFonts w:hint="eastAsia" w:ascii="宋体" w:hAnsi="宋体" w:eastAsia="宋体" w:cs="宋体"/>
                <w:color w:val="000000"/>
                <w:sz w:val="20"/>
                <w:szCs w:val="20"/>
              </w:rPr>
              <w:t>行政运行</w:t>
            </w:r>
          </w:p>
        </w:tc>
        <w:tc>
          <w:tcPr>
            <w:tcW w:w="1155"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r>
              <w:rPr>
                <w:rFonts w:ascii="宋体" w:hAnsi="宋体" w:eastAsia="宋体" w:cs="宋体"/>
                <w:color w:val="000000"/>
                <w:sz w:val="20"/>
                <w:szCs w:val="20"/>
              </w:rPr>
              <w:t>37.37</w:t>
            </w:r>
          </w:p>
        </w:tc>
        <w:tc>
          <w:tcPr>
            <w:tcW w:w="1065"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r>
              <w:rPr>
                <w:rFonts w:ascii="宋体" w:hAnsi="宋体" w:eastAsia="宋体" w:cs="宋体"/>
                <w:color w:val="000000"/>
                <w:sz w:val="20"/>
                <w:szCs w:val="20"/>
              </w:rPr>
              <w:t>37.37</w:t>
            </w:r>
          </w:p>
        </w:tc>
        <w:tc>
          <w:tcPr>
            <w:tcW w:w="930"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p>
        </w:tc>
        <w:tc>
          <w:tcPr>
            <w:tcW w:w="900"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p>
        </w:tc>
        <w:tc>
          <w:tcPr>
            <w:tcW w:w="525"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895"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ascii="宋体" w:hAnsi="宋体" w:eastAsia="宋体" w:cs="宋体"/>
                <w:color w:val="000000"/>
                <w:sz w:val="20"/>
                <w:szCs w:val="20"/>
              </w:rPr>
              <w:t>20129</w:t>
            </w:r>
          </w:p>
        </w:tc>
        <w:tc>
          <w:tcPr>
            <w:tcW w:w="3105" w:type="dxa"/>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群众团体事务</w:t>
            </w:r>
          </w:p>
        </w:tc>
        <w:tc>
          <w:tcPr>
            <w:tcW w:w="1155"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r>
              <w:rPr>
                <w:rFonts w:ascii="宋体" w:hAnsi="宋体" w:eastAsia="宋体" w:cs="宋体"/>
                <w:color w:val="000000"/>
                <w:sz w:val="20"/>
                <w:szCs w:val="20"/>
              </w:rPr>
              <w:t>14.45</w:t>
            </w:r>
          </w:p>
        </w:tc>
        <w:tc>
          <w:tcPr>
            <w:tcW w:w="1065"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r>
              <w:rPr>
                <w:rFonts w:ascii="宋体" w:hAnsi="宋体" w:eastAsia="宋体" w:cs="宋体"/>
                <w:color w:val="000000"/>
                <w:sz w:val="20"/>
                <w:szCs w:val="20"/>
              </w:rPr>
              <w:t>14.45</w:t>
            </w:r>
          </w:p>
        </w:tc>
        <w:tc>
          <w:tcPr>
            <w:tcW w:w="930"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p>
        </w:tc>
        <w:tc>
          <w:tcPr>
            <w:tcW w:w="900"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p>
        </w:tc>
        <w:tc>
          <w:tcPr>
            <w:tcW w:w="525"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895"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ascii="宋体" w:hAnsi="宋体" w:eastAsia="宋体" w:cs="宋体"/>
                <w:color w:val="000000"/>
                <w:sz w:val="20"/>
                <w:szCs w:val="20"/>
              </w:rPr>
              <w:t>2012901</w:t>
            </w:r>
          </w:p>
        </w:tc>
        <w:tc>
          <w:tcPr>
            <w:tcW w:w="3105" w:type="dxa"/>
            <w:tcBorders>
              <w:top w:val="nil"/>
              <w:left w:val="nil"/>
              <w:bottom w:val="single" w:color="000000" w:sz="4" w:space="0"/>
              <w:right w:val="single" w:color="000000" w:sz="4" w:space="0"/>
            </w:tcBorders>
            <w:noWrap/>
            <w:tcMar>
              <w:top w:w="15" w:type="dxa"/>
              <w:left w:w="15" w:type="dxa"/>
              <w:right w:w="15" w:type="dxa"/>
            </w:tcMar>
            <w:vAlign w:val="center"/>
          </w:tcPr>
          <w:p>
            <w:pPr>
              <w:ind w:firstLine="200" w:firstLineChars="100"/>
              <w:rPr>
                <w:rFonts w:ascii="宋体" w:hAnsi="宋体" w:eastAsia="宋体" w:cs="宋体"/>
                <w:color w:val="000000"/>
                <w:sz w:val="20"/>
                <w:szCs w:val="20"/>
              </w:rPr>
            </w:pPr>
            <w:r>
              <w:rPr>
                <w:rFonts w:hint="eastAsia" w:ascii="宋体" w:hAnsi="宋体" w:eastAsia="宋体" w:cs="宋体"/>
                <w:color w:val="000000"/>
                <w:sz w:val="20"/>
                <w:szCs w:val="20"/>
              </w:rPr>
              <w:t>行政运行</w:t>
            </w:r>
          </w:p>
        </w:tc>
        <w:tc>
          <w:tcPr>
            <w:tcW w:w="1155"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r>
              <w:rPr>
                <w:rFonts w:ascii="宋体" w:hAnsi="宋体" w:eastAsia="宋体" w:cs="宋体"/>
                <w:color w:val="000000"/>
                <w:sz w:val="20"/>
                <w:szCs w:val="20"/>
              </w:rPr>
              <w:t>14.45</w:t>
            </w:r>
          </w:p>
        </w:tc>
        <w:tc>
          <w:tcPr>
            <w:tcW w:w="1065"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r>
              <w:rPr>
                <w:rFonts w:ascii="宋体" w:hAnsi="宋体" w:eastAsia="宋体" w:cs="宋体"/>
                <w:color w:val="000000"/>
                <w:sz w:val="20"/>
                <w:szCs w:val="20"/>
              </w:rPr>
              <w:t>14.45</w:t>
            </w:r>
          </w:p>
        </w:tc>
        <w:tc>
          <w:tcPr>
            <w:tcW w:w="930"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p>
        </w:tc>
        <w:tc>
          <w:tcPr>
            <w:tcW w:w="900"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p>
        </w:tc>
        <w:tc>
          <w:tcPr>
            <w:tcW w:w="525"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895"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ascii="宋体" w:hAnsi="宋体" w:eastAsia="宋体" w:cs="宋体"/>
                <w:color w:val="000000"/>
                <w:sz w:val="20"/>
                <w:szCs w:val="20"/>
              </w:rPr>
              <w:t>20131</w:t>
            </w:r>
          </w:p>
        </w:tc>
        <w:tc>
          <w:tcPr>
            <w:tcW w:w="3105" w:type="dxa"/>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党委办公厅（室）及相关机构事务</w:t>
            </w:r>
          </w:p>
        </w:tc>
        <w:tc>
          <w:tcPr>
            <w:tcW w:w="1155"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r>
              <w:rPr>
                <w:rFonts w:ascii="宋体" w:hAnsi="宋体" w:eastAsia="宋体" w:cs="宋体"/>
                <w:color w:val="000000"/>
                <w:sz w:val="20"/>
                <w:szCs w:val="20"/>
              </w:rPr>
              <w:t>50.56</w:t>
            </w:r>
          </w:p>
        </w:tc>
        <w:tc>
          <w:tcPr>
            <w:tcW w:w="1065"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r>
              <w:rPr>
                <w:rFonts w:ascii="宋体" w:hAnsi="宋体" w:eastAsia="宋体" w:cs="宋体"/>
                <w:color w:val="000000"/>
                <w:sz w:val="20"/>
                <w:szCs w:val="20"/>
              </w:rPr>
              <w:t>50.56</w:t>
            </w:r>
          </w:p>
        </w:tc>
        <w:tc>
          <w:tcPr>
            <w:tcW w:w="930"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p>
        </w:tc>
        <w:tc>
          <w:tcPr>
            <w:tcW w:w="900"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p>
        </w:tc>
        <w:tc>
          <w:tcPr>
            <w:tcW w:w="525"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895"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ascii="宋体" w:hAnsi="宋体" w:eastAsia="宋体" w:cs="宋体"/>
                <w:color w:val="000000"/>
                <w:sz w:val="20"/>
                <w:szCs w:val="20"/>
              </w:rPr>
              <w:t>2013101</w:t>
            </w:r>
          </w:p>
        </w:tc>
        <w:tc>
          <w:tcPr>
            <w:tcW w:w="3105" w:type="dxa"/>
            <w:tcBorders>
              <w:top w:val="nil"/>
              <w:left w:val="nil"/>
              <w:bottom w:val="single" w:color="000000" w:sz="4" w:space="0"/>
              <w:right w:val="single" w:color="000000" w:sz="4" w:space="0"/>
            </w:tcBorders>
            <w:noWrap/>
            <w:tcMar>
              <w:top w:w="15" w:type="dxa"/>
              <w:left w:w="15" w:type="dxa"/>
              <w:right w:w="15" w:type="dxa"/>
            </w:tcMar>
            <w:vAlign w:val="center"/>
          </w:tcPr>
          <w:p>
            <w:pPr>
              <w:ind w:firstLine="200" w:firstLineChars="100"/>
              <w:rPr>
                <w:rFonts w:ascii="宋体" w:hAnsi="宋体" w:eastAsia="宋体" w:cs="宋体"/>
                <w:color w:val="000000"/>
                <w:sz w:val="20"/>
                <w:szCs w:val="20"/>
              </w:rPr>
            </w:pPr>
            <w:r>
              <w:rPr>
                <w:rFonts w:hint="eastAsia" w:ascii="宋体" w:hAnsi="宋体" w:eastAsia="宋体" w:cs="宋体"/>
                <w:color w:val="000000"/>
                <w:sz w:val="20"/>
                <w:szCs w:val="20"/>
              </w:rPr>
              <w:t>行政运行</w:t>
            </w:r>
          </w:p>
        </w:tc>
        <w:tc>
          <w:tcPr>
            <w:tcW w:w="1155"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r>
              <w:rPr>
                <w:rFonts w:ascii="宋体" w:hAnsi="宋体" w:eastAsia="宋体" w:cs="宋体"/>
                <w:color w:val="000000"/>
                <w:sz w:val="20"/>
                <w:szCs w:val="20"/>
              </w:rPr>
              <w:t>50.56</w:t>
            </w:r>
          </w:p>
        </w:tc>
        <w:tc>
          <w:tcPr>
            <w:tcW w:w="1065"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r>
              <w:rPr>
                <w:rFonts w:ascii="宋体" w:hAnsi="宋体" w:eastAsia="宋体" w:cs="宋体"/>
                <w:color w:val="000000"/>
                <w:sz w:val="20"/>
                <w:szCs w:val="20"/>
              </w:rPr>
              <w:t>50.56</w:t>
            </w:r>
          </w:p>
        </w:tc>
        <w:tc>
          <w:tcPr>
            <w:tcW w:w="930"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p>
        </w:tc>
        <w:tc>
          <w:tcPr>
            <w:tcW w:w="900"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p>
        </w:tc>
        <w:tc>
          <w:tcPr>
            <w:tcW w:w="525"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895"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ascii="宋体" w:hAnsi="宋体" w:eastAsia="宋体" w:cs="宋体"/>
                <w:color w:val="000000"/>
                <w:sz w:val="20"/>
                <w:szCs w:val="20"/>
              </w:rPr>
              <w:t>210</w:t>
            </w:r>
          </w:p>
        </w:tc>
        <w:tc>
          <w:tcPr>
            <w:tcW w:w="3105" w:type="dxa"/>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卫生健康支出</w:t>
            </w:r>
          </w:p>
        </w:tc>
        <w:tc>
          <w:tcPr>
            <w:tcW w:w="1155"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r>
              <w:rPr>
                <w:rFonts w:ascii="宋体" w:hAnsi="宋体" w:eastAsia="宋体" w:cs="宋体"/>
                <w:color w:val="000000"/>
                <w:sz w:val="20"/>
                <w:szCs w:val="20"/>
              </w:rPr>
              <w:t>38.11</w:t>
            </w:r>
          </w:p>
        </w:tc>
        <w:tc>
          <w:tcPr>
            <w:tcW w:w="1065"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r>
              <w:rPr>
                <w:rFonts w:ascii="宋体" w:hAnsi="宋体" w:eastAsia="宋体" w:cs="宋体"/>
                <w:color w:val="000000"/>
                <w:sz w:val="20"/>
                <w:szCs w:val="20"/>
              </w:rPr>
              <w:t>38.11</w:t>
            </w:r>
          </w:p>
        </w:tc>
        <w:tc>
          <w:tcPr>
            <w:tcW w:w="930"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p>
        </w:tc>
        <w:tc>
          <w:tcPr>
            <w:tcW w:w="900"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p>
        </w:tc>
        <w:tc>
          <w:tcPr>
            <w:tcW w:w="525"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895"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ascii="宋体" w:hAnsi="宋体" w:eastAsia="宋体" w:cs="宋体"/>
                <w:color w:val="000000"/>
                <w:sz w:val="20"/>
                <w:szCs w:val="20"/>
              </w:rPr>
              <w:t>21001</w:t>
            </w:r>
          </w:p>
        </w:tc>
        <w:tc>
          <w:tcPr>
            <w:tcW w:w="3105" w:type="dxa"/>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卫生健康管理事务</w:t>
            </w:r>
          </w:p>
        </w:tc>
        <w:tc>
          <w:tcPr>
            <w:tcW w:w="1155"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r>
              <w:rPr>
                <w:rFonts w:ascii="宋体" w:hAnsi="宋体" w:eastAsia="宋体" w:cs="宋体"/>
                <w:color w:val="000000"/>
                <w:sz w:val="20"/>
                <w:szCs w:val="20"/>
              </w:rPr>
              <w:t>38.11</w:t>
            </w:r>
          </w:p>
        </w:tc>
        <w:tc>
          <w:tcPr>
            <w:tcW w:w="1065"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r>
              <w:rPr>
                <w:rFonts w:ascii="宋体" w:hAnsi="宋体" w:eastAsia="宋体" w:cs="宋体"/>
                <w:color w:val="000000"/>
                <w:sz w:val="20"/>
                <w:szCs w:val="20"/>
              </w:rPr>
              <w:t>38.11</w:t>
            </w:r>
          </w:p>
        </w:tc>
        <w:tc>
          <w:tcPr>
            <w:tcW w:w="930"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p>
        </w:tc>
        <w:tc>
          <w:tcPr>
            <w:tcW w:w="900"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p>
        </w:tc>
        <w:tc>
          <w:tcPr>
            <w:tcW w:w="525"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895"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ascii="宋体" w:hAnsi="宋体" w:eastAsia="宋体" w:cs="宋体"/>
                <w:color w:val="000000"/>
                <w:sz w:val="20"/>
                <w:szCs w:val="20"/>
              </w:rPr>
              <w:t>2100101</w:t>
            </w:r>
          </w:p>
        </w:tc>
        <w:tc>
          <w:tcPr>
            <w:tcW w:w="3105" w:type="dxa"/>
            <w:tcBorders>
              <w:top w:val="nil"/>
              <w:left w:val="nil"/>
              <w:bottom w:val="single" w:color="000000" w:sz="4" w:space="0"/>
              <w:right w:val="single" w:color="000000" w:sz="4" w:space="0"/>
            </w:tcBorders>
            <w:noWrap/>
            <w:tcMar>
              <w:top w:w="15" w:type="dxa"/>
              <w:left w:w="15" w:type="dxa"/>
              <w:right w:w="15" w:type="dxa"/>
            </w:tcMar>
            <w:vAlign w:val="center"/>
          </w:tcPr>
          <w:p>
            <w:pPr>
              <w:ind w:firstLine="200" w:firstLineChars="100"/>
              <w:rPr>
                <w:rFonts w:ascii="宋体" w:hAnsi="宋体" w:eastAsia="宋体" w:cs="宋体"/>
                <w:color w:val="000000"/>
                <w:sz w:val="20"/>
                <w:szCs w:val="20"/>
              </w:rPr>
            </w:pPr>
            <w:r>
              <w:rPr>
                <w:rFonts w:hint="eastAsia" w:ascii="宋体" w:hAnsi="宋体" w:eastAsia="宋体" w:cs="宋体"/>
                <w:color w:val="000000"/>
                <w:sz w:val="20"/>
                <w:szCs w:val="20"/>
              </w:rPr>
              <w:t>行政运行</w:t>
            </w:r>
          </w:p>
        </w:tc>
        <w:tc>
          <w:tcPr>
            <w:tcW w:w="1155"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r>
              <w:rPr>
                <w:rFonts w:ascii="宋体" w:hAnsi="宋体" w:eastAsia="宋体" w:cs="宋体"/>
                <w:color w:val="000000"/>
                <w:sz w:val="20"/>
                <w:szCs w:val="20"/>
              </w:rPr>
              <w:t>38.11</w:t>
            </w:r>
          </w:p>
        </w:tc>
        <w:tc>
          <w:tcPr>
            <w:tcW w:w="1065"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r>
              <w:rPr>
                <w:rFonts w:ascii="宋体" w:hAnsi="宋体" w:eastAsia="宋体" w:cs="宋体"/>
                <w:color w:val="000000"/>
                <w:sz w:val="20"/>
                <w:szCs w:val="20"/>
              </w:rPr>
              <w:t>38.11</w:t>
            </w:r>
          </w:p>
        </w:tc>
        <w:tc>
          <w:tcPr>
            <w:tcW w:w="930"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p>
        </w:tc>
        <w:tc>
          <w:tcPr>
            <w:tcW w:w="900"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p>
        </w:tc>
        <w:tc>
          <w:tcPr>
            <w:tcW w:w="525"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895"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ascii="宋体" w:hAnsi="宋体" w:eastAsia="宋体" w:cs="宋体"/>
                <w:color w:val="000000"/>
                <w:sz w:val="20"/>
                <w:szCs w:val="20"/>
              </w:rPr>
              <w:t>212</w:t>
            </w:r>
          </w:p>
        </w:tc>
        <w:tc>
          <w:tcPr>
            <w:tcW w:w="3105" w:type="dxa"/>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城乡社区支出</w:t>
            </w:r>
          </w:p>
        </w:tc>
        <w:tc>
          <w:tcPr>
            <w:tcW w:w="1155"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r>
              <w:rPr>
                <w:rFonts w:ascii="宋体" w:hAnsi="宋体" w:eastAsia="宋体" w:cs="宋体"/>
                <w:color w:val="000000"/>
                <w:sz w:val="20"/>
                <w:szCs w:val="20"/>
              </w:rPr>
              <w:t>63.16</w:t>
            </w:r>
          </w:p>
        </w:tc>
        <w:tc>
          <w:tcPr>
            <w:tcW w:w="1065"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p>
        </w:tc>
        <w:tc>
          <w:tcPr>
            <w:tcW w:w="930"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r>
              <w:rPr>
                <w:rFonts w:ascii="宋体" w:hAnsi="宋体" w:eastAsia="宋体" w:cs="宋体"/>
                <w:color w:val="000000"/>
                <w:sz w:val="20"/>
                <w:szCs w:val="20"/>
              </w:rPr>
              <w:t>63.16</w:t>
            </w:r>
          </w:p>
        </w:tc>
        <w:tc>
          <w:tcPr>
            <w:tcW w:w="900"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p>
        </w:tc>
        <w:tc>
          <w:tcPr>
            <w:tcW w:w="525"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895"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ascii="宋体" w:hAnsi="宋体" w:eastAsia="宋体" w:cs="宋体"/>
                <w:color w:val="000000"/>
                <w:sz w:val="20"/>
                <w:szCs w:val="20"/>
              </w:rPr>
              <w:t>21205</w:t>
            </w:r>
          </w:p>
        </w:tc>
        <w:tc>
          <w:tcPr>
            <w:tcW w:w="3105" w:type="dxa"/>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城乡社区环境卫生</w:t>
            </w:r>
          </w:p>
        </w:tc>
        <w:tc>
          <w:tcPr>
            <w:tcW w:w="1155"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r>
              <w:rPr>
                <w:rFonts w:ascii="宋体" w:hAnsi="宋体" w:eastAsia="宋体" w:cs="宋体"/>
                <w:color w:val="000000"/>
                <w:sz w:val="20"/>
                <w:szCs w:val="20"/>
              </w:rPr>
              <w:t>63.16</w:t>
            </w:r>
          </w:p>
        </w:tc>
        <w:tc>
          <w:tcPr>
            <w:tcW w:w="1065"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p>
        </w:tc>
        <w:tc>
          <w:tcPr>
            <w:tcW w:w="930"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r>
              <w:rPr>
                <w:rFonts w:ascii="宋体" w:hAnsi="宋体" w:eastAsia="宋体" w:cs="宋体"/>
                <w:color w:val="000000"/>
                <w:sz w:val="20"/>
                <w:szCs w:val="20"/>
              </w:rPr>
              <w:t>63.16</w:t>
            </w:r>
          </w:p>
        </w:tc>
        <w:tc>
          <w:tcPr>
            <w:tcW w:w="900"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p>
        </w:tc>
        <w:tc>
          <w:tcPr>
            <w:tcW w:w="525"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895"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ascii="宋体" w:hAnsi="宋体" w:eastAsia="宋体" w:cs="宋体"/>
                <w:color w:val="000000"/>
                <w:sz w:val="20"/>
                <w:szCs w:val="20"/>
              </w:rPr>
              <w:t>2120501</w:t>
            </w:r>
          </w:p>
        </w:tc>
        <w:tc>
          <w:tcPr>
            <w:tcW w:w="3105" w:type="dxa"/>
            <w:tcBorders>
              <w:top w:val="nil"/>
              <w:left w:val="nil"/>
              <w:bottom w:val="single" w:color="000000" w:sz="4" w:space="0"/>
              <w:right w:val="single" w:color="000000" w:sz="4" w:space="0"/>
            </w:tcBorders>
            <w:noWrap/>
            <w:tcMar>
              <w:top w:w="15" w:type="dxa"/>
              <w:left w:w="15" w:type="dxa"/>
              <w:right w:w="15" w:type="dxa"/>
            </w:tcMar>
            <w:vAlign w:val="center"/>
          </w:tcPr>
          <w:p>
            <w:pPr>
              <w:ind w:firstLine="200" w:firstLineChars="100"/>
              <w:rPr>
                <w:rFonts w:ascii="宋体" w:hAnsi="宋体" w:eastAsia="宋体" w:cs="宋体"/>
                <w:color w:val="000000"/>
                <w:sz w:val="20"/>
                <w:szCs w:val="20"/>
              </w:rPr>
            </w:pPr>
            <w:r>
              <w:rPr>
                <w:rFonts w:hint="eastAsia" w:ascii="宋体" w:hAnsi="宋体" w:eastAsia="宋体" w:cs="宋体"/>
                <w:color w:val="000000"/>
                <w:sz w:val="20"/>
                <w:szCs w:val="20"/>
              </w:rPr>
              <w:t>城乡社区环境卫生</w:t>
            </w:r>
          </w:p>
        </w:tc>
        <w:tc>
          <w:tcPr>
            <w:tcW w:w="1155"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r>
              <w:rPr>
                <w:rFonts w:ascii="宋体" w:hAnsi="宋体" w:eastAsia="宋体" w:cs="宋体"/>
                <w:color w:val="000000"/>
                <w:sz w:val="20"/>
                <w:szCs w:val="20"/>
              </w:rPr>
              <w:t>63.16</w:t>
            </w:r>
          </w:p>
        </w:tc>
        <w:tc>
          <w:tcPr>
            <w:tcW w:w="1065"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p>
        </w:tc>
        <w:tc>
          <w:tcPr>
            <w:tcW w:w="930"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r>
              <w:rPr>
                <w:rFonts w:ascii="宋体" w:hAnsi="宋体" w:eastAsia="宋体" w:cs="宋体"/>
                <w:color w:val="000000"/>
                <w:sz w:val="20"/>
                <w:szCs w:val="20"/>
              </w:rPr>
              <w:t>63.16</w:t>
            </w:r>
          </w:p>
        </w:tc>
        <w:tc>
          <w:tcPr>
            <w:tcW w:w="900"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p>
        </w:tc>
        <w:tc>
          <w:tcPr>
            <w:tcW w:w="525"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895"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ascii="宋体" w:hAnsi="宋体" w:eastAsia="宋体" w:cs="宋体"/>
                <w:color w:val="000000"/>
                <w:sz w:val="20"/>
                <w:szCs w:val="20"/>
              </w:rPr>
              <w:t>213</w:t>
            </w:r>
          </w:p>
        </w:tc>
        <w:tc>
          <w:tcPr>
            <w:tcW w:w="3105" w:type="dxa"/>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农林水支出</w:t>
            </w:r>
          </w:p>
        </w:tc>
        <w:tc>
          <w:tcPr>
            <w:tcW w:w="1155"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r>
              <w:rPr>
                <w:rFonts w:ascii="宋体" w:hAnsi="宋体" w:eastAsia="宋体" w:cs="宋体"/>
                <w:color w:val="000000"/>
                <w:sz w:val="20"/>
                <w:szCs w:val="20"/>
              </w:rPr>
              <w:t>28.89</w:t>
            </w:r>
          </w:p>
        </w:tc>
        <w:tc>
          <w:tcPr>
            <w:tcW w:w="1065"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r>
              <w:rPr>
                <w:rFonts w:ascii="宋体" w:hAnsi="宋体" w:eastAsia="宋体" w:cs="宋体"/>
                <w:color w:val="000000"/>
                <w:sz w:val="20"/>
                <w:szCs w:val="20"/>
              </w:rPr>
              <w:t>28.89</w:t>
            </w:r>
          </w:p>
        </w:tc>
        <w:tc>
          <w:tcPr>
            <w:tcW w:w="930"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p>
        </w:tc>
        <w:tc>
          <w:tcPr>
            <w:tcW w:w="900"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p>
        </w:tc>
        <w:tc>
          <w:tcPr>
            <w:tcW w:w="525"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895"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ascii="宋体" w:hAnsi="宋体" w:eastAsia="宋体" w:cs="宋体"/>
                <w:color w:val="000000"/>
                <w:sz w:val="20"/>
                <w:szCs w:val="20"/>
              </w:rPr>
              <w:t>21301</w:t>
            </w:r>
          </w:p>
        </w:tc>
        <w:tc>
          <w:tcPr>
            <w:tcW w:w="3105" w:type="dxa"/>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农业</w:t>
            </w:r>
          </w:p>
        </w:tc>
        <w:tc>
          <w:tcPr>
            <w:tcW w:w="1155"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r>
              <w:rPr>
                <w:rFonts w:ascii="宋体" w:hAnsi="宋体" w:eastAsia="宋体" w:cs="宋体"/>
                <w:color w:val="000000"/>
                <w:sz w:val="20"/>
                <w:szCs w:val="20"/>
              </w:rPr>
              <w:t>28.89</w:t>
            </w:r>
          </w:p>
        </w:tc>
        <w:tc>
          <w:tcPr>
            <w:tcW w:w="1065"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r>
              <w:rPr>
                <w:rFonts w:ascii="宋体" w:hAnsi="宋体" w:eastAsia="宋体" w:cs="宋体"/>
                <w:color w:val="000000"/>
                <w:sz w:val="20"/>
                <w:szCs w:val="20"/>
              </w:rPr>
              <w:t>28.89</w:t>
            </w:r>
          </w:p>
        </w:tc>
        <w:tc>
          <w:tcPr>
            <w:tcW w:w="930"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p>
        </w:tc>
        <w:tc>
          <w:tcPr>
            <w:tcW w:w="900"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p>
        </w:tc>
        <w:tc>
          <w:tcPr>
            <w:tcW w:w="525"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895"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ascii="宋体" w:hAnsi="宋体" w:eastAsia="宋体" w:cs="宋体"/>
                <w:color w:val="000000"/>
                <w:sz w:val="20"/>
                <w:szCs w:val="20"/>
              </w:rPr>
              <w:t>2130101</w:t>
            </w:r>
          </w:p>
        </w:tc>
        <w:tc>
          <w:tcPr>
            <w:tcW w:w="3105" w:type="dxa"/>
            <w:tcBorders>
              <w:top w:val="nil"/>
              <w:left w:val="nil"/>
              <w:bottom w:val="single" w:color="000000" w:sz="4" w:space="0"/>
              <w:right w:val="single" w:color="000000" w:sz="4" w:space="0"/>
            </w:tcBorders>
            <w:noWrap/>
            <w:tcMar>
              <w:top w:w="15" w:type="dxa"/>
              <w:left w:w="15" w:type="dxa"/>
              <w:right w:w="15" w:type="dxa"/>
            </w:tcMar>
            <w:vAlign w:val="center"/>
          </w:tcPr>
          <w:p>
            <w:pPr>
              <w:ind w:firstLine="200" w:firstLineChars="100"/>
              <w:rPr>
                <w:rFonts w:ascii="宋体" w:hAnsi="宋体" w:eastAsia="宋体" w:cs="宋体"/>
                <w:color w:val="000000"/>
                <w:sz w:val="20"/>
                <w:szCs w:val="20"/>
              </w:rPr>
            </w:pPr>
            <w:r>
              <w:rPr>
                <w:rFonts w:hint="eastAsia" w:ascii="宋体" w:hAnsi="宋体" w:eastAsia="宋体" w:cs="宋体"/>
                <w:color w:val="000000"/>
                <w:sz w:val="20"/>
                <w:szCs w:val="20"/>
              </w:rPr>
              <w:t>行政运行</w:t>
            </w:r>
          </w:p>
        </w:tc>
        <w:tc>
          <w:tcPr>
            <w:tcW w:w="1155"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r>
              <w:rPr>
                <w:rFonts w:ascii="宋体" w:hAnsi="宋体" w:eastAsia="宋体" w:cs="宋体"/>
                <w:color w:val="000000"/>
                <w:sz w:val="20"/>
                <w:szCs w:val="20"/>
              </w:rPr>
              <w:t>28.89</w:t>
            </w:r>
          </w:p>
        </w:tc>
        <w:tc>
          <w:tcPr>
            <w:tcW w:w="1065"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r>
              <w:rPr>
                <w:rFonts w:ascii="宋体" w:hAnsi="宋体" w:eastAsia="宋体" w:cs="宋体"/>
                <w:color w:val="000000"/>
                <w:sz w:val="20"/>
                <w:szCs w:val="20"/>
              </w:rPr>
              <w:t>28.89</w:t>
            </w:r>
          </w:p>
        </w:tc>
        <w:tc>
          <w:tcPr>
            <w:tcW w:w="930"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p>
        </w:tc>
        <w:tc>
          <w:tcPr>
            <w:tcW w:w="900"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p>
        </w:tc>
        <w:tc>
          <w:tcPr>
            <w:tcW w:w="525"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895"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9680" w:type="dxa"/>
            <w:gridSpan w:val="10"/>
            <w:tcBorders>
              <w:top w:val="nil"/>
              <w:left w:val="nil"/>
              <w:bottom w:val="nil"/>
              <w:right w:val="nil"/>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注：本表反映部门本年度各项支出情况。</w:t>
            </w:r>
          </w:p>
        </w:tc>
      </w:tr>
    </w:tbl>
    <w:p>
      <w:r>
        <w:br w:type="page"/>
      </w:r>
    </w:p>
    <w:tbl>
      <w:tblPr>
        <w:tblStyle w:val="7"/>
        <w:tblW w:w="9520" w:type="dxa"/>
        <w:jc w:val="center"/>
        <w:tblLayout w:type="fixed"/>
        <w:tblCellMar>
          <w:top w:w="0" w:type="dxa"/>
          <w:left w:w="0" w:type="dxa"/>
          <w:bottom w:w="0" w:type="dxa"/>
          <w:right w:w="0" w:type="dxa"/>
        </w:tblCellMar>
      </w:tblPr>
      <w:tblGrid>
        <w:gridCol w:w="2922"/>
        <w:gridCol w:w="425"/>
        <w:gridCol w:w="662"/>
        <w:gridCol w:w="2946"/>
        <w:gridCol w:w="372"/>
        <w:gridCol w:w="583"/>
        <w:gridCol w:w="821"/>
        <w:gridCol w:w="789"/>
      </w:tblGrid>
      <w:tr>
        <w:tblPrEx>
          <w:tblCellMar>
            <w:top w:w="0" w:type="dxa"/>
            <w:left w:w="0" w:type="dxa"/>
            <w:bottom w:w="0" w:type="dxa"/>
            <w:right w:w="0" w:type="dxa"/>
          </w:tblCellMar>
        </w:tblPrEx>
        <w:trPr>
          <w:trHeight w:val="406" w:hRule="atLeast"/>
          <w:jc w:val="center"/>
        </w:trPr>
        <w:tc>
          <w:tcPr>
            <w:tcW w:w="9520" w:type="dxa"/>
            <w:gridSpan w:val="8"/>
            <w:tcBorders>
              <w:top w:val="nil"/>
              <w:left w:val="nil"/>
              <w:bottom w:val="nil"/>
              <w:right w:val="nil"/>
            </w:tcBorders>
            <w:noWrap/>
            <w:tcMar>
              <w:top w:w="15" w:type="dxa"/>
              <w:left w:w="15" w:type="dxa"/>
              <w:right w:w="15" w:type="dxa"/>
            </w:tcMar>
            <w:vAlign w:val="bottom"/>
          </w:tcPr>
          <w:p>
            <w:pPr>
              <w:jc w:val="center"/>
              <w:rPr>
                <w:rFonts w:ascii="黑体" w:hAnsi="宋体" w:eastAsia="黑体" w:cs="黑体"/>
                <w:color w:val="000000"/>
                <w:sz w:val="32"/>
                <w:szCs w:val="32"/>
              </w:rPr>
            </w:pPr>
            <w:r>
              <w:rPr>
                <w:rFonts w:hint="eastAsia" w:ascii="黑体" w:hAnsi="宋体" w:eastAsia="黑体" w:cs="黑体"/>
                <w:color w:val="000000"/>
                <w:kern w:val="0"/>
                <w:sz w:val="32"/>
                <w:szCs w:val="32"/>
              </w:rPr>
              <w:t>财政拨款收入支出决算总表</w:t>
            </w:r>
          </w:p>
        </w:tc>
      </w:tr>
      <w:tr>
        <w:tblPrEx>
          <w:tblCellMar>
            <w:top w:w="0" w:type="dxa"/>
            <w:left w:w="0" w:type="dxa"/>
            <w:bottom w:w="0" w:type="dxa"/>
            <w:right w:w="0" w:type="dxa"/>
          </w:tblCellMar>
        </w:tblPrEx>
        <w:trPr>
          <w:trHeight w:val="90" w:hRule="atLeast"/>
          <w:jc w:val="center"/>
        </w:trPr>
        <w:tc>
          <w:tcPr>
            <w:tcW w:w="2922"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425"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662"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2946"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372"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2193" w:type="dxa"/>
            <w:gridSpan w:val="3"/>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w:t>
            </w:r>
            <w:r>
              <w:rPr>
                <w:rFonts w:ascii="宋体" w:hAnsi="宋体" w:eastAsia="宋体" w:cs="宋体"/>
                <w:color w:val="000000"/>
                <w:kern w:val="0"/>
                <w:sz w:val="20"/>
                <w:szCs w:val="20"/>
              </w:rPr>
              <w:t>04</w:t>
            </w:r>
            <w:r>
              <w:rPr>
                <w:rFonts w:hint="eastAsia" w:ascii="宋体" w:hAnsi="宋体" w:eastAsia="宋体" w:cs="宋体"/>
                <w:color w:val="000000"/>
                <w:kern w:val="0"/>
                <w:sz w:val="20"/>
                <w:szCs w:val="20"/>
              </w:rPr>
              <w:t>表</w:t>
            </w:r>
          </w:p>
        </w:tc>
      </w:tr>
      <w:tr>
        <w:tblPrEx>
          <w:tblCellMar>
            <w:top w:w="0" w:type="dxa"/>
            <w:left w:w="0" w:type="dxa"/>
            <w:bottom w:w="0" w:type="dxa"/>
            <w:right w:w="0" w:type="dxa"/>
          </w:tblCellMar>
        </w:tblPrEx>
        <w:trPr>
          <w:trHeight w:val="90" w:hRule="atLeast"/>
          <w:jc w:val="center"/>
        </w:trPr>
        <w:tc>
          <w:tcPr>
            <w:tcW w:w="2922" w:type="dxa"/>
            <w:tcBorders>
              <w:top w:val="nil"/>
              <w:left w:val="nil"/>
              <w:bottom w:val="nil"/>
              <w:right w:val="nil"/>
            </w:tcBorders>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r>
              <w:rPr>
                <w:rFonts w:hint="eastAsia" w:ascii="宋体" w:hAnsi="宋体" w:cs="宋体"/>
                <w:kern w:val="0"/>
                <w:sz w:val="20"/>
                <w:szCs w:val="20"/>
              </w:rPr>
              <w:t>遵化市崔家庄乡人民政府</w:t>
            </w:r>
          </w:p>
        </w:tc>
        <w:tc>
          <w:tcPr>
            <w:tcW w:w="425"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662"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2946"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372"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2193" w:type="dxa"/>
            <w:gridSpan w:val="3"/>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90" w:hRule="atLeast"/>
          <w:jc w:val="center"/>
        </w:trPr>
        <w:tc>
          <w:tcPr>
            <w:tcW w:w="4009"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收入</w:t>
            </w:r>
          </w:p>
        </w:tc>
        <w:tc>
          <w:tcPr>
            <w:tcW w:w="5511" w:type="dxa"/>
            <w:gridSpan w:val="5"/>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支出</w:t>
            </w:r>
          </w:p>
        </w:tc>
      </w:tr>
      <w:tr>
        <w:tblPrEx>
          <w:tblCellMar>
            <w:top w:w="0" w:type="dxa"/>
            <w:left w:w="0" w:type="dxa"/>
            <w:bottom w:w="0" w:type="dxa"/>
            <w:right w:w="0" w:type="dxa"/>
          </w:tblCellMar>
        </w:tblPrEx>
        <w:trPr>
          <w:trHeight w:val="312" w:hRule="atLeast"/>
          <w:jc w:val="center"/>
        </w:trPr>
        <w:tc>
          <w:tcPr>
            <w:tcW w:w="2922"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425"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662"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c>
          <w:tcPr>
            <w:tcW w:w="2946"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372"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583" w:type="dxa"/>
            <w:vMerge w:val="restart"/>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821"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一般公共预算财政拨款</w:t>
            </w:r>
          </w:p>
        </w:tc>
        <w:tc>
          <w:tcPr>
            <w:tcW w:w="789"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政府性基金预算财政拨款</w:t>
            </w:r>
          </w:p>
        </w:tc>
      </w:tr>
      <w:tr>
        <w:tblPrEx>
          <w:tblCellMar>
            <w:top w:w="0" w:type="dxa"/>
            <w:left w:w="0" w:type="dxa"/>
            <w:bottom w:w="0" w:type="dxa"/>
            <w:right w:w="0" w:type="dxa"/>
          </w:tblCellMar>
        </w:tblPrEx>
        <w:trPr>
          <w:trHeight w:val="312" w:hRule="atLeast"/>
          <w:jc w:val="center"/>
        </w:trPr>
        <w:tc>
          <w:tcPr>
            <w:tcW w:w="292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425"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662"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2946"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372"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583" w:type="dxa"/>
            <w:vMerge w:val="continue"/>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821"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789"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w:t>
            </w: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栏次</w:t>
            </w:r>
          </w:p>
        </w:tc>
        <w:tc>
          <w:tcPr>
            <w:tcW w:w="372"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58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w:t>
            </w:r>
          </w:p>
        </w:tc>
        <w:tc>
          <w:tcPr>
            <w:tcW w:w="82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w:t>
            </w: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w:t>
            </w: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w:t>
            </w: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r>
              <w:rPr>
                <w:rFonts w:ascii="宋体" w:hAnsi="宋体" w:eastAsia="宋体" w:cs="宋体"/>
                <w:color w:val="000000"/>
                <w:sz w:val="20"/>
                <w:szCs w:val="20"/>
              </w:rPr>
              <w:t>689.68</w:t>
            </w: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一、一般公共服务支出</w:t>
            </w:r>
          </w:p>
        </w:tc>
        <w:tc>
          <w:tcPr>
            <w:tcW w:w="37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30</w:t>
            </w:r>
          </w:p>
        </w:tc>
        <w:tc>
          <w:tcPr>
            <w:tcW w:w="583"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18"/>
                <w:szCs w:val="18"/>
              </w:rPr>
            </w:pPr>
          </w:p>
        </w:tc>
        <w:tc>
          <w:tcPr>
            <w:tcW w:w="821"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w:t>
            </w: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二、外交支出</w:t>
            </w:r>
          </w:p>
        </w:tc>
        <w:tc>
          <w:tcPr>
            <w:tcW w:w="37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31</w:t>
            </w:r>
          </w:p>
        </w:tc>
        <w:tc>
          <w:tcPr>
            <w:tcW w:w="583"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18"/>
                <w:szCs w:val="18"/>
              </w:rPr>
            </w:pPr>
          </w:p>
        </w:tc>
        <w:tc>
          <w:tcPr>
            <w:tcW w:w="821"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三、国防支出</w:t>
            </w:r>
          </w:p>
        </w:tc>
        <w:tc>
          <w:tcPr>
            <w:tcW w:w="37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32</w:t>
            </w:r>
          </w:p>
        </w:tc>
        <w:tc>
          <w:tcPr>
            <w:tcW w:w="583"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18"/>
                <w:szCs w:val="18"/>
              </w:rPr>
            </w:pPr>
          </w:p>
        </w:tc>
        <w:tc>
          <w:tcPr>
            <w:tcW w:w="821"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四、公共安全支出</w:t>
            </w:r>
          </w:p>
        </w:tc>
        <w:tc>
          <w:tcPr>
            <w:tcW w:w="37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33</w:t>
            </w:r>
          </w:p>
        </w:tc>
        <w:tc>
          <w:tcPr>
            <w:tcW w:w="583"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18"/>
                <w:szCs w:val="18"/>
              </w:rPr>
            </w:pPr>
          </w:p>
        </w:tc>
        <w:tc>
          <w:tcPr>
            <w:tcW w:w="821"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五、教育支出</w:t>
            </w:r>
          </w:p>
        </w:tc>
        <w:tc>
          <w:tcPr>
            <w:tcW w:w="37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34</w:t>
            </w:r>
          </w:p>
        </w:tc>
        <w:tc>
          <w:tcPr>
            <w:tcW w:w="583"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18"/>
                <w:szCs w:val="18"/>
              </w:rPr>
            </w:pPr>
          </w:p>
        </w:tc>
        <w:tc>
          <w:tcPr>
            <w:tcW w:w="821"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6</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六、科学技术支出</w:t>
            </w:r>
          </w:p>
        </w:tc>
        <w:tc>
          <w:tcPr>
            <w:tcW w:w="37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35</w:t>
            </w:r>
          </w:p>
        </w:tc>
        <w:tc>
          <w:tcPr>
            <w:tcW w:w="583"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18"/>
                <w:szCs w:val="18"/>
              </w:rPr>
            </w:pPr>
          </w:p>
        </w:tc>
        <w:tc>
          <w:tcPr>
            <w:tcW w:w="821"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7</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七、文化旅游体育与传媒支出</w:t>
            </w:r>
          </w:p>
        </w:tc>
        <w:tc>
          <w:tcPr>
            <w:tcW w:w="37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36</w:t>
            </w:r>
          </w:p>
        </w:tc>
        <w:tc>
          <w:tcPr>
            <w:tcW w:w="583"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18"/>
                <w:szCs w:val="18"/>
              </w:rPr>
            </w:pPr>
          </w:p>
        </w:tc>
        <w:tc>
          <w:tcPr>
            <w:tcW w:w="821"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8</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八、社会保障和就业支出</w:t>
            </w:r>
          </w:p>
        </w:tc>
        <w:tc>
          <w:tcPr>
            <w:tcW w:w="37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37</w:t>
            </w:r>
          </w:p>
        </w:tc>
        <w:tc>
          <w:tcPr>
            <w:tcW w:w="583"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18"/>
                <w:szCs w:val="18"/>
              </w:rPr>
            </w:pPr>
          </w:p>
        </w:tc>
        <w:tc>
          <w:tcPr>
            <w:tcW w:w="821"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9</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九、卫生健康支出</w:t>
            </w:r>
          </w:p>
        </w:tc>
        <w:tc>
          <w:tcPr>
            <w:tcW w:w="37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38</w:t>
            </w:r>
          </w:p>
        </w:tc>
        <w:tc>
          <w:tcPr>
            <w:tcW w:w="583"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18"/>
                <w:szCs w:val="18"/>
              </w:rPr>
            </w:pPr>
            <w:r>
              <w:rPr>
                <w:rFonts w:ascii="宋体" w:hAnsi="宋体" w:eastAsia="宋体" w:cs="宋体"/>
                <w:color w:val="000000"/>
                <w:sz w:val="18"/>
                <w:szCs w:val="18"/>
              </w:rPr>
              <w:t>38.11</w:t>
            </w:r>
          </w:p>
        </w:tc>
        <w:tc>
          <w:tcPr>
            <w:tcW w:w="821"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r>
              <w:rPr>
                <w:rFonts w:ascii="宋体" w:hAnsi="宋体" w:eastAsia="宋体" w:cs="宋体"/>
                <w:color w:val="000000"/>
                <w:sz w:val="20"/>
                <w:szCs w:val="20"/>
              </w:rPr>
              <w:t>38.11</w:t>
            </w: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10</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十、节能环保支出</w:t>
            </w:r>
          </w:p>
        </w:tc>
        <w:tc>
          <w:tcPr>
            <w:tcW w:w="37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39</w:t>
            </w:r>
          </w:p>
        </w:tc>
        <w:tc>
          <w:tcPr>
            <w:tcW w:w="583"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18"/>
                <w:szCs w:val="18"/>
              </w:rPr>
            </w:pPr>
          </w:p>
        </w:tc>
        <w:tc>
          <w:tcPr>
            <w:tcW w:w="821"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11</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十一、城乡社区支出</w:t>
            </w:r>
          </w:p>
        </w:tc>
        <w:tc>
          <w:tcPr>
            <w:tcW w:w="37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40</w:t>
            </w:r>
          </w:p>
        </w:tc>
        <w:tc>
          <w:tcPr>
            <w:tcW w:w="583"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18"/>
                <w:szCs w:val="18"/>
              </w:rPr>
            </w:pPr>
            <w:r>
              <w:rPr>
                <w:rFonts w:ascii="宋体" w:hAnsi="宋体" w:eastAsia="宋体" w:cs="宋体"/>
                <w:color w:val="000000"/>
                <w:sz w:val="18"/>
                <w:szCs w:val="18"/>
              </w:rPr>
              <w:t>63.16</w:t>
            </w:r>
          </w:p>
        </w:tc>
        <w:tc>
          <w:tcPr>
            <w:tcW w:w="821"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r>
              <w:rPr>
                <w:rFonts w:ascii="宋体" w:hAnsi="宋体" w:eastAsia="宋体" w:cs="宋体"/>
                <w:color w:val="000000"/>
                <w:sz w:val="20"/>
                <w:szCs w:val="20"/>
              </w:rPr>
              <w:t>63.16</w:t>
            </w: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12</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十二、农林水支出</w:t>
            </w:r>
          </w:p>
        </w:tc>
        <w:tc>
          <w:tcPr>
            <w:tcW w:w="37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41</w:t>
            </w:r>
          </w:p>
        </w:tc>
        <w:tc>
          <w:tcPr>
            <w:tcW w:w="583"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18"/>
                <w:szCs w:val="18"/>
              </w:rPr>
            </w:pPr>
            <w:r>
              <w:rPr>
                <w:rFonts w:ascii="宋体" w:hAnsi="宋体" w:eastAsia="宋体" w:cs="宋体"/>
                <w:color w:val="000000"/>
                <w:sz w:val="18"/>
                <w:szCs w:val="18"/>
              </w:rPr>
              <w:t>28.89</w:t>
            </w:r>
          </w:p>
        </w:tc>
        <w:tc>
          <w:tcPr>
            <w:tcW w:w="821"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r>
              <w:rPr>
                <w:rFonts w:ascii="宋体" w:hAnsi="宋体" w:eastAsia="宋体" w:cs="宋体"/>
                <w:color w:val="000000"/>
                <w:sz w:val="20"/>
                <w:szCs w:val="20"/>
              </w:rPr>
              <w:t>28.89</w:t>
            </w: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13</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十三、交通运输支出</w:t>
            </w:r>
          </w:p>
        </w:tc>
        <w:tc>
          <w:tcPr>
            <w:tcW w:w="37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42</w:t>
            </w:r>
          </w:p>
        </w:tc>
        <w:tc>
          <w:tcPr>
            <w:tcW w:w="583"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18"/>
                <w:szCs w:val="18"/>
              </w:rPr>
            </w:pPr>
          </w:p>
        </w:tc>
        <w:tc>
          <w:tcPr>
            <w:tcW w:w="821"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14</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十四、资源勘探信息等支出</w:t>
            </w:r>
          </w:p>
        </w:tc>
        <w:tc>
          <w:tcPr>
            <w:tcW w:w="37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43</w:t>
            </w:r>
          </w:p>
        </w:tc>
        <w:tc>
          <w:tcPr>
            <w:tcW w:w="583"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18"/>
                <w:szCs w:val="18"/>
              </w:rPr>
            </w:pPr>
          </w:p>
        </w:tc>
        <w:tc>
          <w:tcPr>
            <w:tcW w:w="821"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15</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十五、商业服务业等支出</w:t>
            </w:r>
          </w:p>
        </w:tc>
        <w:tc>
          <w:tcPr>
            <w:tcW w:w="37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44</w:t>
            </w:r>
          </w:p>
        </w:tc>
        <w:tc>
          <w:tcPr>
            <w:tcW w:w="583"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18"/>
                <w:szCs w:val="18"/>
              </w:rPr>
            </w:pPr>
          </w:p>
        </w:tc>
        <w:tc>
          <w:tcPr>
            <w:tcW w:w="821"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16</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十六、金融支出</w:t>
            </w:r>
          </w:p>
        </w:tc>
        <w:tc>
          <w:tcPr>
            <w:tcW w:w="37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45</w:t>
            </w:r>
          </w:p>
        </w:tc>
        <w:tc>
          <w:tcPr>
            <w:tcW w:w="583"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18"/>
                <w:szCs w:val="18"/>
              </w:rPr>
            </w:pPr>
          </w:p>
        </w:tc>
        <w:tc>
          <w:tcPr>
            <w:tcW w:w="821"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17</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十七、援助其他地区支出</w:t>
            </w:r>
          </w:p>
        </w:tc>
        <w:tc>
          <w:tcPr>
            <w:tcW w:w="37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46</w:t>
            </w:r>
          </w:p>
        </w:tc>
        <w:tc>
          <w:tcPr>
            <w:tcW w:w="583"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18"/>
                <w:szCs w:val="18"/>
              </w:rPr>
            </w:pPr>
          </w:p>
        </w:tc>
        <w:tc>
          <w:tcPr>
            <w:tcW w:w="821"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18</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Cs w:val="21"/>
              </w:rPr>
            </w:pP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十八、自然资源海洋气象等支出</w:t>
            </w:r>
          </w:p>
        </w:tc>
        <w:tc>
          <w:tcPr>
            <w:tcW w:w="37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47</w:t>
            </w:r>
          </w:p>
        </w:tc>
        <w:tc>
          <w:tcPr>
            <w:tcW w:w="583"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18"/>
                <w:szCs w:val="18"/>
              </w:rPr>
            </w:pPr>
          </w:p>
        </w:tc>
        <w:tc>
          <w:tcPr>
            <w:tcW w:w="821"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19</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十九、住房保障支出</w:t>
            </w:r>
          </w:p>
        </w:tc>
        <w:tc>
          <w:tcPr>
            <w:tcW w:w="37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48</w:t>
            </w:r>
          </w:p>
        </w:tc>
        <w:tc>
          <w:tcPr>
            <w:tcW w:w="583"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18"/>
                <w:szCs w:val="18"/>
              </w:rPr>
            </w:pPr>
          </w:p>
        </w:tc>
        <w:tc>
          <w:tcPr>
            <w:tcW w:w="821"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20</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二十、粮油物资储备支出</w:t>
            </w:r>
          </w:p>
        </w:tc>
        <w:tc>
          <w:tcPr>
            <w:tcW w:w="37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49</w:t>
            </w:r>
          </w:p>
        </w:tc>
        <w:tc>
          <w:tcPr>
            <w:tcW w:w="583"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18"/>
                <w:szCs w:val="18"/>
              </w:rPr>
            </w:pPr>
          </w:p>
        </w:tc>
        <w:tc>
          <w:tcPr>
            <w:tcW w:w="821"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21</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 w:val="20"/>
                <w:szCs w:val="20"/>
              </w:rPr>
              <w:t>二十一、灾害防治及应急管理支出</w:t>
            </w:r>
          </w:p>
        </w:tc>
        <w:tc>
          <w:tcPr>
            <w:tcW w:w="37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50</w:t>
            </w:r>
          </w:p>
        </w:tc>
        <w:tc>
          <w:tcPr>
            <w:tcW w:w="583"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18"/>
                <w:szCs w:val="18"/>
              </w:rPr>
            </w:pPr>
          </w:p>
        </w:tc>
        <w:tc>
          <w:tcPr>
            <w:tcW w:w="821"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22</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二十二、其他支出</w:t>
            </w:r>
          </w:p>
        </w:tc>
        <w:tc>
          <w:tcPr>
            <w:tcW w:w="37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51</w:t>
            </w:r>
          </w:p>
        </w:tc>
        <w:tc>
          <w:tcPr>
            <w:tcW w:w="583"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18"/>
                <w:szCs w:val="18"/>
              </w:rPr>
            </w:pPr>
          </w:p>
        </w:tc>
        <w:tc>
          <w:tcPr>
            <w:tcW w:w="821"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23</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二十四、债务付息支出</w:t>
            </w:r>
          </w:p>
        </w:tc>
        <w:tc>
          <w:tcPr>
            <w:tcW w:w="37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52</w:t>
            </w:r>
          </w:p>
        </w:tc>
        <w:tc>
          <w:tcPr>
            <w:tcW w:w="583"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18"/>
                <w:szCs w:val="18"/>
              </w:rPr>
            </w:pPr>
          </w:p>
        </w:tc>
        <w:tc>
          <w:tcPr>
            <w:tcW w:w="821"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本年收入合计</w:t>
            </w: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24</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r>
              <w:rPr>
                <w:rFonts w:ascii="宋体" w:hAnsi="宋体" w:eastAsia="宋体" w:cs="宋体"/>
                <w:color w:val="000000"/>
                <w:sz w:val="20"/>
                <w:szCs w:val="20"/>
              </w:rPr>
              <w:t>689.68</w:t>
            </w: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本年支出合计</w:t>
            </w:r>
          </w:p>
        </w:tc>
        <w:tc>
          <w:tcPr>
            <w:tcW w:w="37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53</w:t>
            </w:r>
          </w:p>
        </w:tc>
        <w:tc>
          <w:tcPr>
            <w:tcW w:w="583"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18"/>
                <w:szCs w:val="18"/>
              </w:rPr>
            </w:pPr>
            <w:r>
              <w:rPr>
                <w:rFonts w:ascii="宋体" w:hAnsi="宋体" w:eastAsia="宋体" w:cs="宋体"/>
                <w:color w:val="000000"/>
                <w:sz w:val="18"/>
                <w:szCs w:val="18"/>
              </w:rPr>
              <w:t>689.68</w:t>
            </w:r>
          </w:p>
        </w:tc>
        <w:tc>
          <w:tcPr>
            <w:tcW w:w="821"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r>
              <w:rPr>
                <w:rFonts w:ascii="宋体" w:hAnsi="宋体" w:eastAsia="宋体" w:cs="宋体"/>
                <w:color w:val="000000"/>
                <w:sz w:val="20"/>
                <w:szCs w:val="20"/>
              </w:rPr>
              <w:t>689.68</w:t>
            </w: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年初财政拨款结转和结余</w:t>
            </w: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25</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年末财政拨款结转和结余</w:t>
            </w:r>
          </w:p>
        </w:tc>
        <w:tc>
          <w:tcPr>
            <w:tcW w:w="37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54</w:t>
            </w:r>
          </w:p>
        </w:tc>
        <w:tc>
          <w:tcPr>
            <w:tcW w:w="583"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18"/>
                <w:szCs w:val="18"/>
              </w:rPr>
            </w:pPr>
          </w:p>
        </w:tc>
        <w:tc>
          <w:tcPr>
            <w:tcW w:w="821"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w:t>
            </w: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26</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37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55</w:t>
            </w:r>
          </w:p>
        </w:tc>
        <w:tc>
          <w:tcPr>
            <w:tcW w:w="583"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18"/>
                <w:szCs w:val="18"/>
              </w:rPr>
            </w:pPr>
          </w:p>
        </w:tc>
        <w:tc>
          <w:tcPr>
            <w:tcW w:w="821"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w:t>
            </w: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27</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37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56</w:t>
            </w:r>
          </w:p>
        </w:tc>
        <w:tc>
          <w:tcPr>
            <w:tcW w:w="583"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18"/>
                <w:szCs w:val="18"/>
              </w:rPr>
            </w:pPr>
          </w:p>
        </w:tc>
        <w:tc>
          <w:tcPr>
            <w:tcW w:w="821"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28</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37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57</w:t>
            </w:r>
          </w:p>
        </w:tc>
        <w:tc>
          <w:tcPr>
            <w:tcW w:w="583"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18"/>
                <w:szCs w:val="18"/>
              </w:rPr>
            </w:pPr>
          </w:p>
        </w:tc>
        <w:tc>
          <w:tcPr>
            <w:tcW w:w="821"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29</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r>
              <w:rPr>
                <w:rFonts w:ascii="宋体" w:hAnsi="宋体" w:eastAsia="宋体" w:cs="宋体"/>
                <w:color w:val="000000"/>
                <w:sz w:val="20"/>
                <w:szCs w:val="20"/>
              </w:rPr>
              <w:t>689.68</w:t>
            </w: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37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58</w:t>
            </w:r>
          </w:p>
        </w:tc>
        <w:tc>
          <w:tcPr>
            <w:tcW w:w="583"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18"/>
                <w:szCs w:val="18"/>
              </w:rPr>
            </w:pPr>
            <w:r>
              <w:rPr>
                <w:rFonts w:ascii="宋体" w:hAnsi="宋体" w:eastAsia="宋体" w:cs="宋体"/>
                <w:color w:val="000000"/>
                <w:sz w:val="18"/>
                <w:szCs w:val="18"/>
              </w:rPr>
              <w:t>689.68</w:t>
            </w:r>
          </w:p>
        </w:tc>
        <w:tc>
          <w:tcPr>
            <w:tcW w:w="821"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r>
              <w:rPr>
                <w:rFonts w:ascii="宋体" w:hAnsi="宋体" w:eastAsia="宋体" w:cs="宋体"/>
                <w:color w:val="000000"/>
                <w:sz w:val="20"/>
                <w:szCs w:val="20"/>
              </w:rPr>
              <w:t>689.68</w:t>
            </w: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9520" w:type="dxa"/>
            <w:gridSpan w:val="8"/>
            <w:tcBorders>
              <w:top w:val="nil"/>
              <w:left w:val="nil"/>
              <w:bottom w:val="nil"/>
              <w:right w:val="nil"/>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注：本表反映部门本年度一般公共预算财政拨款和政府性基金预算财政拨款的总收支和年末结转结余情况。</w:t>
            </w:r>
          </w:p>
        </w:tc>
      </w:tr>
    </w:tbl>
    <w:p>
      <w:r>
        <w:br w:type="page"/>
      </w:r>
    </w:p>
    <w:tbl>
      <w:tblPr>
        <w:tblStyle w:val="7"/>
        <w:tblW w:w="9990" w:type="dxa"/>
        <w:jc w:val="center"/>
        <w:tblLayout w:type="fixed"/>
        <w:tblCellMar>
          <w:top w:w="0" w:type="dxa"/>
          <w:left w:w="0" w:type="dxa"/>
          <w:bottom w:w="0" w:type="dxa"/>
          <w:right w:w="0" w:type="dxa"/>
        </w:tblCellMar>
      </w:tblPr>
      <w:tblGrid>
        <w:gridCol w:w="663"/>
        <w:gridCol w:w="50"/>
        <w:gridCol w:w="226"/>
        <w:gridCol w:w="3346"/>
        <w:gridCol w:w="1781"/>
        <w:gridCol w:w="1981"/>
        <w:gridCol w:w="1943"/>
      </w:tblGrid>
      <w:tr>
        <w:tblPrEx>
          <w:tblCellMar>
            <w:top w:w="0" w:type="dxa"/>
            <w:left w:w="0" w:type="dxa"/>
            <w:bottom w:w="0" w:type="dxa"/>
            <w:right w:w="0" w:type="dxa"/>
          </w:tblCellMar>
        </w:tblPrEx>
        <w:trPr>
          <w:trHeight w:val="600" w:hRule="atLeast"/>
          <w:jc w:val="center"/>
        </w:trPr>
        <w:tc>
          <w:tcPr>
            <w:tcW w:w="9990" w:type="dxa"/>
            <w:gridSpan w:val="7"/>
            <w:tcBorders>
              <w:top w:val="nil"/>
              <w:left w:val="nil"/>
              <w:bottom w:val="nil"/>
              <w:right w:val="nil"/>
            </w:tcBorders>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一般公共预算财政拨款支出决算表</w:t>
            </w:r>
          </w:p>
        </w:tc>
      </w:tr>
      <w:tr>
        <w:tblPrEx>
          <w:tblCellMar>
            <w:top w:w="0" w:type="dxa"/>
            <w:left w:w="0" w:type="dxa"/>
            <w:bottom w:w="0" w:type="dxa"/>
            <w:right w:w="0" w:type="dxa"/>
          </w:tblCellMar>
        </w:tblPrEx>
        <w:trPr>
          <w:trHeight w:val="255" w:hRule="atLeast"/>
          <w:jc w:val="center"/>
        </w:trPr>
        <w:tc>
          <w:tcPr>
            <w:tcW w:w="665"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38"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226"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3350"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783"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3928" w:type="dxa"/>
            <w:gridSpan w:val="2"/>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w:t>
            </w:r>
            <w:r>
              <w:rPr>
                <w:rFonts w:ascii="宋体" w:hAnsi="宋体" w:eastAsia="宋体" w:cs="宋体"/>
                <w:color w:val="000000"/>
                <w:kern w:val="0"/>
                <w:sz w:val="20"/>
                <w:szCs w:val="20"/>
              </w:rPr>
              <w:t>05</w:t>
            </w:r>
            <w:r>
              <w:rPr>
                <w:rFonts w:hint="eastAsia" w:ascii="宋体" w:hAnsi="宋体" w:eastAsia="宋体" w:cs="宋体"/>
                <w:color w:val="000000"/>
                <w:kern w:val="0"/>
                <w:sz w:val="20"/>
                <w:szCs w:val="20"/>
              </w:rPr>
              <w:t>表</w:t>
            </w:r>
          </w:p>
        </w:tc>
      </w:tr>
      <w:tr>
        <w:tblPrEx>
          <w:tblCellMar>
            <w:top w:w="0" w:type="dxa"/>
            <w:left w:w="0" w:type="dxa"/>
            <w:bottom w:w="0" w:type="dxa"/>
            <w:right w:w="0" w:type="dxa"/>
          </w:tblCellMar>
        </w:tblPrEx>
        <w:trPr>
          <w:trHeight w:val="255" w:hRule="atLeast"/>
          <w:jc w:val="center"/>
        </w:trPr>
        <w:tc>
          <w:tcPr>
            <w:tcW w:w="665" w:type="dxa"/>
            <w:tcBorders>
              <w:top w:val="nil"/>
              <w:left w:val="nil"/>
              <w:bottom w:val="nil"/>
              <w:right w:val="nil"/>
            </w:tcBorders>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3614" w:type="dxa"/>
            <w:gridSpan w:val="3"/>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r>
              <w:rPr>
                <w:rFonts w:hint="eastAsia" w:ascii="宋体" w:hAnsi="宋体" w:cs="宋体"/>
                <w:kern w:val="0"/>
                <w:sz w:val="20"/>
                <w:szCs w:val="20"/>
              </w:rPr>
              <w:t>遵化市崔家庄乡人民政府</w:t>
            </w:r>
          </w:p>
        </w:tc>
        <w:tc>
          <w:tcPr>
            <w:tcW w:w="1783"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3928" w:type="dxa"/>
            <w:gridSpan w:val="2"/>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08" w:hRule="atLeast"/>
          <w:jc w:val="center"/>
        </w:trPr>
        <w:tc>
          <w:tcPr>
            <w:tcW w:w="4279"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5711" w:type="dxa"/>
            <w:gridSpan w:val="3"/>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r>
      <w:tr>
        <w:tblPrEx>
          <w:tblCellMar>
            <w:top w:w="0" w:type="dxa"/>
            <w:left w:w="0" w:type="dxa"/>
            <w:bottom w:w="0" w:type="dxa"/>
            <w:right w:w="0" w:type="dxa"/>
          </w:tblCellMar>
        </w:tblPrEx>
        <w:trPr>
          <w:trHeight w:val="312" w:hRule="atLeast"/>
          <w:jc w:val="center"/>
        </w:trPr>
        <w:tc>
          <w:tcPr>
            <w:tcW w:w="929" w:type="dxa"/>
            <w:gridSpan w:val="3"/>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3350" w:type="dxa"/>
            <w:vMerge w:val="restart"/>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783"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983"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1945"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r>
      <w:tr>
        <w:tblPrEx>
          <w:tblCellMar>
            <w:top w:w="0" w:type="dxa"/>
            <w:left w:w="0" w:type="dxa"/>
            <w:bottom w:w="0" w:type="dxa"/>
            <w:right w:w="0" w:type="dxa"/>
          </w:tblCellMar>
        </w:tblPrEx>
        <w:trPr>
          <w:trHeight w:val="312" w:hRule="atLeast"/>
          <w:jc w:val="center"/>
        </w:trPr>
        <w:tc>
          <w:tcPr>
            <w:tcW w:w="929"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3350" w:type="dxa"/>
            <w:vMerge w:val="continue"/>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1783"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983"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945"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jc w:val="center"/>
        </w:trPr>
        <w:tc>
          <w:tcPr>
            <w:tcW w:w="929"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3350" w:type="dxa"/>
            <w:vMerge w:val="continue"/>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1783"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983"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945"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4279"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178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w:t>
            </w:r>
          </w:p>
        </w:tc>
        <w:tc>
          <w:tcPr>
            <w:tcW w:w="198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w:t>
            </w:r>
          </w:p>
        </w:tc>
        <w:tc>
          <w:tcPr>
            <w:tcW w:w="194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w:t>
            </w:r>
          </w:p>
        </w:tc>
      </w:tr>
      <w:tr>
        <w:tblPrEx>
          <w:tblCellMar>
            <w:top w:w="0" w:type="dxa"/>
            <w:left w:w="0" w:type="dxa"/>
            <w:bottom w:w="0" w:type="dxa"/>
            <w:right w:w="0" w:type="dxa"/>
          </w:tblCellMar>
        </w:tblPrEx>
        <w:trPr>
          <w:trHeight w:val="308" w:hRule="atLeast"/>
          <w:jc w:val="center"/>
        </w:trPr>
        <w:tc>
          <w:tcPr>
            <w:tcW w:w="4279"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783"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b/>
                <w:color w:val="000000"/>
                <w:sz w:val="20"/>
                <w:szCs w:val="20"/>
              </w:rPr>
            </w:pPr>
            <w:r>
              <w:rPr>
                <w:rFonts w:ascii="宋体" w:hAnsi="宋体" w:eastAsia="宋体" w:cs="宋体"/>
                <w:b/>
                <w:color w:val="000000"/>
                <w:sz w:val="20"/>
                <w:szCs w:val="20"/>
              </w:rPr>
              <w:t>689.68</w:t>
            </w:r>
          </w:p>
        </w:tc>
        <w:tc>
          <w:tcPr>
            <w:tcW w:w="1983"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b/>
                <w:color w:val="000000"/>
                <w:sz w:val="20"/>
                <w:szCs w:val="20"/>
              </w:rPr>
            </w:pPr>
            <w:r>
              <w:rPr>
                <w:rFonts w:ascii="宋体" w:hAnsi="宋体" w:eastAsia="宋体" w:cs="宋体"/>
                <w:b/>
                <w:color w:val="000000"/>
                <w:sz w:val="20"/>
                <w:szCs w:val="20"/>
              </w:rPr>
              <w:t>626.52</w:t>
            </w:r>
          </w:p>
        </w:tc>
        <w:tc>
          <w:tcPr>
            <w:tcW w:w="1945"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b/>
                <w:color w:val="000000"/>
                <w:sz w:val="20"/>
                <w:szCs w:val="20"/>
              </w:rPr>
            </w:pPr>
            <w:r>
              <w:rPr>
                <w:rFonts w:ascii="宋体" w:hAnsi="宋体" w:eastAsia="宋体" w:cs="宋体"/>
                <w:b/>
                <w:color w:val="000000"/>
                <w:sz w:val="20"/>
                <w:szCs w:val="20"/>
              </w:rPr>
              <w:t>63.16</w:t>
            </w:r>
          </w:p>
        </w:tc>
      </w:tr>
      <w:tr>
        <w:tblPrEx>
          <w:tblCellMar>
            <w:top w:w="0" w:type="dxa"/>
            <w:left w:w="0" w:type="dxa"/>
            <w:bottom w:w="0" w:type="dxa"/>
            <w:right w:w="0" w:type="dxa"/>
          </w:tblCellMar>
        </w:tblPrEx>
        <w:trPr>
          <w:trHeight w:val="308" w:hRule="atLeast"/>
          <w:jc w:val="center"/>
        </w:trPr>
        <w:tc>
          <w:tcPr>
            <w:tcW w:w="929"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ascii="宋体" w:hAnsi="宋体" w:eastAsia="宋体" w:cs="宋体"/>
                <w:color w:val="000000"/>
                <w:sz w:val="20"/>
                <w:szCs w:val="20"/>
              </w:rPr>
              <w:t>201</w:t>
            </w:r>
          </w:p>
        </w:tc>
        <w:tc>
          <w:tcPr>
            <w:tcW w:w="3350" w:type="dxa"/>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一般公共服务支出</w:t>
            </w:r>
          </w:p>
        </w:tc>
        <w:tc>
          <w:tcPr>
            <w:tcW w:w="1783"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r>
              <w:rPr>
                <w:rFonts w:ascii="宋体" w:hAnsi="宋体" w:eastAsia="宋体" w:cs="宋体"/>
                <w:color w:val="000000"/>
                <w:sz w:val="20"/>
                <w:szCs w:val="20"/>
              </w:rPr>
              <w:t>559.52</w:t>
            </w:r>
          </w:p>
        </w:tc>
        <w:tc>
          <w:tcPr>
            <w:tcW w:w="1983"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r>
              <w:rPr>
                <w:rFonts w:ascii="宋体" w:hAnsi="宋体" w:eastAsia="宋体" w:cs="宋体"/>
                <w:color w:val="000000"/>
                <w:sz w:val="20"/>
                <w:szCs w:val="20"/>
              </w:rPr>
              <w:t>559.52</w:t>
            </w:r>
          </w:p>
        </w:tc>
        <w:tc>
          <w:tcPr>
            <w:tcW w:w="1945"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308" w:hRule="atLeast"/>
          <w:jc w:val="center"/>
        </w:trPr>
        <w:tc>
          <w:tcPr>
            <w:tcW w:w="929"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ascii="宋体" w:hAnsi="宋体" w:eastAsia="宋体" w:cs="宋体"/>
                <w:color w:val="000000"/>
                <w:sz w:val="20"/>
                <w:szCs w:val="20"/>
              </w:rPr>
              <w:t>20103</w:t>
            </w:r>
          </w:p>
        </w:tc>
        <w:tc>
          <w:tcPr>
            <w:tcW w:w="3350" w:type="dxa"/>
            <w:tcBorders>
              <w:top w:val="nil"/>
              <w:left w:val="nil"/>
              <w:bottom w:val="single" w:color="000000" w:sz="4" w:space="0"/>
              <w:right w:val="single" w:color="000000" w:sz="4" w:space="0"/>
            </w:tcBorders>
            <w:noWrap/>
            <w:tcMar>
              <w:top w:w="15" w:type="dxa"/>
              <w:left w:w="15" w:type="dxa"/>
              <w:right w:w="15" w:type="dxa"/>
            </w:tcMar>
            <w:vAlign w:val="center"/>
          </w:tcPr>
          <w:p>
            <w:pPr>
              <w:tabs>
                <w:tab w:val="left" w:pos="461"/>
              </w:tabs>
              <w:rPr>
                <w:rFonts w:ascii="宋体" w:hAnsi="宋体" w:eastAsia="宋体" w:cs="宋体"/>
                <w:color w:val="000000"/>
                <w:sz w:val="20"/>
                <w:szCs w:val="20"/>
              </w:rPr>
            </w:pPr>
            <w:r>
              <w:rPr>
                <w:rFonts w:hint="eastAsia" w:ascii="宋体" w:hAnsi="宋体" w:eastAsia="宋体" w:cs="宋体"/>
                <w:color w:val="000000"/>
                <w:sz w:val="20"/>
                <w:szCs w:val="20"/>
              </w:rPr>
              <w:t>政府办公厅（室）及相关机构事务</w:t>
            </w:r>
          </w:p>
        </w:tc>
        <w:tc>
          <w:tcPr>
            <w:tcW w:w="1783"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r>
              <w:rPr>
                <w:rFonts w:ascii="宋体" w:hAnsi="宋体" w:eastAsia="宋体" w:cs="宋体"/>
                <w:color w:val="000000"/>
                <w:sz w:val="20"/>
                <w:szCs w:val="20"/>
              </w:rPr>
              <w:t>457.14</w:t>
            </w:r>
          </w:p>
        </w:tc>
        <w:tc>
          <w:tcPr>
            <w:tcW w:w="1983"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r>
              <w:rPr>
                <w:rFonts w:ascii="宋体" w:hAnsi="宋体" w:eastAsia="宋体" w:cs="宋体"/>
                <w:color w:val="000000"/>
                <w:sz w:val="20"/>
                <w:szCs w:val="20"/>
              </w:rPr>
              <w:t>457.14</w:t>
            </w:r>
          </w:p>
        </w:tc>
        <w:tc>
          <w:tcPr>
            <w:tcW w:w="1945"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308" w:hRule="atLeast"/>
          <w:jc w:val="center"/>
        </w:trPr>
        <w:tc>
          <w:tcPr>
            <w:tcW w:w="929"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ascii="宋体" w:hAnsi="宋体" w:eastAsia="宋体" w:cs="宋体"/>
                <w:color w:val="000000"/>
                <w:sz w:val="20"/>
                <w:szCs w:val="20"/>
              </w:rPr>
              <w:t>2010301</w:t>
            </w:r>
          </w:p>
        </w:tc>
        <w:tc>
          <w:tcPr>
            <w:tcW w:w="3350" w:type="dxa"/>
            <w:tcBorders>
              <w:top w:val="nil"/>
              <w:left w:val="nil"/>
              <w:bottom w:val="single" w:color="000000" w:sz="4" w:space="0"/>
              <w:right w:val="single" w:color="000000" w:sz="4" w:space="0"/>
            </w:tcBorders>
            <w:noWrap/>
            <w:tcMar>
              <w:top w:w="15" w:type="dxa"/>
              <w:left w:w="15" w:type="dxa"/>
              <w:right w:w="15" w:type="dxa"/>
            </w:tcMar>
            <w:vAlign w:val="center"/>
          </w:tcPr>
          <w:p>
            <w:pPr>
              <w:ind w:firstLine="200" w:firstLineChars="100"/>
              <w:rPr>
                <w:rFonts w:ascii="宋体" w:hAnsi="宋体" w:eastAsia="宋体" w:cs="宋体"/>
                <w:color w:val="000000"/>
                <w:sz w:val="20"/>
                <w:szCs w:val="20"/>
              </w:rPr>
            </w:pPr>
            <w:r>
              <w:rPr>
                <w:rFonts w:hint="eastAsia" w:ascii="宋体" w:hAnsi="宋体" w:eastAsia="宋体" w:cs="宋体"/>
                <w:color w:val="000000"/>
                <w:sz w:val="20"/>
                <w:szCs w:val="20"/>
              </w:rPr>
              <w:t>行政运行</w:t>
            </w:r>
          </w:p>
        </w:tc>
        <w:tc>
          <w:tcPr>
            <w:tcW w:w="1783"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r>
              <w:rPr>
                <w:rFonts w:ascii="宋体" w:hAnsi="宋体" w:eastAsia="宋体" w:cs="宋体"/>
                <w:color w:val="000000"/>
                <w:sz w:val="20"/>
                <w:szCs w:val="20"/>
              </w:rPr>
              <w:t>317.54</w:t>
            </w:r>
          </w:p>
        </w:tc>
        <w:tc>
          <w:tcPr>
            <w:tcW w:w="1983"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r>
              <w:rPr>
                <w:rFonts w:ascii="宋体" w:hAnsi="宋体" w:eastAsia="宋体" w:cs="宋体"/>
                <w:color w:val="000000"/>
                <w:sz w:val="20"/>
                <w:szCs w:val="20"/>
              </w:rPr>
              <w:t>317.54</w:t>
            </w:r>
          </w:p>
        </w:tc>
        <w:tc>
          <w:tcPr>
            <w:tcW w:w="1945"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308" w:hRule="atLeast"/>
          <w:jc w:val="center"/>
        </w:trPr>
        <w:tc>
          <w:tcPr>
            <w:tcW w:w="929"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ascii="宋体" w:hAnsi="宋体" w:eastAsia="宋体" w:cs="宋体"/>
                <w:color w:val="000000"/>
                <w:sz w:val="20"/>
                <w:szCs w:val="20"/>
              </w:rPr>
              <w:t>2010302</w:t>
            </w:r>
          </w:p>
        </w:tc>
        <w:tc>
          <w:tcPr>
            <w:tcW w:w="3350" w:type="dxa"/>
            <w:tcBorders>
              <w:top w:val="nil"/>
              <w:left w:val="nil"/>
              <w:bottom w:val="single" w:color="000000" w:sz="4" w:space="0"/>
              <w:right w:val="single" w:color="000000" w:sz="4" w:space="0"/>
            </w:tcBorders>
            <w:noWrap/>
            <w:tcMar>
              <w:top w:w="15" w:type="dxa"/>
              <w:left w:w="15" w:type="dxa"/>
              <w:right w:w="15" w:type="dxa"/>
            </w:tcMar>
            <w:vAlign w:val="center"/>
          </w:tcPr>
          <w:p>
            <w:pPr>
              <w:ind w:firstLine="200" w:firstLineChars="100"/>
              <w:rPr>
                <w:rFonts w:ascii="宋体" w:hAnsi="宋体" w:eastAsia="宋体" w:cs="宋体"/>
                <w:color w:val="000000"/>
                <w:sz w:val="20"/>
                <w:szCs w:val="20"/>
              </w:rPr>
            </w:pPr>
            <w:r>
              <w:rPr>
                <w:rFonts w:hint="eastAsia" w:ascii="宋体" w:hAnsi="宋体" w:eastAsia="宋体" w:cs="宋体"/>
                <w:color w:val="000000"/>
                <w:sz w:val="20"/>
                <w:szCs w:val="20"/>
              </w:rPr>
              <w:t>一般行政管理事务</w:t>
            </w:r>
          </w:p>
        </w:tc>
        <w:tc>
          <w:tcPr>
            <w:tcW w:w="1783"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r>
              <w:rPr>
                <w:rFonts w:ascii="宋体" w:hAnsi="宋体" w:eastAsia="宋体" w:cs="宋体"/>
                <w:color w:val="000000"/>
                <w:sz w:val="20"/>
                <w:szCs w:val="20"/>
              </w:rPr>
              <w:t>139.60</w:t>
            </w:r>
          </w:p>
        </w:tc>
        <w:tc>
          <w:tcPr>
            <w:tcW w:w="1983"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r>
              <w:rPr>
                <w:rFonts w:ascii="宋体" w:hAnsi="宋体" w:eastAsia="宋体" w:cs="宋体"/>
                <w:color w:val="000000"/>
                <w:sz w:val="20"/>
                <w:szCs w:val="20"/>
              </w:rPr>
              <w:t>139.60</w:t>
            </w:r>
          </w:p>
        </w:tc>
        <w:tc>
          <w:tcPr>
            <w:tcW w:w="1945"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308" w:hRule="atLeast"/>
          <w:jc w:val="center"/>
        </w:trPr>
        <w:tc>
          <w:tcPr>
            <w:tcW w:w="929"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ascii="宋体" w:hAnsi="宋体" w:eastAsia="宋体" w:cs="宋体"/>
                <w:color w:val="000000"/>
                <w:sz w:val="20"/>
                <w:szCs w:val="20"/>
              </w:rPr>
              <w:t>20106</w:t>
            </w:r>
          </w:p>
        </w:tc>
        <w:tc>
          <w:tcPr>
            <w:tcW w:w="3350" w:type="dxa"/>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财政事务</w:t>
            </w:r>
          </w:p>
        </w:tc>
        <w:tc>
          <w:tcPr>
            <w:tcW w:w="1783"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r>
              <w:rPr>
                <w:rFonts w:ascii="宋体" w:hAnsi="宋体" w:eastAsia="宋体" w:cs="宋体"/>
                <w:color w:val="000000"/>
                <w:sz w:val="20"/>
                <w:szCs w:val="20"/>
              </w:rPr>
              <w:t>37.37</w:t>
            </w:r>
          </w:p>
        </w:tc>
        <w:tc>
          <w:tcPr>
            <w:tcW w:w="1983"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r>
              <w:rPr>
                <w:rFonts w:ascii="宋体" w:hAnsi="宋体" w:eastAsia="宋体" w:cs="宋体"/>
                <w:color w:val="000000"/>
                <w:sz w:val="20"/>
                <w:szCs w:val="20"/>
              </w:rPr>
              <w:t>37.37</w:t>
            </w:r>
          </w:p>
        </w:tc>
        <w:tc>
          <w:tcPr>
            <w:tcW w:w="1945"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308" w:hRule="atLeast"/>
          <w:jc w:val="center"/>
        </w:trPr>
        <w:tc>
          <w:tcPr>
            <w:tcW w:w="929"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ascii="宋体" w:hAnsi="宋体" w:eastAsia="宋体" w:cs="宋体"/>
                <w:color w:val="000000"/>
                <w:sz w:val="20"/>
                <w:szCs w:val="20"/>
              </w:rPr>
              <w:t>2010601</w:t>
            </w:r>
          </w:p>
        </w:tc>
        <w:tc>
          <w:tcPr>
            <w:tcW w:w="3350" w:type="dxa"/>
            <w:tcBorders>
              <w:top w:val="nil"/>
              <w:left w:val="nil"/>
              <w:bottom w:val="single" w:color="000000" w:sz="4" w:space="0"/>
              <w:right w:val="single" w:color="000000" w:sz="4" w:space="0"/>
            </w:tcBorders>
            <w:noWrap/>
            <w:tcMar>
              <w:top w:w="15" w:type="dxa"/>
              <w:left w:w="15" w:type="dxa"/>
              <w:right w:w="15" w:type="dxa"/>
            </w:tcMar>
            <w:vAlign w:val="center"/>
          </w:tcPr>
          <w:p>
            <w:pPr>
              <w:ind w:firstLine="200" w:firstLineChars="100"/>
              <w:rPr>
                <w:rFonts w:ascii="宋体" w:hAnsi="宋体" w:eastAsia="宋体" w:cs="宋体"/>
                <w:color w:val="000000"/>
                <w:sz w:val="20"/>
                <w:szCs w:val="20"/>
              </w:rPr>
            </w:pPr>
            <w:r>
              <w:rPr>
                <w:rFonts w:hint="eastAsia" w:ascii="宋体" w:hAnsi="宋体" w:eastAsia="宋体" w:cs="宋体"/>
                <w:color w:val="000000"/>
                <w:sz w:val="20"/>
                <w:szCs w:val="20"/>
              </w:rPr>
              <w:t>行政运行</w:t>
            </w:r>
          </w:p>
        </w:tc>
        <w:tc>
          <w:tcPr>
            <w:tcW w:w="1783"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r>
              <w:rPr>
                <w:rFonts w:ascii="宋体" w:hAnsi="宋体" w:eastAsia="宋体" w:cs="宋体"/>
                <w:color w:val="000000"/>
                <w:sz w:val="20"/>
                <w:szCs w:val="20"/>
              </w:rPr>
              <w:t>37.37</w:t>
            </w:r>
          </w:p>
        </w:tc>
        <w:tc>
          <w:tcPr>
            <w:tcW w:w="1983"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r>
              <w:rPr>
                <w:rFonts w:ascii="宋体" w:hAnsi="宋体" w:eastAsia="宋体" w:cs="宋体"/>
                <w:color w:val="000000"/>
                <w:sz w:val="20"/>
                <w:szCs w:val="20"/>
              </w:rPr>
              <w:t>37.37</w:t>
            </w:r>
          </w:p>
        </w:tc>
        <w:tc>
          <w:tcPr>
            <w:tcW w:w="1945"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308" w:hRule="atLeast"/>
          <w:jc w:val="center"/>
        </w:trPr>
        <w:tc>
          <w:tcPr>
            <w:tcW w:w="929"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ascii="宋体" w:hAnsi="宋体" w:eastAsia="宋体" w:cs="宋体"/>
                <w:color w:val="000000"/>
                <w:sz w:val="20"/>
                <w:szCs w:val="20"/>
              </w:rPr>
              <w:t>20129</w:t>
            </w:r>
          </w:p>
        </w:tc>
        <w:tc>
          <w:tcPr>
            <w:tcW w:w="3350" w:type="dxa"/>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群众团体事务</w:t>
            </w:r>
          </w:p>
        </w:tc>
        <w:tc>
          <w:tcPr>
            <w:tcW w:w="1783"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r>
              <w:rPr>
                <w:rFonts w:ascii="宋体" w:hAnsi="宋体" w:eastAsia="宋体" w:cs="宋体"/>
                <w:color w:val="000000"/>
                <w:sz w:val="20"/>
                <w:szCs w:val="20"/>
              </w:rPr>
              <w:t>14.45</w:t>
            </w:r>
          </w:p>
        </w:tc>
        <w:tc>
          <w:tcPr>
            <w:tcW w:w="1983"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r>
              <w:rPr>
                <w:rFonts w:ascii="宋体" w:hAnsi="宋体" w:eastAsia="宋体" w:cs="宋体"/>
                <w:color w:val="000000"/>
                <w:sz w:val="20"/>
                <w:szCs w:val="20"/>
              </w:rPr>
              <w:t>14.45</w:t>
            </w:r>
          </w:p>
        </w:tc>
        <w:tc>
          <w:tcPr>
            <w:tcW w:w="1945"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308" w:hRule="atLeast"/>
          <w:jc w:val="center"/>
        </w:trPr>
        <w:tc>
          <w:tcPr>
            <w:tcW w:w="929"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ascii="宋体" w:hAnsi="宋体" w:eastAsia="宋体" w:cs="宋体"/>
                <w:color w:val="000000"/>
                <w:sz w:val="20"/>
                <w:szCs w:val="20"/>
              </w:rPr>
              <w:t>2012901</w:t>
            </w:r>
          </w:p>
        </w:tc>
        <w:tc>
          <w:tcPr>
            <w:tcW w:w="3350" w:type="dxa"/>
            <w:tcBorders>
              <w:top w:val="nil"/>
              <w:left w:val="nil"/>
              <w:bottom w:val="single" w:color="000000" w:sz="4" w:space="0"/>
              <w:right w:val="single" w:color="000000" w:sz="4" w:space="0"/>
            </w:tcBorders>
            <w:noWrap/>
            <w:tcMar>
              <w:top w:w="15" w:type="dxa"/>
              <w:left w:w="15" w:type="dxa"/>
              <w:right w:w="15" w:type="dxa"/>
            </w:tcMar>
            <w:vAlign w:val="center"/>
          </w:tcPr>
          <w:p>
            <w:pPr>
              <w:ind w:firstLine="200" w:firstLineChars="100"/>
              <w:rPr>
                <w:rFonts w:ascii="宋体" w:hAnsi="宋体" w:eastAsia="宋体" w:cs="宋体"/>
                <w:color w:val="000000"/>
                <w:sz w:val="20"/>
                <w:szCs w:val="20"/>
              </w:rPr>
            </w:pPr>
            <w:r>
              <w:rPr>
                <w:rFonts w:hint="eastAsia" w:ascii="宋体" w:hAnsi="宋体" w:eastAsia="宋体" w:cs="宋体"/>
                <w:color w:val="000000"/>
                <w:sz w:val="20"/>
                <w:szCs w:val="20"/>
              </w:rPr>
              <w:t>行政运行</w:t>
            </w:r>
          </w:p>
        </w:tc>
        <w:tc>
          <w:tcPr>
            <w:tcW w:w="1783"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r>
              <w:rPr>
                <w:rFonts w:ascii="宋体" w:hAnsi="宋体" w:eastAsia="宋体" w:cs="宋体"/>
                <w:color w:val="000000"/>
                <w:sz w:val="20"/>
                <w:szCs w:val="20"/>
              </w:rPr>
              <w:t>14.45</w:t>
            </w:r>
          </w:p>
        </w:tc>
        <w:tc>
          <w:tcPr>
            <w:tcW w:w="1983"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r>
              <w:rPr>
                <w:rFonts w:ascii="宋体" w:hAnsi="宋体" w:eastAsia="宋体" w:cs="宋体"/>
                <w:color w:val="000000"/>
                <w:sz w:val="20"/>
                <w:szCs w:val="20"/>
              </w:rPr>
              <w:t>14.45</w:t>
            </w:r>
          </w:p>
        </w:tc>
        <w:tc>
          <w:tcPr>
            <w:tcW w:w="1945"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308" w:hRule="atLeast"/>
          <w:jc w:val="center"/>
        </w:trPr>
        <w:tc>
          <w:tcPr>
            <w:tcW w:w="929"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ascii="宋体" w:hAnsi="宋体" w:eastAsia="宋体" w:cs="宋体"/>
                <w:color w:val="000000"/>
                <w:sz w:val="20"/>
                <w:szCs w:val="20"/>
              </w:rPr>
              <w:t>20131</w:t>
            </w:r>
          </w:p>
        </w:tc>
        <w:tc>
          <w:tcPr>
            <w:tcW w:w="3350" w:type="dxa"/>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党委办公厅（室）及相关机构事务</w:t>
            </w:r>
          </w:p>
        </w:tc>
        <w:tc>
          <w:tcPr>
            <w:tcW w:w="1783"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r>
              <w:rPr>
                <w:rFonts w:ascii="宋体" w:hAnsi="宋体" w:eastAsia="宋体" w:cs="宋体"/>
                <w:color w:val="000000"/>
                <w:sz w:val="20"/>
                <w:szCs w:val="20"/>
              </w:rPr>
              <w:t>50.56</w:t>
            </w:r>
          </w:p>
        </w:tc>
        <w:tc>
          <w:tcPr>
            <w:tcW w:w="1983"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r>
              <w:rPr>
                <w:rFonts w:ascii="宋体" w:hAnsi="宋体" w:eastAsia="宋体" w:cs="宋体"/>
                <w:color w:val="000000"/>
                <w:sz w:val="20"/>
                <w:szCs w:val="20"/>
              </w:rPr>
              <w:t>50.56</w:t>
            </w:r>
          </w:p>
        </w:tc>
        <w:tc>
          <w:tcPr>
            <w:tcW w:w="1945"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308" w:hRule="atLeast"/>
          <w:jc w:val="center"/>
        </w:trPr>
        <w:tc>
          <w:tcPr>
            <w:tcW w:w="929"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ascii="宋体" w:hAnsi="宋体" w:eastAsia="宋体" w:cs="宋体"/>
                <w:color w:val="000000"/>
                <w:sz w:val="20"/>
                <w:szCs w:val="20"/>
              </w:rPr>
              <w:t>2013101</w:t>
            </w:r>
          </w:p>
        </w:tc>
        <w:tc>
          <w:tcPr>
            <w:tcW w:w="3350" w:type="dxa"/>
            <w:tcBorders>
              <w:top w:val="nil"/>
              <w:left w:val="nil"/>
              <w:bottom w:val="single" w:color="000000" w:sz="4" w:space="0"/>
              <w:right w:val="single" w:color="000000" w:sz="4" w:space="0"/>
            </w:tcBorders>
            <w:noWrap/>
            <w:tcMar>
              <w:top w:w="15" w:type="dxa"/>
              <w:left w:w="15" w:type="dxa"/>
              <w:right w:w="15" w:type="dxa"/>
            </w:tcMar>
            <w:vAlign w:val="center"/>
          </w:tcPr>
          <w:p>
            <w:pPr>
              <w:ind w:firstLine="200" w:firstLineChars="100"/>
              <w:rPr>
                <w:rFonts w:ascii="宋体" w:hAnsi="宋体" w:eastAsia="宋体" w:cs="宋体"/>
                <w:color w:val="000000"/>
                <w:sz w:val="20"/>
                <w:szCs w:val="20"/>
              </w:rPr>
            </w:pPr>
            <w:r>
              <w:rPr>
                <w:rFonts w:hint="eastAsia" w:ascii="宋体" w:hAnsi="宋体" w:eastAsia="宋体" w:cs="宋体"/>
                <w:color w:val="000000"/>
                <w:sz w:val="20"/>
                <w:szCs w:val="20"/>
              </w:rPr>
              <w:t>行政运行</w:t>
            </w:r>
          </w:p>
        </w:tc>
        <w:tc>
          <w:tcPr>
            <w:tcW w:w="1783"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r>
              <w:rPr>
                <w:rFonts w:ascii="宋体" w:hAnsi="宋体" w:eastAsia="宋体" w:cs="宋体"/>
                <w:color w:val="000000"/>
                <w:sz w:val="20"/>
                <w:szCs w:val="20"/>
              </w:rPr>
              <w:t>50.56</w:t>
            </w:r>
          </w:p>
        </w:tc>
        <w:tc>
          <w:tcPr>
            <w:tcW w:w="1983"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r>
              <w:rPr>
                <w:rFonts w:ascii="宋体" w:hAnsi="宋体" w:eastAsia="宋体" w:cs="宋体"/>
                <w:color w:val="000000"/>
                <w:sz w:val="20"/>
                <w:szCs w:val="20"/>
              </w:rPr>
              <w:t>50.56</w:t>
            </w:r>
          </w:p>
        </w:tc>
        <w:tc>
          <w:tcPr>
            <w:tcW w:w="1945"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308" w:hRule="atLeast"/>
          <w:jc w:val="center"/>
        </w:trPr>
        <w:tc>
          <w:tcPr>
            <w:tcW w:w="929"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ascii="宋体" w:hAnsi="宋体" w:eastAsia="宋体" w:cs="宋体"/>
                <w:color w:val="000000"/>
                <w:sz w:val="20"/>
                <w:szCs w:val="20"/>
              </w:rPr>
              <w:t>210</w:t>
            </w:r>
          </w:p>
        </w:tc>
        <w:tc>
          <w:tcPr>
            <w:tcW w:w="3350" w:type="dxa"/>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卫生健康支出</w:t>
            </w:r>
          </w:p>
        </w:tc>
        <w:tc>
          <w:tcPr>
            <w:tcW w:w="1783"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r>
              <w:rPr>
                <w:rFonts w:ascii="宋体" w:hAnsi="宋体" w:eastAsia="宋体" w:cs="宋体"/>
                <w:color w:val="000000"/>
                <w:sz w:val="20"/>
                <w:szCs w:val="20"/>
              </w:rPr>
              <w:t>38.11</w:t>
            </w:r>
          </w:p>
        </w:tc>
        <w:tc>
          <w:tcPr>
            <w:tcW w:w="1983"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r>
              <w:rPr>
                <w:rFonts w:ascii="宋体" w:hAnsi="宋体" w:eastAsia="宋体" w:cs="宋体"/>
                <w:color w:val="000000"/>
                <w:sz w:val="20"/>
                <w:szCs w:val="20"/>
              </w:rPr>
              <w:t>38.11</w:t>
            </w:r>
          </w:p>
        </w:tc>
        <w:tc>
          <w:tcPr>
            <w:tcW w:w="1945"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308" w:hRule="atLeast"/>
          <w:jc w:val="center"/>
        </w:trPr>
        <w:tc>
          <w:tcPr>
            <w:tcW w:w="929"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ascii="宋体" w:hAnsi="宋体" w:eastAsia="宋体" w:cs="宋体"/>
                <w:color w:val="000000"/>
                <w:sz w:val="20"/>
                <w:szCs w:val="20"/>
              </w:rPr>
              <w:t>21001</w:t>
            </w:r>
          </w:p>
        </w:tc>
        <w:tc>
          <w:tcPr>
            <w:tcW w:w="3350" w:type="dxa"/>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卫生健康管理事务</w:t>
            </w:r>
          </w:p>
        </w:tc>
        <w:tc>
          <w:tcPr>
            <w:tcW w:w="1783"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r>
              <w:rPr>
                <w:rFonts w:ascii="宋体" w:hAnsi="宋体" w:eastAsia="宋体" w:cs="宋体"/>
                <w:color w:val="000000"/>
                <w:sz w:val="20"/>
                <w:szCs w:val="20"/>
              </w:rPr>
              <w:t>38.11</w:t>
            </w:r>
          </w:p>
        </w:tc>
        <w:tc>
          <w:tcPr>
            <w:tcW w:w="1983"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r>
              <w:rPr>
                <w:rFonts w:ascii="宋体" w:hAnsi="宋体" w:eastAsia="宋体" w:cs="宋体"/>
                <w:color w:val="000000"/>
                <w:sz w:val="20"/>
                <w:szCs w:val="20"/>
              </w:rPr>
              <w:t>38.11</w:t>
            </w:r>
          </w:p>
        </w:tc>
        <w:tc>
          <w:tcPr>
            <w:tcW w:w="1945"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308" w:hRule="atLeast"/>
          <w:jc w:val="center"/>
        </w:trPr>
        <w:tc>
          <w:tcPr>
            <w:tcW w:w="929"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ascii="宋体" w:hAnsi="宋体" w:eastAsia="宋体" w:cs="宋体"/>
                <w:color w:val="000000"/>
                <w:sz w:val="20"/>
                <w:szCs w:val="20"/>
              </w:rPr>
              <w:t>2100101</w:t>
            </w:r>
          </w:p>
        </w:tc>
        <w:tc>
          <w:tcPr>
            <w:tcW w:w="3350" w:type="dxa"/>
            <w:tcBorders>
              <w:top w:val="nil"/>
              <w:left w:val="nil"/>
              <w:bottom w:val="single" w:color="000000" w:sz="4" w:space="0"/>
              <w:right w:val="single" w:color="000000" w:sz="4" w:space="0"/>
            </w:tcBorders>
            <w:noWrap/>
            <w:tcMar>
              <w:top w:w="15" w:type="dxa"/>
              <w:left w:w="15" w:type="dxa"/>
              <w:right w:w="15" w:type="dxa"/>
            </w:tcMar>
            <w:vAlign w:val="center"/>
          </w:tcPr>
          <w:p>
            <w:pPr>
              <w:ind w:firstLine="200" w:firstLineChars="100"/>
              <w:rPr>
                <w:rFonts w:ascii="宋体" w:hAnsi="宋体" w:eastAsia="宋体" w:cs="宋体"/>
                <w:color w:val="000000"/>
                <w:sz w:val="20"/>
                <w:szCs w:val="20"/>
              </w:rPr>
            </w:pPr>
            <w:r>
              <w:rPr>
                <w:rFonts w:hint="eastAsia" w:ascii="宋体" w:hAnsi="宋体" w:eastAsia="宋体" w:cs="宋体"/>
                <w:color w:val="000000"/>
                <w:sz w:val="20"/>
                <w:szCs w:val="20"/>
              </w:rPr>
              <w:t>行政运行</w:t>
            </w:r>
          </w:p>
        </w:tc>
        <w:tc>
          <w:tcPr>
            <w:tcW w:w="1783"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r>
              <w:rPr>
                <w:rFonts w:ascii="宋体" w:hAnsi="宋体" w:eastAsia="宋体" w:cs="宋体"/>
                <w:color w:val="000000"/>
                <w:sz w:val="20"/>
                <w:szCs w:val="20"/>
              </w:rPr>
              <w:t>38.11</w:t>
            </w:r>
          </w:p>
        </w:tc>
        <w:tc>
          <w:tcPr>
            <w:tcW w:w="1983"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r>
              <w:rPr>
                <w:rFonts w:ascii="宋体" w:hAnsi="宋体" w:eastAsia="宋体" w:cs="宋体"/>
                <w:color w:val="000000"/>
                <w:sz w:val="20"/>
                <w:szCs w:val="20"/>
              </w:rPr>
              <w:t>38.11</w:t>
            </w:r>
          </w:p>
        </w:tc>
        <w:tc>
          <w:tcPr>
            <w:tcW w:w="1945"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308" w:hRule="atLeast"/>
          <w:jc w:val="center"/>
        </w:trPr>
        <w:tc>
          <w:tcPr>
            <w:tcW w:w="929"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ascii="宋体" w:hAnsi="宋体" w:eastAsia="宋体" w:cs="宋体"/>
                <w:color w:val="000000"/>
                <w:sz w:val="20"/>
                <w:szCs w:val="20"/>
              </w:rPr>
              <w:t>212</w:t>
            </w:r>
          </w:p>
        </w:tc>
        <w:tc>
          <w:tcPr>
            <w:tcW w:w="3350" w:type="dxa"/>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城乡社区支出</w:t>
            </w:r>
          </w:p>
        </w:tc>
        <w:tc>
          <w:tcPr>
            <w:tcW w:w="1783"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r>
              <w:rPr>
                <w:rFonts w:ascii="宋体" w:hAnsi="宋体" w:eastAsia="宋体" w:cs="宋体"/>
                <w:color w:val="000000"/>
                <w:sz w:val="20"/>
                <w:szCs w:val="20"/>
              </w:rPr>
              <w:t>63.16</w:t>
            </w:r>
          </w:p>
        </w:tc>
        <w:tc>
          <w:tcPr>
            <w:tcW w:w="1983"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p>
        </w:tc>
        <w:tc>
          <w:tcPr>
            <w:tcW w:w="1945"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r>
              <w:rPr>
                <w:rFonts w:ascii="宋体" w:hAnsi="宋体" w:eastAsia="宋体" w:cs="宋体"/>
                <w:color w:val="000000"/>
                <w:sz w:val="20"/>
                <w:szCs w:val="20"/>
              </w:rPr>
              <w:t>63.16</w:t>
            </w:r>
          </w:p>
        </w:tc>
      </w:tr>
      <w:tr>
        <w:tblPrEx>
          <w:tblCellMar>
            <w:top w:w="0" w:type="dxa"/>
            <w:left w:w="0" w:type="dxa"/>
            <w:bottom w:w="0" w:type="dxa"/>
            <w:right w:w="0" w:type="dxa"/>
          </w:tblCellMar>
        </w:tblPrEx>
        <w:trPr>
          <w:trHeight w:val="308" w:hRule="atLeast"/>
          <w:jc w:val="center"/>
        </w:trPr>
        <w:tc>
          <w:tcPr>
            <w:tcW w:w="929"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ascii="宋体" w:hAnsi="宋体" w:eastAsia="宋体" w:cs="宋体"/>
                <w:color w:val="000000"/>
                <w:sz w:val="20"/>
                <w:szCs w:val="20"/>
              </w:rPr>
              <w:t>21205</w:t>
            </w:r>
          </w:p>
        </w:tc>
        <w:tc>
          <w:tcPr>
            <w:tcW w:w="3350" w:type="dxa"/>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城乡社区环境卫生</w:t>
            </w:r>
          </w:p>
        </w:tc>
        <w:tc>
          <w:tcPr>
            <w:tcW w:w="1783"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r>
              <w:rPr>
                <w:rFonts w:ascii="宋体" w:hAnsi="宋体" w:eastAsia="宋体" w:cs="宋体"/>
                <w:color w:val="000000"/>
                <w:sz w:val="20"/>
                <w:szCs w:val="20"/>
              </w:rPr>
              <w:t>63.16</w:t>
            </w:r>
          </w:p>
        </w:tc>
        <w:tc>
          <w:tcPr>
            <w:tcW w:w="1983"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p>
        </w:tc>
        <w:tc>
          <w:tcPr>
            <w:tcW w:w="1945"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r>
              <w:rPr>
                <w:rFonts w:ascii="宋体" w:hAnsi="宋体" w:eastAsia="宋体" w:cs="宋体"/>
                <w:color w:val="000000"/>
                <w:sz w:val="20"/>
                <w:szCs w:val="20"/>
              </w:rPr>
              <w:t>63.16</w:t>
            </w:r>
          </w:p>
        </w:tc>
      </w:tr>
      <w:tr>
        <w:tblPrEx>
          <w:tblCellMar>
            <w:top w:w="0" w:type="dxa"/>
            <w:left w:w="0" w:type="dxa"/>
            <w:bottom w:w="0" w:type="dxa"/>
            <w:right w:w="0" w:type="dxa"/>
          </w:tblCellMar>
        </w:tblPrEx>
        <w:trPr>
          <w:trHeight w:val="308" w:hRule="atLeast"/>
          <w:jc w:val="center"/>
        </w:trPr>
        <w:tc>
          <w:tcPr>
            <w:tcW w:w="929"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ascii="宋体" w:hAnsi="宋体" w:eastAsia="宋体" w:cs="宋体"/>
                <w:color w:val="000000"/>
                <w:sz w:val="20"/>
                <w:szCs w:val="20"/>
              </w:rPr>
              <w:t>2120501</w:t>
            </w:r>
          </w:p>
        </w:tc>
        <w:tc>
          <w:tcPr>
            <w:tcW w:w="3350" w:type="dxa"/>
            <w:tcBorders>
              <w:top w:val="nil"/>
              <w:left w:val="nil"/>
              <w:bottom w:val="single" w:color="000000" w:sz="4" w:space="0"/>
              <w:right w:val="single" w:color="000000" w:sz="4" w:space="0"/>
            </w:tcBorders>
            <w:noWrap/>
            <w:tcMar>
              <w:top w:w="15" w:type="dxa"/>
              <w:left w:w="15" w:type="dxa"/>
              <w:right w:w="15" w:type="dxa"/>
            </w:tcMar>
            <w:vAlign w:val="center"/>
          </w:tcPr>
          <w:p>
            <w:pPr>
              <w:ind w:firstLine="200" w:firstLineChars="100"/>
              <w:rPr>
                <w:rFonts w:ascii="宋体" w:hAnsi="宋体" w:eastAsia="宋体" w:cs="宋体"/>
                <w:color w:val="000000"/>
                <w:sz w:val="20"/>
                <w:szCs w:val="20"/>
              </w:rPr>
            </w:pPr>
            <w:r>
              <w:rPr>
                <w:rFonts w:hint="eastAsia" w:ascii="宋体" w:hAnsi="宋体" w:eastAsia="宋体" w:cs="宋体"/>
                <w:color w:val="000000"/>
                <w:sz w:val="20"/>
                <w:szCs w:val="20"/>
              </w:rPr>
              <w:t>城乡社区环境卫生</w:t>
            </w:r>
          </w:p>
        </w:tc>
        <w:tc>
          <w:tcPr>
            <w:tcW w:w="1783"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r>
              <w:rPr>
                <w:rFonts w:ascii="宋体" w:hAnsi="宋体" w:eastAsia="宋体" w:cs="宋体"/>
                <w:color w:val="000000"/>
                <w:sz w:val="20"/>
                <w:szCs w:val="20"/>
              </w:rPr>
              <w:t>63.16</w:t>
            </w:r>
          </w:p>
        </w:tc>
        <w:tc>
          <w:tcPr>
            <w:tcW w:w="1983"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p>
        </w:tc>
        <w:tc>
          <w:tcPr>
            <w:tcW w:w="1945"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r>
              <w:rPr>
                <w:rFonts w:ascii="宋体" w:hAnsi="宋体" w:eastAsia="宋体" w:cs="宋体"/>
                <w:color w:val="000000"/>
                <w:sz w:val="20"/>
                <w:szCs w:val="20"/>
              </w:rPr>
              <w:t>63.16</w:t>
            </w:r>
          </w:p>
        </w:tc>
      </w:tr>
      <w:tr>
        <w:tblPrEx>
          <w:tblCellMar>
            <w:top w:w="0" w:type="dxa"/>
            <w:left w:w="0" w:type="dxa"/>
            <w:bottom w:w="0" w:type="dxa"/>
            <w:right w:w="0" w:type="dxa"/>
          </w:tblCellMar>
        </w:tblPrEx>
        <w:trPr>
          <w:trHeight w:val="308" w:hRule="atLeast"/>
          <w:jc w:val="center"/>
        </w:trPr>
        <w:tc>
          <w:tcPr>
            <w:tcW w:w="929"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ascii="宋体" w:hAnsi="宋体" w:eastAsia="宋体" w:cs="宋体"/>
                <w:color w:val="000000"/>
                <w:sz w:val="20"/>
                <w:szCs w:val="20"/>
              </w:rPr>
              <w:t>213</w:t>
            </w:r>
          </w:p>
        </w:tc>
        <w:tc>
          <w:tcPr>
            <w:tcW w:w="3350" w:type="dxa"/>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农林水支出</w:t>
            </w:r>
          </w:p>
        </w:tc>
        <w:tc>
          <w:tcPr>
            <w:tcW w:w="1783"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r>
              <w:rPr>
                <w:rFonts w:ascii="宋体" w:hAnsi="宋体" w:eastAsia="宋体" w:cs="宋体"/>
                <w:color w:val="000000"/>
                <w:sz w:val="20"/>
                <w:szCs w:val="20"/>
              </w:rPr>
              <w:t>28.89</w:t>
            </w:r>
          </w:p>
        </w:tc>
        <w:tc>
          <w:tcPr>
            <w:tcW w:w="1983"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r>
              <w:rPr>
                <w:rFonts w:ascii="宋体" w:hAnsi="宋体" w:eastAsia="宋体" w:cs="宋体"/>
                <w:color w:val="000000"/>
                <w:sz w:val="20"/>
                <w:szCs w:val="20"/>
              </w:rPr>
              <w:t>28.89</w:t>
            </w:r>
          </w:p>
        </w:tc>
        <w:tc>
          <w:tcPr>
            <w:tcW w:w="1945"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308" w:hRule="atLeast"/>
          <w:jc w:val="center"/>
        </w:trPr>
        <w:tc>
          <w:tcPr>
            <w:tcW w:w="929"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ascii="宋体" w:hAnsi="宋体" w:eastAsia="宋体" w:cs="宋体"/>
                <w:color w:val="000000"/>
                <w:sz w:val="20"/>
                <w:szCs w:val="20"/>
              </w:rPr>
              <w:t>21301</w:t>
            </w:r>
          </w:p>
        </w:tc>
        <w:tc>
          <w:tcPr>
            <w:tcW w:w="3350" w:type="dxa"/>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农业</w:t>
            </w:r>
          </w:p>
        </w:tc>
        <w:tc>
          <w:tcPr>
            <w:tcW w:w="1783"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r>
              <w:rPr>
                <w:rFonts w:ascii="宋体" w:hAnsi="宋体" w:eastAsia="宋体" w:cs="宋体"/>
                <w:color w:val="000000"/>
                <w:sz w:val="20"/>
                <w:szCs w:val="20"/>
              </w:rPr>
              <w:t>28.89</w:t>
            </w:r>
          </w:p>
        </w:tc>
        <w:tc>
          <w:tcPr>
            <w:tcW w:w="1983"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r>
              <w:rPr>
                <w:rFonts w:ascii="宋体" w:hAnsi="宋体" w:eastAsia="宋体" w:cs="宋体"/>
                <w:color w:val="000000"/>
                <w:sz w:val="20"/>
                <w:szCs w:val="20"/>
              </w:rPr>
              <w:t>28.89</w:t>
            </w:r>
          </w:p>
        </w:tc>
        <w:tc>
          <w:tcPr>
            <w:tcW w:w="1945"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308" w:hRule="atLeast"/>
          <w:jc w:val="center"/>
        </w:trPr>
        <w:tc>
          <w:tcPr>
            <w:tcW w:w="929"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ascii="宋体" w:hAnsi="宋体" w:eastAsia="宋体" w:cs="宋体"/>
                <w:color w:val="000000"/>
                <w:sz w:val="20"/>
                <w:szCs w:val="20"/>
              </w:rPr>
              <w:t>2130101</w:t>
            </w:r>
          </w:p>
        </w:tc>
        <w:tc>
          <w:tcPr>
            <w:tcW w:w="3350" w:type="dxa"/>
            <w:tcBorders>
              <w:top w:val="nil"/>
              <w:left w:val="nil"/>
              <w:bottom w:val="single" w:color="000000" w:sz="4" w:space="0"/>
              <w:right w:val="single" w:color="000000" w:sz="4" w:space="0"/>
            </w:tcBorders>
            <w:noWrap/>
            <w:tcMar>
              <w:top w:w="15" w:type="dxa"/>
              <w:left w:w="15" w:type="dxa"/>
              <w:right w:w="15" w:type="dxa"/>
            </w:tcMar>
            <w:vAlign w:val="center"/>
          </w:tcPr>
          <w:p>
            <w:pPr>
              <w:ind w:firstLine="200" w:firstLineChars="100"/>
              <w:rPr>
                <w:rFonts w:ascii="宋体" w:hAnsi="宋体" w:eastAsia="宋体" w:cs="宋体"/>
                <w:color w:val="000000"/>
                <w:sz w:val="20"/>
                <w:szCs w:val="20"/>
              </w:rPr>
            </w:pPr>
            <w:r>
              <w:rPr>
                <w:rFonts w:hint="eastAsia" w:ascii="宋体" w:hAnsi="宋体" w:eastAsia="宋体" w:cs="宋体"/>
                <w:color w:val="000000"/>
                <w:sz w:val="20"/>
                <w:szCs w:val="20"/>
              </w:rPr>
              <w:t>行政运行</w:t>
            </w:r>
          </w:p>
        </w:tc>
        <w:tc>
          <w:tcPr>
            <w:tcW w:w="1783"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r>
              <w:rPr>
                <w:rFonts w:ascii="宋体" w:hAnsi="宋体" w:eastAsia="宋体" w:cs="宋体"/>
                <w:color w:val="000000"/>
                <w:sz w:val="20"/>
                <w:szCs w:val="20"/>
              </w:rPr>
              <w:t>28.89</w:t>
            </w:r>
          </w:p>
        </w:tc>
        <w:tc>
          <w:tcPr>
            <w:tcW w:w="1983"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r>
              <w:rPr>
                <w:rFonts w:ascii="宋体" w:hAnsi="宋体" w:eastAsia="宋体" w:cs="宋体"/>
                <w:color w:val="000000"/>
                <w:sz w:val="20"/>
                <w:szCs w:val="20"/>
              </w:rPr>
              <w:t>28.89</w:t>
            </w:r>
          </w:p>
        </w:tc>
        <w:tc>
          <w:tcPr>
            <w:tcW w:w="1945"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p>
        </w:tc>
      </w:tr>
    </w:tbl>
    <w:p>
      <w:r>
        <w:rPr>
          <w:rFonts w:hint="eastAsia"/>
        </w:rPr>
        <w:t>注：本表反映部门本年度一般公共预算财政拨款支出情况</w:t>
      </w:r>
      <w:r>
        <w:br w:type="page"/>
      </w:r>
    </w:p>
    <w:tbl>
      <w:tblPr>
        <w:tblStyle w:val="7"/>
        <w:tblW w:w="10000" w:type="dxa"/>
        <w:jc w:val="center"/>
        <w:tblLayout w:type="fixed"/>
        <w:tblCellMar>
          <w:top w:w="0" w:type="dxa"/>
          <w:left w:w="0" w:type="dxa"/>
          <w:bottom w:w="0" w:type="dxa"/>
          <w:right w:w="0" w:type="dxa"/>
        </w:tblCellMar>
      </w:tblPr>
      <w:tblGrid>
        <w:gridCol w:w="896"/>
        <w:gridCol w:w="1932"/>
        <w:gridCol w:w="783"/>
        <w:gridCol w:w="655"/>
        <w:gridCol w:w="1599"/>
        <w:gridCol w:w="768"/>
        <w:gridCol w:w="744"/>
        <w:gridCol w:w="1891"/>
        <w:gridCol w:w="732"/>
      </w:tblGrid>
      <w:tr>
        <w:tblPrEx>
          <w:tblCellMar>
            <w:top w:w="0" w:type="dxa"/>
            <w:left w:w="0" w:type="dxa"/>
            <w:bottom w:w="0" w:type="dxa"/>
            <w:right w:w="0" w:type="dxa"/>
          </w:tblCellMar>
        </w:tblPrEx>
        <w:trPr>
          <w:trHeight w:val="662" w:hRule="atLeast"/>
          <w:jc w:val="center"/>
        </w:trPr>
        <w:tc>
          <w:tcPr>
            <w:tcW w:w="10000" w:type="dxa"/>
            <w:gridSpan w:val="9"/>
            <w:tcBorders>
              <w:top w:val="nil"/>
              <w:left w:val="nil"/>
              <w:bottom w:val="nil"/>
              <w:right w:val="nil"/>
            </w:tcBorders>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一般公共预算财政拨款基本支出决算表</w:t>
            </w:r>
          </w:p>
        </w:tc>
      </w:tr>
      <w:tr>
        <w:tblPrEx>
          <w:tblCellMar>
            <w:top w:w="0" w:type="dxa"/>
            <w:left w:w="0" w:type="dxa"/>
            <w:bottom w:w="0" w:type="dxa"/>
            <w:right w:w="0" w:type="dxa"/>
          </w:tblCellMar>
        </w:tblPrEx>
        <w:trPr>
          <w:trHeight w:val="339" w:hRule="atLeast"/>
          <w:jc w:val="center"/>
        </w:trPr>
        <w:tc>
          <w:tcPr>
            <w:tcW w:w="896"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932"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783"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655"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599"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768"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744"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2623" w:type="dxa"/>
            <w:gridSpan w:val="2"/>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公开</w:t>
            </w:r>
            <w:r>
              <w:rPr>
                <w:rFonts w:ascii="宋体" w:hAnsi="宋体" w:eastAsia="宋体" w:cs="宋体"/>
                <w:color w:val="000000"/>
                <w:kern w:val="0"/>
                <w:sz w:val="18"/>
                <w:szCs w:val="18"/>
              </w:rPr>
              <w:t>06</w:t>
            </w:r>
            <w:r>
              <w:rPr>
                <w:rFonts w:hint="eastAsia" w:ascii="宋体" w:hAnsi="宋体" w:eastAsia="宋体" w:cs="宋体"/>
                <w:color w:val="000000"/>
                <w:kern w:val="0"/>
                <w:sz w:val="18"/>
                <w:szCs w:val="18"/>
              </w:rPr>
              <w:t>表</w:t>
            </w:r>
          </w:p>
        </w:tc>
      </w:tr>
      <w:tr>
        <w:tblPrEx>
          <w:tblCellMar>
            <w:top w:w="0" w:type="dxa"/>
            <w:left w:w="0" w:type="dxa"/>
            <w:bottom w:w="0" w:type="dxa"/>
            <w:right w:w="0" w:type="dxa"/>
          </w:tblCellMar>
        </w:tblPrEx>
        <w:trPr>
          <w:trHeight w:val="339" w:hRule="atLeast"/>
          <w:jc w:val="center"/>
        </w:trPr>
        <w:tc>
          <w:tcPr>
            <w:tcW w:w="3611" w:type="dxa"/>
            <w:gridSpan w:val="3"/>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rPr>
              <w:t>部门：</w:t>
            </w:r>
            <w:r>
              <w:rPr>
                <w:rFonts w:ascii="宋体" w:hAnsi="宋体" w:eastAsia="宋体" w:cs="宋体"/>
                <w:color w:val="000000"/>
                <w:kern w:val="0"/>
                <w:sz w:val="20"/>
                <w:szCs w:val="20"/>
              </w:rPr>
              <w:tab/>
            </w:r>
            <w:r>
              <w:rPr>
                <w:rFonts w:hint="eastAsia" w:ascii="宋体" w:hAnsi="宋体" w:cs="宋体"/>
                <w:kern w:val="0"/>
                <w:sz w:val="20"/>
                <w:szCs w:val="20"/>
              </w:rPr>
              <w:t>遵化市崔家庄乡人民政府</w:t>
            </w:r>
          </w:p>
        </w:tc>
        <w:tc>
          <w:tcPr>
            <w:tcW w:w="655"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599"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768"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744"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2623" w:type="dxa"/>
            <w:gridSpan w:val="2"/>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金额单位：万元</w:t>
            </w:r>
          </w:p>
        </w:tc>
      </w:tr>
      <w:tr>
        <w:tblPrEx>
          <w:tblCellMar>
            <w:top w:w="0" w:type="dxa"/>
            <w:left w:w="0" w:type="dxa"/>
            <w:bottom w:w="0" w:type="dxa"/>
            <w:right w:w="0" w:type="dxa"/>
          </w:tblCellMar>
        </w:tblPrEx>
        <w:trPr>
          <w:trHeight w:val="362" w:hRule="atLeast"/>
          <w:jc w:val="center"/>
        </w:trPr>
        <w:tc>
          <w:tcPr>
            <w:tcW w:w="361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人员经费</w:t>
            </w:r>
          </w:p>
        </w:tc>
        <w:tc>
          <w:tcPr>
            <w:tcW w:w="6389" w:type="dxa"/>
            <w:gridSpan w:val="6"/>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公用经费</w:t>
            </w:r>
          </w:p>
        </w:tc>
      </w:tr>
      <w:tr>
        <w:tblPrEx>
          <w:tblCellMar>
            <w:top w:w="0" w:type="dxa"/>
            <w:left w:w="0" w:type="dxa"/>
            <w:bottom w:w="0" w:type="dxa"/>
            <w:right w:w="0" w:type="dxa"/>
          </w:tblCellMar>
        </w:tblPrEx>
        <w:trPr>
          <w:trHeight w:val="362" w:hRule="atLeast"/>
          <w:jc w:val="center"/>
        </w:trPr>
        <w:tc>
          <w:tcPr>
            <w:tcW w:w="896"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科目</w:t>
            </w:r>
          </w:p>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编码</w:t>
            </w:r>
          </w:p>
        </w:tc>
        <w:tc>
          <w:tcPr>
            <w:tcW w:w="1932"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783"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c>
          <w:tcPr>
            <w:tcW w:w="655"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科目编码</w:t>
            </w:r>
          </w:p>
        </w:tc>
        <w:tc>
          <w:tcPr>
            <w:tcW w:w="1599"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768"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c>
          <w:tcPr>
            <w:tcW w:w="744"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科目</w:t>
            </w:r>
          </w:p>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编码</w:t>
            </w:r>
          </w:p>
        </w:tc>
        <w:tc>
          <w:tcPr>
            <w:tcW w:w="1891"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732"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r>
      <w:tr>
        <w:tblPrEx>
          <w:tblCellMar>
            <w:top w:w="0" w:type="dxa"/>
            <w:left w:w="0" w:type="dxa"/>
            <w:bottom w:w="0" w:type="dxa"/>
            <w:right w:w="0" w:type="dxa"/>
          </w:tblCellMar>
        </w:tblPrEx>
        <w:trPr>
          <w:trHeight w:val="349" w:hRule="atLeast"/>
          <w:jc w:val="center"/>
        </w:trPr>
        <w:tc>
          <w:tcPr>
            <w:tcW w:w="896"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932"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783"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655"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599"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768"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744"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891"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732"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301</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工资福利支出</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center"/>
              <w:rPr>
                <w:rFonts w:ascii="宋体" w:hAnsi="宋体" w:eastAsia="宋体" w:cs="宋体"/>
                <w:color w:val="000000"/>
                <w:sz w:val="20"/>
                <w:szCs w:val="20"/>
              </w:rPr>
            </w:pPr>
            <w:r>
              <w:rPr>
                <w:rFonts w:ascii="宋体" w:hAnsi="宋体" w:eastAsia="宋体" w:cs="宋体"/>
                <w:color w:val="000000"/>
                <w:sz w:val="20"/>
                <w:szCs w:val="20"/>
              </w:rPr>
              <w:t>485.80</w:t>
            </w: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商品和服务支出</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ascii="宋体" w:hAnsi="宋体" w:eastAsia="宋体" w:cs="宋体"/>
                <w:color w:val="000000"/>
                <w:sz w:val="20"/>
                <w:szCs w:val="20"/>
              </w:rPr>
              <w:t>137.93</w:t>
            </w: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307</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债务利息及费用支出</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30101</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基本工资</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center"/>
              <w:rPr>
                <w:rFonts w:ascii="宋体" w:hAnsi="宋体" w:eastAsia="宋体" w:cs="宋体"/>
                <w:color w:val="000000"/>
                <w:sz w:val="20"/>
                <w:szCs w:val="20"/>
              </w:rPr>
            </w:pPr>
            <w:r>
              <w:rPr>
                <w:rFonts w:ascii="宋体" w:hAnsi="宋体" w:eastAsia="宋体" w:cs="宋体"/>
                <w:color w:val="000000"/>
                <w:sz w:val="20"/>
                <w:szCs w:val="20"/>
              </w:rPr>
              <w:t>154.46</w:t>
            </w: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30201</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办公费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ascii="宋体" w:hAnsi="宋体" w:eastAsia="宋体" w:cs="宋体"/>
                <w:color w:val="000000"/>
                <w:sz w:val="20"/>
                <w:szCs w:val="20"/>
              </w:rPr>
              <w:t>37.88</w:t>
            </w: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30701</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国内债务付息</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30102</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津贴补贴</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center"/>
              <w:rPr>
                <w:rFonts w:ascii="宋体" w:hAnsi="宋体" w:eastAsia="宋体" w:cs="宋体"/>
                <w:color w:val="000000"/>
                <w:sz w:val="20"/>
                <w:szCs w:val="20"/>
              </w:rPr>
            </w:pPr>
            <w:r>
              <w:rPr>
                <w:rFonts w:ascii="宋体" w:hAnsi="宋体" w:eastAsia="宋体" w:cs="宋体"/>
                <w:color w:val="000000"/>
                <w:sz w:val="20"/>
                <w:szCs w:val="20"/>
              </w:rPr>
              <w:t>160.04</w:t>
            </w: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30202</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印刷费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30702</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国外债务付息</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30103</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奖金</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center"/>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30203</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咨询费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资本性支出</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center"/>
              <w:rPr>
                <w:rFonts w:ascii="宋体" w:hAnsi="宋体" w:eastAsia="宋体" w:cs="宋体"/>
                <w:color w:val="000000"/>
                <w:sz w:val="20"/>
                <w:szCs w:val="20"/>
              </w:rPr>
            </w:pPr>
            <w:r>
              <w:rPr>
                <w:rFonts w:ascii="宋体" w:hAnsi="宋体" w:eastAsia="宋体" w:cs="宋体"/>
                <w:color w:val="000000"/>
                <w:sz w:val="20"/>
                <w:szCs w:val="20"/>
              </w:rPr>
              <w:t>1.67</w:t>
            </w: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30106</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伙食补助费</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center"/>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30204</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手续费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31001</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房屋建筑物购建</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30107</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绩效工资</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center"/>
              <w:rPr>
                <w:rFonts w:ascii="宋体" w:hAnsi="宋体" w:eastAsia="宋体" w:cs="宋体"/>
                <w:color w:val="000000"/>
                <w:sz w:val="20"/>
                <w:szCs w:val="20"/>
              </w:rPr>
            </w:pPr>
            <w:r>
              <w:rPr>
                <w:rFonts w:ascii="宋体" w:hAnsi="宋体" w:eastAsia="宋体" w:cs="宋体"/>
                <w:color w:val="000000"/>
                <w:sz w:val="20"/>
                <w:szCs w:val="20"/>
              </w:rPr>
              <w:t>16.56</w:t>
            </w: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30205</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水费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31002</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办公设备购置</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center"/>
              <w:rPr>
                <w:rFonts w:ascii="宋体" w:hAnsi="宋体" w:eastAsia="宋体" w:cs="宋体"/>
                <w:color w:val="000000"/>
                <w:sz w:val="20"/>
                <w:szCs w:val="20"/>
              </w:rPr>
            </w:pPr>
            <w:r>
              <w:rPr>
                <w:rFonts w:ascii="宋体" w:hAnsi="宋体" w:eastAsia="宋体" w:cs="宋体"/>
                <w:color w:val="000000"/>
                <w:sz w:val="20"/>
                <w:szCs w:val="20"/>
              </w:rPr>
              <w:t>1.67</w:t>
            </w: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30108</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机关事业单位基本养老保险缴费</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center"/>
              <w:rPr>
                <w:rFonts w:ascii="宋体" w:hAnsi="宋体" w:eastAsia="宋体" w:cs="宋体"/>
                <w:color w:val="000000"/>
                <w:sz w:val="20"/>
                <w:szCs w:val="20"/>
              </w:rPr>
            </w:pPr>
            <w:r>
              <w:rPr>
                <w:rFonts w:ascii="宋体" w:hAnsi="宋体" w:eastAsia="宋体" w:cs="宋体"/>
                <w:color w:val="000000"/>
                <w:sz w:val="20"/>
                <w:szCs w:val="20"/>
              </w:rPr>
              <w:t>35.21</w:t>
            </w: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30206</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电费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ascii="宋体" w:hAnsi="宋体" w:eastAsia="宋体" w:cs="宋体"/>
                <w:color w:val="000000"/>
                <w:sz w:val="20"/>
                <w:szCs w:val="20"/>
              </w:rPr>
              <w:t>6.27</w:t>
            </w: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31003</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专用设备购置</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30109</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职业年金缴费</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center"/>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30207</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邮电费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ascii="宋体" w:hAnsi="宋体" w:eastAsia="宋体" w:cs="宋体"/>
                <w:color w:val="000000"/>
                <w:sz w:val="20"/>
                <w:szCs w:val="20"/>
              </w:rPr>
              <w:t>1.57</w:t>
            </w: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31005</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基础设施建设</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30110</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职工基本医疗保险缴费</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center"/>
              <w:rPr>
                <w:rFonts w:ascii="宋体" w:hAnsi="宋体" w:eastAsia="宋体" w:cs="宋体"/>
                <w:color w:val="000000"/>
                <w:sz w:val="20"/>
                <w:szCs w:val="20"/>
              </w:rPr>
            </w:pPr>
            <w:r>
              <w:rPr>
                <w:rFonts w:ascii="宋体" w:hAnsi="宋体" w:eastAsia="宋体" w:cs="宋体"/>
                <w:color w:val="000000"/>
                <w:sz w:val="20"/>
                <w:szCs w:val="20"/>
              </w:rPr>
              <w:t>58.39</w:t>
            </w: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30208</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取暖费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ascii="宋体" w:hAnsi="宋体" w:eastAsia="宋体" w:cs="宋体"/>
                <w:color w:val="000000"/>
                <w:sz w:val="20"/>
                <w:szCs w:val="20"/>
              </w:rPr>
              <w:t>5.74</w:t>
            </w: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31006</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大型修缮</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30111</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公务员医疗补助缴费</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center"/>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30209</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物业管理费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31007</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信息网络及软件购置更新</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30112</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其他社会保障缴费</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center"/>
              <w:rPr>
                <w:rFonts w:ascii="宋体" w:hAnsi="宋体" w:eastAsia="宋体" w:cs="宋体"/>
                <w:color w:val="000000"/>
                <w:sz w:val="20"/>
                <w:szCs w:val="20"/>
              </w:rPr>
            </w:pPr>
            <w:r>
              <w:rPr>
                <w:rFonts w:ascii="宋体" w:hAnsi="宋体" w:eastAsia="宋体" w:cs="宋体"/>
                <w:color w:val="000000"/>
                <w:sz w:val="20"/>
                <w:szCs w:val="20"/>
              </w:rPr>
              <w:t>0.93</w:t>
            </w: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30211</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差旅费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ascii="宋体" w:hAnsi="宋体" w:eastAsia="宋体" w:cs="宋体"/>
                <w:color w:val="000000"/>
                <w:sz w:val="20"/>
                <w:szCs w:val="20"/>
              </w:rPr>
              <w:t>0.92</w:t>
            </w: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31008</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物资储备</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30113</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住房公积金</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center"/>
              <w:rPr>
                <w:rFonts w:ascii="宋体" w:hAnsi="宋体" w:eastAsia="宋体" w:cs="宋体"/>
                <w:color w:val="000000"/>
                <w:sz w:val="20"/>
                <w:szCs w:val="20"/>
              </w:rPr>
            </w:pPr>
            <w:r>
              <w:rPr>
                <w:rFonts w:ascii="宋体" w:hAnsi="宋体" w:eastAsia="宋体" w:cs="宋体"/>
                <w:color w:val="000000"/>
                <w:sz w:val="20"/>
                <w:szCs w:val="20"/>
              </w:rPr>
              <w:t>36.93</w:t>
            </w: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30212</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因公出国（境）费用</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31009</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土地补偿</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30114</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医疗费</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center"/>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30213</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维修（护）费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ascii="宋体" w:hAnsi="宋体" w:eastAsia="宋体" w:cs="宋体"/>
                <w:color w:val="000000"/>
                <w:sz w:val="20"/>
                <w:szCs w:val="20"/>
              </w:rPr>
              <w:t>17.88</w:t>
            </w: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31010</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安置补助</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30199</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其他工资福利支出</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center"/>
              <w:rPr>
                <w:rFonts w:ascii="宋体" w:hAnsi="宋体" w:eastAsia="宋体" w:cs="宋体"/>
                <w:color w:val="000000"/>
                <w:sz w:val="20"/>
                <w:szCs w:val="20"/>
              </w:rPr>
            </w:pPr>
            <w:r>
              <w:rPr>
                <w:rFonts w:ascii="宋体" w:hAnsi="宋体" w:eastAsia="宋体" w:cs="宋体"/>
                <w:color w:val="000000"/>
                <w:sz w:val="20"/>
                <w:szCs w:val="20"/>
              </w:rPr>
              <w:t>23.28</w:t>
            </w: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30214</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租赁费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31011</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地上附着物和青苗补偿</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303</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对个人和家庭的补助</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center"/>
              <w:rPr>
                <w:rFonts w:ascii="宋体" w:hAnsi="宋体" w:eastAsia="宋体" w:cs="宋体"/>
                <w:color w:val="000000"/>
                <w:sz w:val="20"/>
                <w:szCs w:val="20"/>
              </w:rPr>
            </w:pPr>
            <w:r>
              <w:rPr>
                <w:rFonts w:ascii="宋体" w:hAnsi="宋体" w:eastAsia="宋体" w:cs="宋体"/>
                <w:color w:val="000000"/>
                <w:sz w:val="20"/>
                <w:szCs w:val="20"/>
              </w:rPr>
              <w:t>1.12</w:t>
            </w: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30215</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会议费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31012</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拆迁补偿</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30301</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离休费</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center"/>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30216</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培训费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31013</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公务用车购置</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30302</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退休费</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center"/>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公务接待费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ascii="宋体" w:hAnsi="宋体" w:eastAsia="宋体" w:cs="宋体"/>
                <w:color w:val="000000"/>
                <w:sz w:val="20"/>
                <w:szCs w:val="20"/>
              </w:rPr>
              <w:t>0.06</w:t>
            </w: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31019</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其他交通工具购置</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30303</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退职（役）费</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center"/>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30218</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专用材料费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31021</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文物和陈列品购置</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30304</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抚恤金</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center"/>
              <w:rPr>
                <w:rFonts w:ascii="宋体" w:hAnsi="宋体" w:eastAsia="宋体" w:cs="宋体"/>
                <w:color w:val="000000"/>
                <w:sz w:val="20"/>
                <w:szCs w:val="20"/>
              </w:rPr>
            </w:pPr>
            <w:r>
              <w:rPr>
                <w:rFonts w:ascii="宋体" w:hAnsi="宋体" w:eastAsia="宋体" w:cs="宋体"/>
                <w:color w:val="000000"/>
                <w:sz w:val="20"/>
                <w:szCs w:val="20"/>
              </w:rPr>
              <w:t>1.12</w:t>
            </w: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30224</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被装购置费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31022</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无形资产购置</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30305</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生活补助</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center"/>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30225</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专用燃料费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31099</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其他资本性支出</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30306</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救济费</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center"/>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30226</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劳务费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ascii="宋体" w:hAnsi="宋体" w:eastAsia="宋体" w:cs="宋体"/>
                <w:color w:val="000000"/>
                <w:sz w:val="20"/>
                <w:szCs w:val="20"/>
              </w:rPr>
              <w:t>20.47</w:t>
            </w: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399</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其他支出</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30307</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医疗费补助</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center"/>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30227</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委托业务费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39906</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赠与</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30308</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助学金</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center"/>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30228</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工会经费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39907</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国家赔偿费用支出</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30309</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奖励金</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center"/>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30229</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福利费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ascii="宋体" w:hAnsi="宋体" w:eastAsia="宋体" w:cs="宋体"/>
                <w:color w:val="000000"/>
                <w:sz w:val="20"/>
                <w:szCs w:val="20"/>
              </w:rPr>
              <w:t>8.15</w:t>
            </w: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39908</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18"/>
                <w:szCs w:val="18"/>
              </w:rPr>
              <w:t>对民间非营利组织和群众性自治组织补贴</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30310</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个人农业生产补贴</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center"/>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30231</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公务用车运行维护费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ascii="宋体" w:hAnsi="宋体" w:eastAsia="宋体" w:cs="宋体"/>
                <w:color w:val="000000"/>
                <w:sz w:val="20"/>
                <w:szCs w:val="20"/>
              </w:rPr>
              <w:t>4.15</w:t>
            </w: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39999</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其他支出</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30399</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其他对个人和家庭的补助</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center"/>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30239</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其他交通费用</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ascii="宋体" w:hAnsi="宋体" w:eastAsia="宋体" w:cs="宋体"/>
                <w:color w:val="000000"/>
                <w:sz w:val="20"/>
                <w:szCs w:val="20"/>
              </w:rPr>
              <w:t>13.84</w:t>
            </w: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center"/>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30240</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税金及附加费用</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center"/>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30299</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其他商品和服务支出</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ascii="宋体" w:hAnsi="宋体" w:eastAsia="宋体" w:cs="宋体"/>
                <w:color w:val="000000"/>
                <w:sz w:val="20"/>
                <w:szCs w:val="20"/>
              </w:rPr>
              <w:t>21</w:t>
            </w: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317" w:hRule="atLeast"/>
          <w:jc w:val="center"/>
        </w:trPr>
        <w:tc>
          <w:tcPr>
            <w:tcW w:w="2828"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人员经费合计</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center"/>
              <w:rPr>
                <w:rFonts w:ascii="宋体" w:hAnsi="宋体" w:eastAsia="宋体" w:cs="宋体"/>
                <w:color w:val="000000"/>
                <w:sz w:val="20"/>
                <w:szCs w:val="20"/>
              </w:rPr>
            </w:pPr>
            <w:r>
              <w:rPr>
                <w:rFonts w:ascii="宋体" w:hAnsi="宋体" w:eastAsia="宋体" w:cs="宋体"/>
                <w:color w:val="000000"/>
                <w:sz w:val="20"/>
                <w:szCs w:val="20"/>
              </w:rPr>
              <w:t>486.92</w:t>
            </w:r>
          </w:p>
        </w:tc>
        <w:tc>
          <w:tcPr>
            <w:tcW w:w="5657" w:type="dxa"/>
            <w:gridSpan w:val="5"/>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公用经费合计</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center"/>
              <w:rPr>
                <w:rFonts w:ascii="宋体" w:hAnsi="宋体" w:eastAsia="宋体" w:cs="宋体"/>
                <w:color w:val="000000"/>
                <w:sz w:val="20"/>
                <w:szCs w:val="20"/>
              </w:rPr>
            </w:pPr>
            <w:r>
              <w:rPr>
                <w:rFonts w:ascii="宋体" w:hAnsi="宋体" w:eastAsia="宋体" w:cs="宋体"/>
                <w:color w:val="000000"/>
                <w:sz w:val="20"/>
                <w:szCs w:val="20"/>
              </w:rPr>
              <w:t>139.6</w:t>
            </w:r>
          </w:p>
        </w:tc>
      </w:tr>
    </w:tbl>
    <w:p>
      <w:r>
        <w:rPr>
          <w:rFonts w:hint="eastAsia"/>
        </w:rPr>
        <w:t>注：本表反映部门本年度一般公共预算财政拨款基本支出明细情况。</w:t>
      </w:r>
      <w:r>
        <w:br w:type="page"/>
      </w:r>
    </w:p>
    <w:tbl>
      <w:tblPr>
        <w:tblStyle w:val="7"/>
        <w:tblW w:w="9220" w:type="dxa"/>
        <w:jc w:val="center"/>
        <w:tblLayout w:type="autofit"/>
        <w:tblCellMar>
          <w:top w:w="0" w:type="dxa"/>
          <w:left w:w="0" w:type="dxa"/>
          <w:bottom w:w="0" w:type="dxa"/>
          <w:right w:w="0" w:type="dxa"/>
        </w:tblCellMar>
      </w:tblPr>
      <w:tblGrid>
        <w:gridCol w:w="1267"/>
        <w:gridCol w:w="1686"/>
        <w:gridCol w:w="1565"/>
        <w:gridCol w:w="1565"/>
        <w:gridCol w:w="1565"/>
        <w:gridCol w:w="1572"/>
      </w:tblGrid>
      <w:tr>
        <w:tblPrEx>
          <w:tblCellMar>
            <w:top w:w="0" w:type="dxa"/>
            <w:left w:w="0" w:type="dxa"/>
            <w:bottom w:w="0" w:type="dxa"/>
            <w:right w:w="0" w:type="dxa"/>
          </w:tblCellMar>
        </w:tblPrEx>
        <w:trPr>
          <w:trHeight w:val="638" w:hRule="atLeast"/>
          <w:jc w:val="center"/>
        </w:trPr>
        <w:tc>
          <w:tcPr>
            <w:tcW w:w="9220" w:type="dxa"/>
            <w:gridSpan w:val="6"/>
            <w:tcBorders>
              <w:top w:val="nil"/>
              <w:left w:val="nil"/>
              <w:bottom w:val="nil"/>
              <w:right w:val="nil"/>
            </w:tcBorders>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一般公共预算财政拨款“三公”经费支出决算表</w:t>
            </w:r>
          </w:p>
        </w:tc>
      </w:tr>
      <w:tr>
        <w:tblPrEx>
          <w:tblCellMar>
            <w:top w:w="0" w:type="dxa"/>
            <w:left w:w="0" w:type="dxa"/>
            <w:bottom w:w="0" w:type="dxa"/>
            <w:right w:w="0" w:type="dxa"/>
          </w:tblCellMar>
        </w:tblPrEx>
        <w:trPr>
          <w:trHeight w:val="360" w:hRule="atLeast"/>
          <w:jc w:val="center"/>
        </w:trPr>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w:t>
            </w:r>
            <w:r>
              <w:rPr>
                <w:rFonts w:ascii="宋体" w:hAnsi="宋体" w:eastAsia="宋体" w:cs="宋体"/>
                <w:color w:val="000000"/>
                <w:kern w:val="0"/>
                <w:sz w:val="20"/>
                <w:szCs w:val="20"/>
              </w:rPr>
              <w:t>07</w:t>
            </w:r>
            <w:r>
              <w:rPr>
                <w:rFonts w:hint="eastAsia" w:ascii="宋体" w:hAnsi="宋体" w:eastAsia="宋体" w:cs="宋体"/>
                <w:color w:val="000000"/>
                <w:kern w:val="0"/>
                <w:sz w:val="20"/>
                <w:szCs w:val="20"/>
              </w:rPr>
              <w:t>表</w:t>
            </w:r>
          </w:p>
        </w:tc>
      </w:tr>
      <w:tr>
        <w:tblPrEx>
          <w:tblCellMar>
            <w:top w:w="0" w:type="dxa"/>
            <w:left w:w="0" w:type="dxa"/>
            <w:bottom w:w="0" w:type="dxa"/>
            <w:right w:w="0" w:type="dxa"/>
          </w:tblCellMar>
        </w:tblPrEx>
        <w:trPr>
          <w:trHeight w:val="360" w:hRule="atLeast"/>
          <w:jc w:val="center"/>
        </w:trPr>
        <w:tc>
          <w:tcPr>
            <w:tcW w:w="2953" w:type="dxa"/>
            <w:gridSpan w:val="2"/>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rPr>
              <w:t>部门：</w:t>
            </w:r>
            <w:r>
              <w:rPr>
                <w:rFonts w:hint="eastAsia" w:ascii="宋体" w:hAnsi="宋体" w:cs="宋体"/>
                <w:kern w:val="0"/>
                <w:sz w:val="20"/>
                <w:szCs w:val="20"/>
              </w:rPr>
              <w:t>遵化市崔家庄乡人民政府</w:t>
            </w: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预算数</w:t>
            </w:r>
          </w:p>
        </w:tc>
      </w:tr>
      <w:tr>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686" w:type="dxa"/>
            <w:vMerge w:val="restart"/>
            <w:tcBorders>
              <w:top w:val="single" w:color="auto"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4695" w:type="dxa"/>
            <w:gridSpan w:val="3"/>
            <w:tcBorders>
              <w:top w:val="single" w:color="auto"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公务用车购置及运行费</w:t>
            </w:r>
          </w:p>
        </w:tc>
        <w:tc>
          <w:tcPr>
            <w:tcW w:w="1572" w:type="dxa"/>
            <w:vMerge w:val="restart"/>
            <w:tcBorders>
              <w:top w:val="single" w:color="auto" w:sz="4" w:space="0"/>
              <w:left w:val="nil"/>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r>
      <w:tr>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686"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公务用车购置费</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公务用车运行费</w:t>
            </w:r>
          </w:p>
        </w:tc>
        <w:tc>
          <w:tcPr>
            <w:tcW w:w="1572" w:type="dxa"/>
            <w:vMerge w:val="continue"/>
            <w:tcBorders>
              <w:top w:val="nil"/>
              <w:left w:val="nil"/>
              <w:bottom w:val="single" w:color="000000" w:sz="4" w:space="0"/>
              <w:right w:val="single" w:color="auto"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w:t>
            </w:r>
          </w:p>
        </w:tc>
        <w:tc>
          <w:tcPr>
            <w:tcW w:w="1686"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w:t>
            </w:r>
          </w:p>
        </w:tc>
        <w:tc>
          <w:tcPr>
            <w:tcW w:w="1572" w:type="dxa"/>
            <w:tcBorders>
              <w:top w:val="nil"/>
              <w:left w:val="nil"/>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6</w:t>
            </w:r>
          </w:p>
        </w:tc>
      </w:tr>
      <w:tr>
        <w:tblPrEx>
          <w:tblCellMar>
            <w:top w:w="0" w:type="dxa"/>
            <w:left w:w="0" w:type="dxa"/>
            <w:bottom w:w="0" w:type="dxa"/>
            <w:right w:w="0" w:type="dxa"/>
          </w:tblCellMar>
        </w:tblPrEx>
        <w:trPr>
          <w:trHeight w:val="417" w:hRule="atLeast"/>
          <w:jc w:val="center"/>
        </w:trPr>
        <w:tc>
          <w:tcPr>
            <w:tcW w:w="0" w:type="auto"/>
            <w:tcBorders>
              <w:top w:val="nil"/>
              <w:left w:val="single" w:color="auto"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r>
              <w:rPr>
                <w:rFonts w:ascii="宋体" w:hAnsi="宋体" w:eastAsia="宋体" w:cs="宋体"/>
                <w:color w:val="000000"/>
                <w:sz w:val="22"/>
              </w:rPr>
              <w:t>12.90</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r>
              <w:rPr>
                <w:rFonts w:ascii="宋体" w:hAnsi="宋体" w:eastAsia="宋体" w:cs="宋体"/>
                <w:color w:val="000000"/>
                <w:sz w:val="22"/>
              </w:rPr>
              <w:t>12</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r>
              <w:rPr>
                <w:rFonts w:ascii="宋体" w:hAnsi="宋体" w:eastAsia="宋体" w:cs="宋体"/>
                <w:color w:val="000000"/>
                <w:sz w:val="22"/>
              </w:rPr>
              <w:t>12</w:t>
            </w:r>
          </w:p>
        </w:tc>
        <w:tc>
          <w:tcPr>
            <w:tcW w:w="0" w:type="auto"/>
            <w:tcBorders>
              <w:top w:val="nil"/>
              <w:left w:val="nil"/>
              <w:bottom w:val="single" w:color="000000" w:sz="4" w:space="0"/>
              <w:right w:val="single" w:color="auto" w:sz="4" w:space="0"/>
            </w:tcBorders>
            <w:noWrap/>
            <w:tcMar>
              <w:top w:w="15" w:type="dxa"/>
              <w:left w:w="15" w:type="dxa"/>
              <w:right w:w="15" w:type="dxa"/>
            </w:tcMar>
            <w:vAlign w:val="center"/>
          </w:tcPr>
          <w:p>
            <w:pPr>
              <w:jc w:val="center"/>
              <w:rPr>
                <w:rFonts w:ascii="宋体" w:hAnsi="宋体" w:eastAsia="宋体" w:cs="宋体"/>
                <w:color w:val="000000"/>
                <w:sz w:val="22"/>
              </w:rPr>
            </w:pPr>
            <w:r>
              <w:rPr>
                <w:rFonts w:ascii="宋体" w:hAnsi="宋体" w:eastAsia="宋体" w:cs="宋体"/>
                <w:color w:val="000000"/>
                <w:sz w:val="22"/>
              </w:rPr>
              <w:t>0.90</w:t>
            </w:r>
          </w:p>
        </w:tc>
      </w:tr>
      <w:tr>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r>
      <w:tr>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686" w:type="dxa"/>
            <w:vMerge w:val="restart"/>
            <w:tcBorders>
              <w:top w:val="single" w:color="auto"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4695" w:type="dxa"/>
            <w:gridSpan w:val="3"/>
            <w:tcBorders>
              <w:top w:val="single" w:color="auto"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公务用车购置及运行费</w:t>
            </w:r>
          </w:p>
        </w:tc>
        <w:tc>
          <w:tcPr>
            <w:tcW w:w="1572" w:type="dxa"/>
            <w:vMerge w:val="restart"/>
            <w:tcBorders>
              <w:top w:val="single" w:color="auto" w:sz="4" w:space="0"/>
              <w:left w:val="nil"/>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r>
      <w:tr>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686"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公务用车购置费</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公务用车运行费</w:t>
            </w:r>
          </w:p>
        </w:tc>
        <w:tc>
          <w:tcPr>
            <w:tcW w:w="1572" w:type="dxa"/>
            <w:vMerge w:val="continue"/>
            <w:tcBorders>
              <w:top w:val="nil"/>
              <w:left w:val="nil"/>
              <w:bottom w:val="single" w:color="000000" w:sz="4" w:space="0"/>
              <w:right w:val="single" w:color="auto"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7</w:t>
            </w:r>
          </w:p>
        </w:tc>
        <w:tc>
          <w:tcPr>
            <w:tcW w:w="1686"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8</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9</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10</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11</w:t>
            </w:r>
          </w:p>
        </w:tc>
        <w:tc>
          <w:tcPr>
            <w:tcW w:w="1572" w:type="dxa"/>
            <w:tcBorders>
              <w:top w:val="nil"/>
              <w:left w:val="nil"/>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12</w:t>
            </w:r>
          </w:p>
        </w:tc>
      </w:tr>
      <w:tr>
        <w:tblPrEx>
          <w:tblCellMar>
            <w:top w:w="0" w:type="dxa"/>
            <w:left w:w="0" w:type="dxa"/>
            <w:bottom w:w="0" w:type="dxa"/>
            <w:right w:w="0" w:type="dxa"/>
          </w:tblCellMar>
        </w:tblPrEx>
        <w:trPr>
          <w:trHeight w:val="447" w:hRule="atLeast"/>
          <w:jc w:val="center"/>
        </w:trPr>
        <w:tc>
          <w:tcPr>
            <w:tcW w:w="0" w:type="auto"/>
            <w:tcBorders>
              <w:top w:val="nil"/>
              <w:left w:val="single" w:color="auto" w:sz="4" w:space="0"/>
              <w:bottom w:val="single" w:color="auto"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r>
              <w:rPr>
                <w:rFonts w:ascii="宋体" w:hAnsi="宋体" w:eastAsia="宋体" w:cs="宋体"/>
                <w:color w:val="000000"/>
                <w:sz w:val="22"/>
              </w:rPr>
              <w:t>4.21</w:t>
            </w:r>
          </w:p>
        </w:tc>
        <w:tc>
          <w:tcPr>
            <w:tcW w:w="0" w:type="auto"/>
            <w:tcBorders>
              <w:top w:val="nil"/>
              <w:left w:val="nil"/>
              <w:bottom w:val="single" w:color="auto"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0" w:type="auto"/>
            <w:tcBorders>
              <w:top w:val="nil"/>
              <w:left w:val="nil"/>
              <w:bottom w:val="single" w:color="auto"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r>
              <w:rPr>
                <w:rFonts w:ascii="宋体" w:hAnsi="宋体" w:eastAsia="宋体" w:cs="宋体"/>
                <w:color w:val="000000"/>
                <w:sz w:val="22"/>
              </w:rPr>
              <w:t>4.15</w:t>
            </w:r>
          </w:p>
        </w:tc>
        <w:tc>
          <w:tcPr>
            <w:tcW w:w="0" w:type="auto"/>
            <w:tcBorders>
              <w:top w:val="nil"/>
              <w:left w:val="nil"/>
              <w:bottom w:val="single" w:color="auto"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0" w:type="auto"/>
            <w:tcBorders>
              <w:top w:val="nil"/>
              <w:left w:val="nil"/>
              <w:bottom w:val="single" w:color="auto"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r>
              <w:rPr>
                <w:rFonts w:ascii="宋体" w:hAnsi="宋体" w:eastAsia="宋体" w:cs="宋体"/>
                <w:color w:val="000000"/>
                <w:sz w:val="22"/>
              </w:rPr>
              <w:t>4.15</w:t>
            </w:r>
          </w:p>
        </w:tc>
        <w:tc>
          <w:tcPr>
            <w:tcW w:w="0" w:type="auto"/>
            <w:tcBorders>
              <w:top w:val="nil"/>
              <w:left w:val="nil"/>
              <w:bottom w:val="single" w:color="auto" w:sz="4" w:space="0"/>
              <w:right w:val="single" w:color="auto" w:sz="4" w:space="0"/>
            </w:tcBorders>
            <w:noWrap/>
            <w:tcMar>
              <w:top w:w="15" w:type="dxa"/>
              <w:left w:w="15" w:type="dxa"/>
              <w:right w:w="15" w:type="dxa"/>
            </w:tcMar>
            <w:vAlign w:val="center"/>
          </w:tcPr>
          <w:p>
            <w:pPr>
              <w:jc w:val="center"/>
              <w:rPr>
                <w:rFonts w:ascii="宋体" w:hAnsi="宋体" w:eastAsia="宋体" w:cs="宋体"/>
                <w:color w:val="000000"/>
                <w:sz w:val="22"/>
              </w:rPr>
            </w:pPr>
            <w:r>
              <w:rPr>
                <w:rFonts w:ascii="宋体" w:hAnsi="宋体" w:eastAsia="宋体" w:cs="宋体"/>
                <w:color w:val="000000"/>
                <w:sz w:val="22"/>
              </w:rPr>
              <w:t>0.06</w:t>
            </w:r>
          </w:p>
        </w:tc>
      </w:tr>
    </w:tbl>
    <w:p>
      <w:r>
        <w:rPr>
          <w:rFonts w:hint="eastAsia" w:ascii="宋体" w:hAnsi="宋体" w:eastAsia="宋体" w:cs="宋体"/>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仿宋_GB2312" w:hAnsi="仿宋_GB2312" w:eastAsia="仿宋_GB2312" w:cs="仿宋_GB2312"/>
        </w:rPr>
        <w:tab/>
      </w:r>
      <w:r>
        <w:tab/>
      </w:r>
      <w:r>
        <w:tab/>
      </w:r>
      <w:r>
        <w:tab/>
      </w:r>
      <w:r>
        <w:tab/>
      </w:r>
      <w:r>
        <w:tab/>
      </w:r>
      <w:r>
        <w:tab/>
      </w:r>
      <w:r>
        <w:tab/>
      </w:r>
      <w:r>
        <w:tab/>
      </w:r>
      <w:r>
        <w:tab/>
      </w:r>
      <w:r>
        <w:tab/>
      </w:r>
      <w:r>
        <w:br w:type="page"/>
      </w:r>
    </w:p>
    <w:tbl>
      <w:tblPr>
        <w:tblStyle w:val="7"/>
        <w:tblW w:w="10263" w:type="dxa"/>
        <w:jc w:val="center"/>
        <w:tblLayout w:type="autofit"/>
        <w:tblCellMar>
          <w:top w:w="0" w:type="dxa"/>
          <w:left w:w="0" w:type="dxa"/>
          <w:bottom w:w="0" w:type="dxa"/>
          <w:right w:w="0" w:type="dxa"/>
        </w:tblCellMar>
      </w:tblPr>
      <w:tblGrid>
        <w:gridCol w:w="83"/>
        <w:gridCol w:w="83"/>
        <w:gridCol w:w="84"/>
        <w:gridCol w:w="1985"/>
        <w:gridCol w:w="1664"/>
        <w:gridCol w:w="1400"/>
        <w:gridCol w:w="1400"/>
        <w:gridCol w:w="1400"/>
        <w:gridCol w:w="1400"/>
        <w:gridCol w:w="1396"/>
      </w:tblGrid>
      <w:tr>
        <w:tblPrEx>
          <w:tblCellMar>
            <w:top w:w="0" w:type="dxa"/>
            <w:left w:w="0" w:type="dxa"/>
            <w:bottom w:w="0" w:type="dxa"/>
            <w:right w:w="0" w:type="dxa"/>
          </w:tblCellMar>
        </w:tblPrEx>
        <w:trPr>
          <w:trHeight w:val="780" w:hRule="atLeast"/>
          <w:jc w:val="center"/>
        </w:trPr>
        <w:tc>
          <w:tcPr>
            <w:tcW w:w="10263" w:type="dxa"/>
            <w:gridSpan w:val="10"/>
            <w:tcBorders>
              <w:top w:val="nil"/>
              <w:left w:val="nil"/>
              <w:bottom w:val="nil"/>
              <w:right w:val="nil"/>
            </w:tcBorders>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政府性基金预算财政拨款收入支出决算表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w:t>
            </w:r>
            <w:r>
              <w:rPr>
                <w:rFonts w:ascii="宋体" w:hAnsi="宋体" w:eastAsia="宋体" w:cs="宋体"/>
                <w:color w:val="000000"/>
                <w:kern w:val="0"/>
                <w:sz w:val="20"/>
                <w:szCs w:val="20"/>
              </w:rPr>
              <w:t>08</w:t>
            </w:r>
            <w:r>
              <w:rPr>
                <w:rFonts w:hint="eastAsia" w:ascii="宋体" w:hAnsi="宋体" w:eastAsia="宋体" w:cs="宋体"/>
                <w:color w:val="000000"/>
                <w:kern w:val="0"/>
                <w:sz w:val="20"/>
                <w:szCs w:val="20"/>
              </w:rPr>
              <w:t>表</w:t>
            </w:r>
          </w:p>
        </w:tc>
      </w:tr>
      <w:tr>
        <w:tblPrEx>
          <w:tblCellMar>
            <w:top w:w="0" w:type="dxa"/>
            <w:left w:w="0" w:type="dxa"/>
            <w:bottom w:w="0" w:type="dxa"/>
            <w:right w:w="0" w:type="dxa"/>
          </w:tblCellMar>
        </w:tblPrEx>
        <w:trPr>
          <w:trHeight w:val="255" w:hRule="atLeast"/>
          <w:jc w:val="center"/>
        </w:trPr>
        <w:tc>
          <w:tcPr>
            <w:tcW w:w="3886" w:type="dxa"/>
            <w:gridSpan w:val="5"/>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rPr>
              <w:t>部门：</w:t>
            </w:r>
            <w:r>
              <w:rPr>
                <w:rFonts w:hint="eastAsia" w:ascii="宋体" w:hAnsi="宋体" w:cs="宋体"/>
                <w:kern w:val="0"/>
                <w:sz w:val="20"/>
                <w:szCs w:val="20"/>
              </w:rPr>
              <w:t>遵化市崔家庄乡人民政府</w:t>
            </w: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276"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年初结转和结余</w:t>
            </w:r>
          </w:p>
        </w:tc>
        <w:tc>
          <w:tcPr>
            <w:tcW w:w="1276"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本年收入</w:t>
            </w:r>
          </w:p>
        </w:tc>
        <w:tc>
          <w:tcPr>
            <w:tcW w:w="3828" w:type="dxa"/>
            <w:gridSpan w:val="3"/>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c>
          <w:tcPr>
            <w:tcW w:w="1273"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年末结转和结余</w:t>
            </w:r>
          </w:p>
        </w:tc>
      </w:tr>
      <w:tr>
        <w:tblPrEx>
          <w:tblCellMar>
            <w:top w:w="0" w:type="dxa"/>
            <w:left w:w="0" w:type="dxa"/>
            <w:bottom w:w="0" w:type="dxa"/>
            <w:right w:w="0" w:type="dxa"/>
          </w:tblCellMar>
        </w:tblPrEx>
        <w:trPr>
          <w:trHeight w:val="312" w:hRule="atLeast"/>
          <w:jc w:val="center"/>
        </w:trPr>
        <w:tc>
          <w:tcPr>
            <w:tcW w:w="279" w:type="dxa"/>
            <w:gridSpan w:val="3"/>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0" w:type="auto"/>
            <w:vMerge w:val="restart"/>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276"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276"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276"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276"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1276"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c>
          <w:tcPr>
            <w:tcW w:w="1273"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jc w:val="center"/>
        </w:trPr>
        <w:tc>
          <w:tcPr>
            <w:tcW w:w="279"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1276"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276"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276"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276"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276"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273"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jc w:val="center"/>
        </w:trPr>
        <w:tc>
          <w:tcPr>
            <w:tcW w:w="279"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1276"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276"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276"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276"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276"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273"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6</w:t>
            </w: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bl>
    <w:p>
      <w:r>
        <w:rPr>
          <w:rFonts w:hint="eastAsia"/>
        </w:rPr>
        <w:t>注：本表反映部门本年度政府性基金预算财政拨款收入、支出结转和结余情况。本部门本年度无收支及结转结余情况，按要求以空表列示。</w:t>
      </w:r>
      <w:r>
        <w:br w:type="page"/>
      </w:r>
    </w:p>
    <w:tbl>
      <w:tblPr>
        <w:tblStyle w:val="7"/>
        <w:tblW w:w="9915" w:type="dxa"/>
        <w:jc w:val="center"/>
        <w:tblLayout w:type="autofit"/>
        <w:tblCellMar>
          <w:top w:w="0" w:type="dxa"/>
          <w:left w:w="0" w:type="dxa"/>
          <w:bottom w:w="0" w:type="dxa"/>
          <w:right w:w="0" w:type="dxa"/>
        </w:tblCellMar>
      </w:tblPr>
      <w:tblGrid>
        <w:gridCol w:w="83"/>
        <w:gridCol w:w="83"/>
        <w:gridCol w:w="84"/>
        <w:gridCol w:w="5006"/>
        <w:gridCol w:w="981"/>
        <w:gridCol w:w="1899"/>
        <w:gridCol w:w="1898"/>
      </w:tblGrid>
      <w:tr>
        <w:tblPrEx>
          <w:tblCellMar>
            <w:top w:w="0" w:type="dxa"/>
            <w:left w:w="0" w:type="dxa"/>
            <w:bottom w:w="0" w:type="dxa"/>
            <w:right w:w="0" w:type="dxa"/>
          </w:tblCellMar>
        </w:tblPrEx>
        <w:trPr>
          <w:trHeight w:val="840" w:hRule="atLeast"/>
          <w:jc w:val="center"/>
        </w:trPr>
        <w:tc>
          <w:tcPr>
            <w:tcW w:w="9915" w:type="dxa"/>
            <w:gridSpan w:val="7"/>
            <w:tcBorders>
              <w:top w:val="nil"/>
              <w:left w:val="nil"/>
              <w:bottom w:val="nil"/>
              <w:right w:val="nil"/>
            </w:tcBorders>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国有资本经营预算财政拨款支出决算表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w:t>
            </w:r>
            <w:r>
              <w:rPr>
                <w:rFonts w:ascii="宋体" w:hAnsi="宋体" w:eastAsia="宋体" w:cs="宋体"/>
                <w:color w:val="000000"/>
                <w:kern w:val="0"/>
                <w:sz w:val="20"/>
                <w:szCs w:val="20"/>
              </w:rPr>
              <w:t>09</w:t>
            </w:r>
            <w:r>
              <w:rPr>
                <w:rFonts w:hint="eastAsia" w:ascii="宋体" w:hAnsi="宋体" w:eastAsia="宋体" w:cs="宋体"/>
                <w:color w:val="000000"/>
                <w:kern w:val="0"/>
                <w:sz w:val="20"/>
                <w:szCs w:val="20"/>
              </w:rPr>
              <w:t>表</w:t>
            </w:r>
          </w:p>
        </w:tc>
      </w:tr>
      <w:tr>
        <w:tblPrEx>
          <w:tblCellMar>
            <w:top w:w="0" w:type="dxa"/>
            <w:left w:w="0" w:type="dxa"/>
            <w:bottom w:w="0" w:type="dxa"/>
            <w:right w:w="0" w:type="dxa"/>
          </w:tblCellMar>
        </w:tblPrEx>
        <w:trPr>
          <w:trHeight w:val="255" w:hRule="atLeast"/>
          <w:jc w:val="center"/>
        </w:trPr>
        <w:tc>
          <w:tcPr>
            <w:tcW w:w="5234" w:type="dxa"/>
            <w:gridSpan w:val="4"/>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rPr>
              <w:t>部门：</w:t>
            </w:r>
            <w:r>
              <w:rPr>
                <w:rFonts w:hint="eastAsia" w:ascii="宋体" w:hAnsi="宋体" w:cs="宋体"/>
                <w:kern w:val="0"/>
                <w:sz w:val="20"/>
                <w:szCs w:val="20"/>
              </w:rPr>
              <w:t>遵化市崔家庄乡人民政府</w:t>
            </w: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w:t>
            </w:r>
          </w:p>
        </w:tc>
        <w:tc>
          <w:tcPr>
            <w:tcW w:w="0" w:type="auto"/>
            <w:gridSpan w:val="3"/>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r>
      <w:tr>
        <w:tblPrEx>
          <w:tblCellMar>
            <w:top w:w="0" w:type="dxa"/>
            <w:left w:w="0" w:type="dxa"/>
            <w:bottom w:w="0" w:type="dxa"/>
            <w:right w:w="0" w:type="dxa"/>
          </w:tblCellMar>
        </w:tblPrEx>
        <w:trPr>
          <w:trHeight w:val="615" w:hRule="atLeast"/>
          <w:jc w:val="center"/>
        </w:trPr>
        <w:tc>
          <w:tcPr>
            <w:tcW w:w="143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w:t>
            </w: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3798"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3798"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3798"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3798"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3798"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bl>
    <w:p>
      <w:r>
        <w:rPr>
          <w:rFonts w:hint="eastAsia"/>
        </w:rPr>
        <w:t>注：本表反映部门本年度国有资本经营预算财政拨款支出情况。本部门本年度无收支及结转结余情况，按要求以空表列示。</w:t>
      </w:r>
    </w:p>
    <w:p/>
    <w:p/>
    <w:p/>
    <w:p/>
    <w:p/>
    <w:p/>
    <w:p/>
    <w:p/>
    <w:p/>
    <w:p/>
    <w:p/>
    <w:p/>
    <w:p/>
    <w:sectPr>
      <w:pgSz w:w="11906" w:h="16838"/>
      <w:pgMar w:top="1701" w:right="1417" w:bottom="1281" w:left="141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思源黑体 HW Bold">
    <w:altName w:val="黑体"/>
    <w:panose1 w:val="00000000000000000000"/>
    <w:charset w:val="86"/>
    <w:family w:val="swiss"/>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Yu Gothic UI Semibold">
    <w:altName w:val="MS Gothic"/>
    <w:panose1 w:val="00000000000000000000"/>
    <w:charset w:val="80"/>
    <w:family w:val="swiss"/>
    <w:pitch w:val="default"/>
    <w:sig w:usb0="00000000" w:usb1="00000000" w:usb2="00000010" w:usb3="00000000" w:csb0="00020000" w:csb1="00000000"/>
  </w:font>
  <w:font w:name="µÈÏß Western">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方正仿宋简体">
    <w:panose1 w:val="03000509000000000000"/>
    <w:charset w:val="86"/>
    <w:family w:val="script"/>
    <w:pitch w:val="default"/>
    <w:sig w:usb0="00000001" w:usb1="080E0000" w:usb2="00000000" w:usb3="00000000" w:csb0="00040000" w:csb1="00000000"/>
  </w:font>
  <w:font w:name="ArialUnicodeMS">
    <w:altName w:val="Malgun Gothic"/>
    <w:panose1 w:val="00000000000000000000"/>
    <w:charset w:val="81"/>
    <w:family w:val="auto"/>
    <w:pitch w:val="default"/>
    <w:sig w:usb0="00000000" w:usb1="00000000" w:usb2="00000010" w:usb3="00000000" w:csb0="00080000" w:csb1="00000000"/>
  </w:font>
  <w:font w:name="Cambria">
    <w:panose1 w:val="02040503050406030204"/>
    <w:charset w:val="00"/>
    <w:family w:val="roman"/>
    <w:pitch w:val="default"/>
    <w:sig w:usb0="E00002FF" w:usb1="400004FF" w:usb2="00000000" w:usb3="00000000" w:csb0="2000019F" w:csb1="00000000"/>
  </w:font>
  <w:font w:name="DengXian-Regular">
    <w:altName w:val="宋体"/>
    <w:panose1 w:val="00000000000000000000"/>
    <w:charset w:val="86"/>
    <w:family w:val="auto"/>
    <w:pitch w:val="default"/>
    <w:sig w:usb0="00000000" w:usb1="00000000" w:usb2="00000010" w:usb3="00000000" w:csb0="00040000" w:csb1="00000000"/>
  </w:font>
  <w:font w:name="DengXian-Bold">
    <w:altName w:val="宋体"/>
    <w:panose1 w:val="00000000000000000000"/>
    <w:charset w:val="86"/>
    <w:family w:val="auto"/>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TimesNewRomanPSMT">
    <w:altName w:val="Arial"/>
    <w:panose1 w:val="00000000000000000000"/>
    <w:charset w:val="00"/>
    <w:family w:val="swiss"/>
    <w:pitch w:val="default"/>
    <w:sig w:usb0="00000000" w:usb1="00000000" w:usb2="00000000" w:usb3="00000000" w:csb0="00000001" w:csb1="00000000"/>
  </w:font>
  <w:font w:name="MS-UIGothic,Bold">
    <w:altName w:val="Malgun Gothic"/>
    <w:panose1 w:val="00000000000000000000"/>
    <w:charset w:val="81"/>
    <w:family w:val="auto"/>
    <w:pitch w:val="default"/>
    <w:sig w:usb0="00000000" w:usb1="00000000" w:usb2="00000010" w:usb3="00000000" w:csb0="00080000"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DB9A87"/>
    <w:multiLevelType w:val="singleLevel"/>
    <w:tmpl w:val="45DB9A87"/>
    <w:lvl w:ilvl="0" w:tentative="0">
      <w:start w:val="3"/>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EzZWFmMDRjZmNkZTMxMGY3MmYyODFlMDI0ZDAwMjAifQ=="/>
  </w:docVars>
  <w:rsids>
    <w:rsidRoot w:val="6AAF1C96"/>
    <w:rsid w:val="00024B05"/>
    <w:rsid w:val="00026402"/>
    <w:rsid w:val="0007063E"/>
    <w:rsid w:val="00073392"/>
    <w:rsid w:val="0007359E"/>
    <w:rsid w:val="00073F4E"/>
    <w:rsid w:val="00086C89"/>
    <w:rsid w:val="000A39FB"/>
    <w:rsid w:val="000A5B58"/>
    <w:rsid w:val="00117746"/>
    <w:rsid w:val="00150690"/>
    <w:rsid w:val="00163F95"/>
    <w:rsid w:val="00180A9A"/>
    <w:rsid w:val="001829C0"/>
    <w:rsid w:val="00184809"/>
    <w:rsid w:val="00192112"/>
    <w:rsid w:val="0019247E"/>
    <w:rsid w:val="001B0127"/>
    <w:rsid w:val="001C12D5"/>
    <w:rsid w:val="001C69F7"/>
    <w:rsid w:val="002410B2"/>
    <w:rsid w:val="00247E5C"/>
    <w:rsid w:val="002650EC"/>
    <w:rsid w:val="002A413F"/>
    <w:rsid w:val="002A6C46"/>
    <w:rsid w:val="002C19B5"/>
    <w:rsid w:val="002D4EA7"/>
    <w:rsid w:val="00381205"/>
    <w:rsid w:val="003A4EE8"/>
    <w:rsid w:val="00442CC2"/>
    <w:rsid w:val="00446244"/>
    <w:rsid w:val="00473C20"/>
    <w:rsid w:val="004D61CB"/>
    <w:rsid w:val="005011D6"/>
    <w:rsid w:val="00503F2E"/>
    <w:rsid w:val="00552226"/>
    <w:rsid w:val="00566120"/>
    <w:rsid w:val="00582E6D"/>
    <w:rsid w:val="0059004B"/>
    <w:rsid w:val="005954D5"/>
    <w:rsid w:val="005A2116"/>
    <w:rsid w:val="005A53FA"/>
    <w:rsid w:val="005D1293"/>
    <w:rsid w:val="006069EF"/>
    <w:rsid w:val="00644D5F"/>
    <w:rsid w:val="006727AD"/>
    <w:rsid w:val="00691425"/>
    <w:rsid w:val="006A516E"/>
    <w:rsid w:val="006B0830"/>
    <w:rsid w:val="006D59E4"/>
    <w:rsid w:val="00713988"/>
    <w:rsid w:val="00716E2B"/>
    <w:rsid w:val="00770F18"/>
    <w:rsid w:val="00773B74"/>
    <w:rsid w:val="0078290C"/>
    <w:rsid w:val="007A7966"/>
    <w:rsid w:val="007C06CA"/>
    <w:rsid w:val="00800930"/>
    <w:rsid w:val="008163FB"/>
    <w:rsid w:val="0082605B"/>
    <w:rsid w:val="00855C36"/>
    <w:rsid w:val="00857DBE"/>
    <w:rsid w:val="008701BC"/>
    <w:rsid w:val="0087413D"/>
    <w:rsid w:val="00876065"/>
    <w:rsid w:val="00883D92"/>
    <w:rsid w:val="008A5362"/>
    <w:rsid w:val="008F21F1"/>
    <w:rsid w:val="008F221B"/>
    <w:rsid w:val="008F37EC"/>
    <w:rsid w:val="008F5A2D"/>
    <w:rsid w:val="00921602"/>
    <w:rsid w:val="00957EA1"/>
    <w:rsid w:val="00966E5B"/>
    <w:rsid w:val="009B4EF0"/>
    <w:rsid w:val="009B703B"/>
    <w:rsid w:val="009D271F"/>
    <w:rsid w:val="00A30E36"/>
    <w:rsid w:val="00A52300"/>
    <w:rsid w:val="00A67338"/>
    <w:rsid w:val="00A73D99"/>
    <w:rsid w:val="00A92936"/>
    <w:rsid w:val="00A929C2"/>
    <w:rsid w:val="00AD097F"/>
    <w:rsid w:val="00AE540D"/>
    <w:rsid w:val="00B66945"/>
    <w:rsid w:val="00B844F4"/>
    <w:rsid w:val="00BA06A1"/>
    <w:rsid w:val="00BA770A"/>
    <w:rsid w:val="00BF5FCD"/>
    <w:rsid w:val="00C054DE"/>
    <w:rsid w:val="00C45032"/>
    <w:rsid w:val="00C679A9"/>
    <w:rsid w:val="00C7541C"/>
    <w:rsid w:val="00CC0FAA"/>
    <w:rsid w:val="00CD0736"/>
    <w:rsid w:val="00D1570F"/>
    <w:rsid w:val="00D32830"/>
    <w:rsid w:val="00D723AE"/>
    <w:rsid w:val="00DA3B22"/>
    <w:rsid w:val="00DA7DA8"/>
    <w:rsid w:val="00DB7153"/>
    <w:rsid w:val="00DB7F05"/>
    <w:rsid w:val="00E028C3"/>
    <w:rsid w:val="00E14F77"/>
    <w:rsid w:val="00E15D77"/>
    <w:rsid w:val="00E3076B"/>
    <w:rsid w:val="00E3226A"/>
    <w:rsid w:val="00E36978"/>
    <w:rsid w:val="00E41581"/>
    <w:rsid w:val="00E52803"/>
    <w:rsid w:val="00E82A1E"/>
    <w:rsid w:val="00EC06F4"/>
    <w:rsid w:val="00EE4E36"/>
    <w:rsid w:val="00F665F4"/>
    <w:rsid w:val="00FD225F"/>
    <w:rsid w:val="013330A4"/>
    <w:rsid w:val="02332E22"/>
    <w:rsid w:val="07857015"/>
    <w:rsid w:val="08972930"/>
    <w:rsid w:val="09CA72E7"/>
    <w:rsid w:val="0A727ADF"/>
    <w:rsid w:val="0C1666D9"/>
    <w:rsid w:val="0CE92629"/>
    <w:rsid w:val="0E1C425B"/>
    <w:rsid w:val="100B3E7C"/>
    <w:rsid w:val="12260788"/>
    <w:rsid w:val="12E8539B"/>
    <w:rsid w:val="12E91E9D"/>
    <w:rsid w:val="136B649B"/>
    <w:rsid w:val="140F0160"/>
    <w:rsid w:val="14780613"/>
    <w:rsid w:val="1478208E"/>
    <w:rsid w:val="170D62EB"/>
    <w:rsid w:val="19991FEE"/>
    <w:rsid w:val="19E2613B"/>
    <w:rsid w:val="1C5237D7"/>
    <w:rsid w:val="1E7C68FD"/>
    <w:rsid w:val="1F4318C8"/>
    <w:rsid w:val="28521FD4"/>
    <w:rsid w:val="294A2654"/>
    <w:rsid w:val="29A4102A"/>
    <w:rsid w:val="2A072B83"/>
    <w:rsid w:val="2BA65FA6"/>
    <w:rsid w:val="2D1B5384"/>
    <w:rsid w:val="2D507A9F"/>
    <w:rsid w:val="30FC47BB"/>
    <w:rsid w:val="31C2036A"/>
    <w:rsid w:val="320D02A5"/>
    <w:rsid w:val="32992BC5"/>
    <w:rsid w:val="333C143B"/>
    <w:rsid w:val="341079AB"/>
    <w:rsid w:val="348E566F"/>
    <w:rsid w:val="37A21712"/>
    <w:rsid w:val="37CB7D56"/>
    <w:rsid w:val="38D86BDF"/>
    <w:rsid w:val="3A226944"/>
    <w:rsid w:val="3AEE6A48"/>
    <w:rsid w:val="3B7E6BB3"/>
    <w:rsid w:val="3C1620AA"/>
    <w:rsid w:val="3CA549D6"/>
    <w:rsid w:val="3CD07378"/>
    <w:rsid w:val="3D8F080F"/>
    <w:rsid w:val="3F326CC5"/>
    <w:rsid w:val="417E1B35"/>
    <w:rsid w:val="425322AF"/>
    <w:rsid w:val="43D35E11"/>
    <w:rsid w:val="44CE1FA4"/>
    <w:rsid w:val="457115A9"/>
    <w:rsid w:val="466D6A7C"/>
    <w:rsid w:val="47A10011"/>
    <w:rsid w:val="47DB2F02"/>
    <w:rsid w:val="48290667"/>
    <w:rsid w:val="487F73ED"/>
    <w:rsid w:val="48B234A3"/>
    <w:rsid w:val="49B701DB"/>
    <w:rsid w:val="4A347EAE"/>
    <w:rsid w:val="4AB06645"/>
    <w:rsid w:val="4E3E04FE"/>
    <w:rsid w:val="501B09FE"/>
    <w:rsid w:val="509F589A"/>
    <w:rsid w:val="5188431B"/>
    <w:rsid w:val="52600405"/>
    <w:rsid w:val="529B4319"/>
    <w:rsid w:val="5346106F"/>
    <w:rsid w:val="57773DD6"/>
    <w:rsid w:val="578B79AB"/>
    <w:rsid w:val="58CA48FA"/>
    <w:rsid w:val="59805D56"/>
    <w:rsid w:val="5CCD3FD5"/>
    <w:rsid w:val="5D653EDC"/>
    <w:rsid w:val="61FA5F9D"/>
    <w:rsid w:val="62E408AF"/>
    <w:rsid w:val="6310481D"/>
    <w:rsid w:val="64B26C75"/>
    <w:rsid w:val="64CD6910"/>
    <w:rsid w:val="65BD459E"/>
    <w:rsid w:val="67506DA6"/>
    <w:rsid w:val="6789158D"/>
    <w:rsid w:val="67D81BA4"/>
    <w:rsid w:val="6AAF1C96"/>
    <w:rsid w:val="6B753F65"/>
    <w:rsid w:val="6E431AB2"/>
    <w:rsid w:val="6F9156A8"/>
    <w:rsid w:val="70CD01B2"/>
    <w:rsid w:val="75221B11"/>
    <w:rsid w:val="75681757"/>
    <w:rsid w:val="75A346A8"/>
    <w:rsid w:val="769A7F21"/>
    <w:rsid w:val="76D9172E"/>
    <w:rsid w:val="76EA0E85"/>
    <w:rsid w:val="76FA0F65"/>
    <w:rsid w:val="78A03D65"/>
    <w:rsid w:val="78EA4F93"/>
    <w:rsid w:val="79B9382C"/>
    <w:rsid w:val="7B043B76"/>
    <w:rsid w:val="7C041A6A"/>
    <w:rsid w:val="7CCC770A"/>
    <w:rsid w:val="7CE22FA9"/>
    <w:rsid w:val="7D215D2C"/>
    <w:rsid w:val="7E327570"/>
    <w:rsid w:val="7FEB63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link w:val="10"/>
    <w:qFormat/>
    <w:uiPriority w:val="99"/>
    <w:pPr>
      <w:keepNext/>
      <w:keepLines/>
      <w:spacing w:before="340" w:after="330" w:line="578" w:lineRule="auto"/>
      <w:outlineLvl w:val="0"/>
    </w:pPr>
    <w:rPr>
      <w:b/>
      <w:bCs/>
      <w:kern w:val="44"/>
      <w:sz w:val="44"/>
      <w:szCs w:val="44"/>
    </w:rPr>
  </w:style>
  <w:style w:type="character" w:default="1" w:styleId="9">
    <w:name w:val="Default Paragraph Font"/>
    <w:semiHidden/>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1"/>
    <w:qFormat/>
    <w:uiPriority w:val="99"/>
    <w:rPr>
      <w:rFonts w:ascii="仿宋_GB2312" w:hAnsi="仿宋_GB2312" w:eastAsia="仿宋_GB2312" w:cs="仿宋_GB2312"/>
      <w:sz w:val="32"/>
      <w:szCs w:val="32"/>
      <w:lang w:val="zh-CN"/>
    </w:rPr>
  </w:style>
  <w:style w:type="paragraph" w:styleId="4">
    <w:name w:val="Balloon Text"/>
    <w:basedOn w:val="1"/>
    <w:link w:val="12"/>
    <w:autoRedefine/>
    <w:semiHidden/>
    <w:uiPriority w:val="99"/>
    <w:rPr>
      <w:sz w:val="18"/>
      <w:szCs w:val="18"/>
    </w:rPr>
  </w:style>
  <w:style w:type="paragraph" w:styleId="5">
    <w:name w:val="footer"/>
    <w:basedOn w:val="1"/>
    <w:link w:val="13"/>
    <w:autoRedefine/>
    <w:uiPriority w:val="99"/>
    <w:pPr>
      <w:tabs>
        <w:tab w:val="center" w:pos="4153"/>
        <w:tab w:val="right" w:pos="8306"/>
      </w:tabs>
      <w:snapToGrid w:val="0"/>
      <w:jc w:val="left"/>
    </w:pPr>
    <w:rPr>
      <w:sz w:val="18"/>
      <w:szCs w:val="18"/>
    </w:rPr>
  </w:style>
  <w:style w:type="paragraph" w:styleId="6">
    <w:name w:val="header"/>
    <w:basedOn w:val="1"/>
    <w:link w:val="14"/>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8">
    <w:name w:val="Table Grid"/>
    <w:basedOn w:val="7"/>
    <w:autoRedefine/>
    <w:qFormat/>
    <w:uiPriority w:val="99"/>
    <w:rPr>
      <w:kern w:val="0"/>
      <w:sz w:val="22"/>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0">
    <w:name w:val="Heading 1 Char"/>
    <w:basedOn w:val="9"/>
    <w:link w:val="2"/>
    <w:autoRedefine/>
    <w:locked/>
    <w:uiPriority w:val="99"/>
    <w:rPr>
      <w:rFonts w:ascii="等线" w:hAnsi="等线" w:eastAsia="等线" w:cs="Times New Roman"/>
      <w:b/>
      <w:bCs/>
      <w:kern w:val="44"/>
      <w:sz w:val="44"/>
      <w:szCs w:val="44"/>
    </w:rPr>
  </w:style>
  <w:style w:type="character" w:customStyle="1" w:styleId="11">
    <w:name w:val="Body Text Char"/>
    <w:basedOn w:val="9"/>
    <w:link w:val="3"/>
    <w:autoRedefine/>
    <w:semiHidden/>
    <w:qFormat/>
    <w:locked/>
    <w:uiPriority w:val="99"/>
    <w:rPr>
      <w:rFonts w:ascii="等线" w:hAnsi="等线" w:eastAsia="等线" w:cs="Times New Roman"/>
    </w:rPr>
  </w:style>
  <w:style w:type="character" w:customStyle="1" w:styleId="12">
    <w:name w:val="Balloon Text Char"/>
    <w:basedOn w:val="9"/>
    <w:link w:val="4"/>
    <w:semiHidden/>
    <w:locked/>
    <w:uiPriority w:val="99"/>
    <w:rPr>
      <w:rFonts w:ascii="等线" w:hAnsi="等线" w:eastAsia="等线" w:cs="Times New Roman"/>
      <w:kern w:val="2"/>
      <w:sz w:val="18"/>
      <w:szCs w:val="18"/>
    </w:rPr>
  </w:style>
  <w:style w:type="character" w:customStyle="1" w:styleId="13">
    <w:name w:val="Footer Char"/>
    <w:basedOn w:val="9"/>
    <w:link w:val="5"/>
    <w:qFormat/>
    <w:locked/>
    <w:uiPriority w:val="99"/>
    <w:rPr>
      <w:rFonts w:cs="Times New Roman"/>
      <w:sz w:val="18"/>
      <w:szCs w:val="18"/>
    </w:rPr>
  </w:style>
  <w:style w:type="character" w:customStyle="1" w:styleId="14">
    <w:name w:val="Header Char"/>
    <w:basedOn w:val="9"/>
    <w:link w:val="6"/>
    <w:locked/>
    <w:uiPriority w:val="99"/>
    <w:rPr>
      <w:rFonts w:ascii="等线" w:hAnsi="等线" w:eastAsia="等线" w:cs="Times New Roman"/>
      <w:sz w:val="18"/>
      <w:szCs w:val="18"/>
    </w:rPr>
  </w:style>
  <w:style w:type="paragraph" w:customStyle="1" w:styleId="15">
    <w:name w:val="List Paragraph1"/>
    <w:basedOn w:val="1"/>
    <w:qFormat/>
    <w:uiPriority w:val="99"/>
    <w:pPr>
      <w:spacing w:before="2"/>
      <w:ind w:left="119" w:right="434" w:firstLine="643"/>
    </w:pPr>
    <w:rPr>
      <w:rFonts w:ascii="仿宋_GB2312" w:hAnsi="仿宋_GB2312" w:eastAsia="仿宋_GB2312" w:cs="仿宋_GB2312"/>
      <w:lang w:val="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mingxin\AppData\Roaming\kingsoft\office6\templates\download\5185bd05-a416-9a0b-b3d5-d2d8db942b83\&#31616;&#32422;&#25991;&#26723;&#23553;&#38754;&#27169;&#26495;.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7"/>
    <customShpInfo spid="_x0000_s1028"/>
    <customShpInfo spid="_x0000_s1026"/>
    <customShpInfo spid="_x0000_s1029"/>
    <customShpInfo spid="_x0000_s1030"/>
    <customShpInfo spid="_x0000_s1032"/>
    <customShpInfo spid="_x0000_s1033"/>
    <customShpInfo spid="_x0000_s1031"/>
    <customShpInfo spid="_x0000_s1035"/>
    <customShpInfo spid="_x0000_s1036"/>
    <customShpInfo spid="_x0000_s1034"/>
    <customShpInfo spid="_x0000_s1037"/>
    <customShpInfo spid="_x0000_s1038"/>
    <customShpInfo spid="_x0000_s1039"/>
    <customShpInfo spid="_x0000_s104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简约文档封面模板.docx</Template>
  <Pages>30</Pages>
  <Words>1944</Words>
  <Characters>11083</Characters>
  <Lines>0</Lines>
  <Paragraphs>0</Paragraphs>
  <TotalTime>7</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2021-05-19T08:58:00Z</dcterms:created>
  <dc:creator>王明新TIAD</dc:creator>
  <cp:lastModifiedBy>娟儿</cp:lastModifiedBy>
  <cp:lastPrinted>2020-08-17T08:36:00Z</cp:lastPrinted>
  <dcterms:modified xsi:type="dcterms:W3CDTF">2024-03-19T01:53:14Z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673CC19028B7431C87785BC4B6D925FA</vt:lpwstr>
  </property>
</Properties>
</file>